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rPr>
          <w:rFonts w:hint="eastAsia" w:ascii="方正小标宋简体" w:hAnsi="宋体" w:eastAsia="方正小标宋简体" w:cs="Times New Roman"/>
          <w:color w:val="auto"/>
          <w:kern w:val="2"/>
          <w:sz w:val="44"/>
          <w:szCs w:val="44"/>
          <w:highlight w:val="none"/>
          <w:lang w:val="en-US" w:eastAsia="zh-CN" w:bidi="ar-SA"/>
        </w:rPr>
      </w:pPr>
      <w:bookmarkStart w:id="0" w:name="_Toc15396597"/>
      <w:bookmarkStart w:id="1" w:name="_Toc15377193"/>
      <w:bookmarkStart w:id="2" w:name="_Toc15378441"/>
      <w:bookmarkStart w:id="3" w:name="_Toc15396475"/>
      <w:bookmarkStart w:id="4" w:name="_Toc15306267"/>
      <w:bookmarkStart w:id="5" w:name="_Toc15377425"/>
    </w:p>
    <w:p>
      <w:pPr>
        <w:pStyle w:val="5"/>
        <w:jc w:val="both"/>
        <w:rPr>
          <w:rFonts w:hint="eastAsia" w:ascii="方正小标宋简体" w:hAnsi="宋体" w:eastAsia="方正小标宋简体" w:cs="Times New Roman"/>
          <w:color w:val="auto"/>
          <w:kern w:val="2"/>
          <w:sz w:val="44"/>
          <w:szCs w:val="44"/>
          <w:highlight w:val="none"/>
          <w:lang w:val="en-US" w:eastAsia="zh-CN" w:bidi="ar-SA"/>
        </w:rPr>
      </w:pPr>
    </w:p>
    <w:p>
      <w:pPr>
        <w:pStyle w:val="5"/>
        <w:tabs>
          <w:tab w:val="left" w:pos="6549"/>
        </w:tabs>
        <w:jc w:val="both"/>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ab/>
      </w:r>
    </w:p>
    <w:p>
      <w:pPr>
        <w:pStyle w:val="5"/>
        <w:jc w:val="both"/>
        <w:rPr>
          <w:rFonts w:hint="eastAsia" w:ascii="方正小标宋简体" w:hAnsi="宋体"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pStyle w:val="5"/>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96602"/>
      <w:bookmarkStart w:id="7" w:name="_Toc15377204"/>
      <w:r>
        <w:rPr>
          <w:rFonts w:hint="eastAsia" w:ascii="方正小标宋简体" w:hAnsi="宋体" w:eastAsia="方正小标宋简体" w:cs="Times New Roman"/>
          <w:color w:val="auto"/>
          <w:kern w:val="2"/>
          <w:sz w:val="44"/>
          <w:szCs w:val="44"/>
          <w:highlight w:val="none"/>
          <w:lang w:val="en-US" w:eastAsia="zh-CN" w:bidi="ar-SA"/>
        </w:rPr>
        <w:t>2023年度民革四川省委会机关单位决算</w:t>
      </w:r>
    </w:p>
    <w:p>
      <w:pPr>
        <w:widowControl/>
        <w:jc w:val="center"/>
        <w:rPr>
          <w:rFonts w:hint="eastAsia" w:ascii="黑体" w:hAnsi="黑体" w:eastAsia="黑体"/>
          <w:color w:val="auto"/>
          <w:sz w:val="48"/>
          <w:szCs w:val="48"/>
          <w:highlight w:val="none"/>
        </w:rPr>
        <w:sectPr>
          <w:footerReference r:id="rId5" w:type="first"/>
          <w:headerReference r:id="rId3" w:type="default"/>
          <w:footerReference r:id="rId4" w:type="default"/>
          <w:pgSz w:w="11906" w:h="16838"/>
          <w:pgMar w:top="2098" w:right="1474" w:bottom="1985" w:left="1588" w:header="851" w:footer="992" w:gutter="0"/>
          <w:pgNumType w:fmt="numberInDash"/>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13</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hint="eastAsia"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.......................................................1</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.................................................................................................................1</w:t>
      </w:r>
    </w:p>
    <w:p>
      <w:pPr>
        <w:pStyle w:val="14"/>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color w:val="auto"/>
          <w:sz w:val="24"/>
          <w:highlight w:val="none"/>
          <w:lang w:val="en-US" w:eastAsia="zh-CN"/>
        </w:rPr>
        <w:t>.................................................................................................................1</w:t>
      </w:r>
    </w:p>
    <w:p>
      <w:pPr>
        <w:pStyle w:val="12"/>
        <w:adjustRightInd w:val="0"/>
        <w:snapToGrid w:val="0"/>
        <w:spacing w:before="0" w:line="440" w:lineRule="exact"/>
        <w:jc w:val="left"/>
        <w:rPr>
          <w:rFonts w:hint="eastAsia"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.......................................2</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..................................................................................2</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..................................................................................................2</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..................................................................................................3</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..................................................................3</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..........................................................3</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..................................................6</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..........................................................7</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........................................................................8</w:t>
      </w:r>
    </w:p>
    <w:p>
      <w:pPr>
        <w:pStyle w:val="14"/>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val="en-US" w:eastAsia="zh-CN"/>
        </w:rPr>
        <w:t>..................................................................8</w:t>
      </w:r>
    </w:p>
    <w:p>
      <w:pPr>
        <w:pStyle w:val="14"/>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......................................................................................9</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......................................................11</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..........................................................14</w:t>
      </w: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....................................................................15</w:t>
      </w:r>
    </w:p>
    <w:p>
      <w:pPr>
        <w:pStyle w:val="14"/>
        <w:adjustRightInd w:val="0"/>
        <w:snapToGrid w:val="0"/>
        <w:spacing w:line="440" w:lineRule="exact"/>
        <w:jc w:val="left"/>
        <w:rPr>
          <w:rFonts w:hint="eastAsia"/>
          <w:color w:val="auto"/>
          <w:sz w:val="24"/>
          <w:highlight w:val="none"/>
        </w:rPr>
        <w:sectPr>
          <w:footerReference r:id="rId7" w:type="first"/>
          <w:footerReference r:id="rId6" w:type="default"/>
          <w:pgSz w:w="11906" w:h="16838"/>
          <w:pgMar w:top="2098" w:right="1474" w:bottom="1985" w:left="1588" w:header="851" w:footer="992" w:gutter="0"/>
          <w:pgNumType w:fmt="numberInDash" w:start="1"/>
          <w:cols w:space="425" w:num="1"/>
          <w:titlePg/>
          <w:docGrid w:type="lines" w:linePitch="312" w:charSpace="0"/>
        </w:sectPr>
      </w:pP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.................................................15</w:t>
      </w:r>
    </w:p>
    <w:p>
      <w:pPr>
        <w:pStyle w:val="14"/>
        <w:adjustRightInd w:val="0"/>
        <w:snapToGrid w:val="0"/>
        <w:spacing w:line="440" w:lineRule="exact"/>
        <w:jc w:val="left"/>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国有资本经营预算财政拨款支出决算表..........................................................15</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..................................................................15</w:t>
      </w:r>
    </w:p>
    <w:p>
      <w:pPr>
        <w:pStyle w:val="2"/>
        <w:jc w:val="center"/>
        <w:rPr>
          <w:rFonts w:hint="eastAsia" w:ascii="黑体" w:hAnsi="黑体" w:eastAsia="黑体"/>
          <w:b w:val="0"/>
          <w:color w:val="auto"/>
          <w:highlight w:val="none"/>
        </w:rPr>
        <w:sectPr>
          <w:footerReference r:id="rId9" w:type="first"/>
          <w:footerReference r:id="rId8" w:type="default"/>
          <w:pgSz w:w="11906" w:h="16838"/>
          <w:pgMar w:top="2098" w:right="1474" w:bottom="1985" w:left="1588" w:header="851" w:footer="992" w:gutter="0"/>
          <w:pgNumType w:fmt="numberInDash"/>
          <w:cols w:space="425" w:num="1"/>
          <w:titlePg/>
          <w:docGrid w:type="lines" w:linePitch="312" w:charSpace="0"/>
        </w:sectPr>
      </w:pPr>
    </w:p>
    <w:p>
      <w:pPr>
        <w:pStyle w:val="2"/>
        <w:jc w:val="center"/>
        <w:rPr>
          <w:rStyle w:val="2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8"/>
          <w:rFonts w:hint="eastAsia" w:ascii="黑体" w:hAnsi="黑体" w:eastAsia="黑体"/>
          <w:b w:val="0"/>
          <w:bCs w:val="0"/>
          <w:color w:val="auto"/>
          <w:highlight w:val="none"/>
        </w:rPr>
        <w:t>概况</w:t>
      </w:r>
    </w:p>
    <w:p>
      <w:pPr>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ascii="黑体" w:eastAsia="黑体"/>
          <w:color w:val="auto"/>
          <w:sz w:val="32"/>
          <w:szCs w:val="32"/>
          <w:highlight w:val="none"/>
        </w:rPr>
      </w:pPr>
    </w:p>
    <w:p>
      <w:pPr>
        <w:pStyle w:val="3"/>
        <w:pageBreakBefore w:val="0"/>
        <w:numPr>
          <w:ilvl w:val="0"/>
          <w:numId w:val="0"/>
        </w:numPr>
        <w:kinsoku/>
        <w:wordWrap/>
        <w:overflowPunct/>
        <w:topLinePunct w:val="0"/>
        <w:autoSpaceDE/>
        <w:autoSpaceDN/>
        <w:bidi w:val="0"/>
        <w:adjustRightInd/>
        <w:snapToGrid/>
        <w:spacing w:before="0" w:after="0" w:line="600" w:lineRule="atLeast"/>
        <w:ind w:firstLine="640" w:firstLineChars="200"/>
        <w:textAlignment w:val="auto"/>
        <w:rPr>
          <w:rStyle w:val="29"/>
          <w:rFonts w:hint="eastAsia" w:ascii="黑体" w:hAnsi="黑体" w:eastAsia="黑体"/>
          <w:b w:val="0"/>
          <w:bCs/>
          <w:color w:val="auto"/>
          <w:highlight w:val="none"/>
          <w:lang w:val="en-US" w:eastAsia="zh-CN" w:bidi="ar-SA"/>
        </w:rPr>
      </w:pPr>
      <w:r>
        <w:rPr>
          <w:rStyle w:val="29"/>
          <w:rFonts w:hint="eastAsia" w:ascii="黑体" w:hAnsi="黑体" w:eastAsia="黑体"/>
          <w:b w:val="0"/>
          <w:bCs/>
          <w:color w:val="auto"/>
          <w:highlight w:val="none"/>
          <w:lang w:val="en-US" w:eastAsia="zh-CN" w:bidi="ar-SA"/>
        </w:rPr>
        <w:t>一、主要职责</w:t>
      </w:r>
    </w:p>
    <w:p>
      <w:pPr>
        <w:pageBreakBefore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民革四川省委</w:t>
      </w:r>
      <w:r>
        <w:rPr>
          <w:rFonts w:hint="eastAsia" w:eastAsia="仿宋" w:cs="Times New Roman"/>
          <w:b w:val="0"/>
          <w:bCs w:val="0"/>
          <w:color w:val="auto"/>
          <w:kern w:val="2"/>
          <w:sz w:val="32"/>
          <w:szCs w:val="32"/>
          <w:highlight w:val="none"/>
          <w:lang w:val="en-US" w:eastAsia="zh-CN" w:bidi="ar-SA"/>
        </w:rPr>
        <w:t>会</w:t>
      </w:r>
      <w:r>
        <w:rPr>
          <w:rFonts w:hint="default" w:ascii="Times New Roman" w:hAnsi="Times New Roman" w:eastAsia="仿宋" w:cs="Times New Roman"/>
          <w:b w:val="0"/>
          <w:bCs w:val="0"/>
          <w:color w:val="auto"/>
          <w:kern w:val="2"/>
          <w:sz w:val="32"/>
          <w:szCs w:val="32"/>
          <w:highlight w:val="none"/>
          <w:lang w:val="en-US" w:eastAsia="zh-CN" w:bidi="ar-SA"/>
        </w:rPr>
        <w:t>机关是民革四川省委</w:t>
      </w:r>
      <w:r>
        <w:rPr>
          <w:rFonts w:hint="eastAsia" w:eastAsia="仿宋" w:cs="Times New Roman"/>
          <w:b w:val="0"/>
          <w:bCs w:val="0"/>
          <w:color w:val="auto"/>
          <w:kern w:val="2"/>
          <w:sz w:val="32"/>
          <w:szCs w:val="32"/>
          <w:highlight w:val="none"/>
          <w:lang w:val="en-US" w:eastAsia="zh-CN" w:bidi="ar-SA"/>
        </w:rPr>
        <w:t>会</w:t>
      </w:r>
      <w:r>
        <w:rPr>
          <w:rFonts w:hint="default" w:ascii="Times New Roman" w:hAnsi="Times New Roman" w:eastAsia="仿宋" w:cs="Times New Roman"/>
          <w:b w:val="0"/>
          <w:bCs w:val="0"/>
          <w:color w:val="auto"/>
          <w:kern w:val="2"/>
          <w:sz w:val="32"/>
          <w:szCs w:val="32"/>
          <w:highlight w:val="none"/>
          <w:lang w:val="en-US" w:eastAsia="zh-CN" w:bidi="ar-SA"/>
        </w:rPr>
        <w:t>的工作机构，其主要职责是：</w:t>
      </w:r>
      <w:r>
        <w:rPr>
          <w:rFonts w:hint="default" w:ascii="Times New Roman" w:hAnsi="Times New Roman" w:eastAsia="仿宋" w:cs="Times New Roman"/>
          <w:b w:val="0"/>
          <w:bCs w:val="0"/>
          <w:color w:val="auto"/>
          <w:kern w:val="2"/>
          <w:sz w:val="32"/>
          <w:szCs w:val="32"/>
          <w:highlight w:val="none"/>
          <w:lang w:val="en-US" w:eastAsia="zh-CN" w:bidi="ar-SA"/>
        </w:rPr>
        <w:br w:type="textWrapping"/>
      </w:r>
      <w:r>
        <w:rPr>
          <w:rFonts w:hint="default" w:ascii="Times New Roman" w:hAnsi="Times New Roman" w:eastAsia="仿宋" w:cs="Times New Roman"/>
          <w:b w:val="0"/>
          <w:bCs w:val="0"/>
          <w:color w:val="auto"/>
          <w:kern w:val="2"/>
          <w:sz w:val="32"/>
          <w:szCs w:val="32"/>
          <w:highlight w:val="none"/>
          <w:lang w:val="en-US" w:eastAsia="zh-CN" w:bidi="ar-SA"/>
        </w:rPr>
        <w:t>　　1.认真履行参政议政、民主监督的职责。</w:t>
      </w:r>
      <w:r>
        <w:rPr>
          <w:rFonts w:hint="default" w:ascii="Times New Roman" w:hAnsi="Times New Roman" w:eastAsia="仿宋" w:cs="Times New Roman"/>
          <w:b w:val="0"/>
          <w:bCs w:val="0"/>
          <w:color w:val="auto"/>
          <w:kern w:val="2"/>
          <w:sz w:val="32"/>
          <w:szCs w:val="32"/>
          <w:highlight w:val="none"/>
          <w:lang w:val="en-US" w:eastAsia="zh-CN" w:bidi="ar-SA"/>
        </w:rPr>
        <w:br w:type="textWrapping"/>
      </w:r>
      <w:r>
        <w:rPr>
          <w:rFonts w:hint="default" w:ascii="Times New Roman" w:hAnsi="Times New Roman" w:eastAsia="仿宋" w:cs="Times New Roman"/>
          <w:b w:val="0"/>
          <w:bCs w:val="0"/>
          <w:color w:val="auto"/>
          <w:kern w:val="2"/>
          <w:sz w:val="32"/>
          <w:szCs w:val="32"/>
          <w:highlight w:val="none"/>
          <w:lang w:val="en-US" w:eastAsia="zh-CN" w:bidi="ar-SA"/>
        </w:rPr>
        <w:t>　　2.坚持以经济建设为中心，鼓励党员和所联系人士为改革开放、为四化建设多做贡献。</w:t>
      </w:r>
      <w:r>
        <w:rPr>
          <w:rFonts w:hint="default" w:ascii="Times New Roman" w:hAnsi="Times New Roman" w:eastAsia="仿宋" w:cs="Times New Roman"/>
          <w:b w:val="0"/>
          <w:bCs w:val="0"/>
          <w:color w:val="auto"/>
          <w:kern w:val="2"/>
          <w:sz w:val="32"/>
          <w:szCs w:val="32"/>
          <w:highlight w:val="none"/>
          <w:lang w:val="en-US" w:eastAsia="zh-CN" w:bidi="ar-SA"/>
        </w:rPr>
        <w:br w:type="textWrapping"/>
      </w:r>
      <w:r>
        <w:rPr>
          <w:rFonts w:hint="default" w:ascii="Times New Roman" w:hAnsi="Times New Roman" w:eastAsia="仿宋" w:cs="Times New Roman"/>
          <w:b w:val="0"/>
          <w:bCs w:val="0"/>
          <w:color w:val="auto"/>
          <w:kern w:val="2"/>
          <w:sz w:val="32"/>
          <w:szCs w:val="32"/>
          <w:highlight w:val="none"/>
          <w:lang w:val="en-US" w:eastAsia="zh-CN" w:bidi="ar-SA"/>
        </w:rPr>
        <w:t>　　3.以促进祖国和平统一为工作重点，加强同台湾、港澳和国外的国民党爱国人士的联系和团结，宣传</w:t>
      </w:r>
      <w:r>
        <w:rPr>
          <w:rFonts w:hint="eastAsia" w:ascii="Times New Roman" w:hAns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一国两制</w:t>
      </w:r>
      <w:r>
        <w:rPr>
          <w:rFonts w:hint="eastAsia" w:ascii="Times New Roman" w:hAns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、和平统一的方针和政策，积极发挥民革所特有的作用。</w:t>
      </w:r>
    </w:p>
    <w:p>
      <w:pPr>
        <w:pageBreakBefore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4.把加强自身建设放在重要地位，通过思想建设、组织建设、领导班子建设和机关建设，健全参政党机制，以适应形势发展和需要。　　</w:t>
      </w:r>
    </w:p>
    <w:p>
      <w:pPr>
        <w:pageBreakBefore w:val="0"/>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5.承办中共四川省委与中共</w:t>
      </w:r>
      <w:bookmarkStart w:id="57" w:name="_GoBack"/>
      <w:bookmarkEnd w:id="57"/>
      <w:r>
        <w:rPr>
          <w:rFonts w:hint="default" w:ascii="Times New Roman" w:hAnsi="Times New Roman" w:eastAsia="仿宋" w:cs="Times New Roman"/>
          <w:b w:val="0"/>
          <w:bCs w:val="0"/>
          <w:color w:val="auto"/>
          <w:kern w:val="2"/>
          <w:sz w:val="32"/>
          <w:szCs w:val="32"/>
          <w:highlight w:val="none"/>
          <w:lang w:val="en-US" w:eastAsia="zh-CN" w:bidi="ar-SA"/>
        </w:rPr>
        <w:t>中央主管部门或省政府与国务院有关部门交办的其它事项。</w:t>
      </w:r>
    </w:p>
    <w:p>
      <w:pPr>
        <w:pStyle w:val="3"/>
        <w:pageBreakBefore w:val="0"/>
        <w:numPr>
          <w:ilvl w:val="0"/>
          <w:numId w:val="0"/>
        </w:numPr>
        <w:kinsoku/>
        <w:wordWrap/>
        <w:overflowPunct/>
        <w:topLinePunct w:val="0"/>
        <w:autoSpaceDE/>
        <w:autoSpaceDN/>
        <w:bidi w:val="0"/>
        <w:adjustRightInd/>
        <w:snapToGrid/>
        <w:spacing w:before="0" w:after="0" w:line="600" w:lineRule="atLeast"/>
        <w:ind w:firstLine="640" w:firstLineChars="200"/>
        <w:textAlignment w:val="auto"/>
        <w:rPr>
          <w:rStyle w:val="29"/>
          <w:rFonts w:hint="eastAsia" w:ascii="黑体" w:hAnsi="黑体" w:eastAsia="黑体"/>
          <w:b w:val="0"/>
          <w:bCs/>
          <w:color w:val="auto"/>
          <w:highlight w:val="none"/>
          <w:lang w:val="en-US" w:eastAsia="zh-CN" w:bidi="ar-SA"/>
        </w:rPr>
      </w:pPr>
      <w:r>
        <w:rPr>
          <w:rStyle w:val="29"/>
          <w:rFonts w:hint="eastAsia" w:ascii="黑体" w:hAnsi="黑体" w:eastAsia="黑体"/>
          <w:b w:val="0"/>
          <w:bCs/>
          <w:color w:val="auto"/>
          <w:highlight w:val="none"/>
          <w:lang w:val="en-US" w:eastAsia="zh-CN" w:bidi="ar-SA"/>
        </w:rPr>
        <w:t>二、机构设置</w:t>
      </w:r>
    </w:p>
    <w:p>
      <w:pPr>
        <w:pageBreakBefore w:val="0"/>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 w:cs="Times New Roman"/>
          <w:b w:val="0"/>
          <w:bCs w:val="0"/>
          <w:color w:val="auto"/>
          <w:kern w:val="2"/>
          <w:sz w:val="32"/>
          <w:szCs w:val="32"/>
          <w:highlight w:val="none"/>
          <w:lang w:val="en-US" w:eastAsia="zh-CN" w:bidi="ar-SA"/>
        </w:rPr>
        <w:sectPr>
          <w:footerReference r:id="rId11" w:type="first"/>
          <w:footerReference r:id="rId10" w:type="default"/>
          <w:pgSz w:w="11906" w:h="16838"/>
          <w:pgMar w:top="2098" w:right="1474" w:bottom="1985" w:left="1588" w:header="851" w:footer="992" w:gutter="0"/>
          <w:pgNumType w:fmt="numberInDash" w:start="1"/>
          <w:cols w:space="425" w:num="1"/>
          <w:titlePg/>
          <w:docGrid w:type="lines" w:linePitch="312" w:charSpace="0"/>
        </w:sectPr>
      </w:pPr>
      <w:r>
        <w:rPr>
          <w:rFonts w:hint="default" w:ascii="Times New Roman" w:hAnsi="Times New Roman" w:eastAsia="仿宋" w:cs="Times New Roman"/>
          <w:b w:val="0"/>
          <w:bCs w:val="0"/>
          <w:color w:val="auto"/>
          <w:kern w:val="2"/>
          <w:sz w:val="32"/>
          <w:szCs w:val="32"/>
          <w:highlight w:val="none"/>
          <w:lang w:val="en-US" w:eastAsia="zh-CN" w:bidi="ar-SA"/>
        </w:rPr>
        <w:t>民革四川省委</w:t>
      </w:r>
      <w:r>
        <w:rPr>
          <w:rFonts w:hint="eastAsia" w:eastAsia="仿宋" w:cs="Times New Roman"/>
          <w:b w:val="0"/>
          <w:bCs w:val="0"/>
          <w:color w:val="auto"/>
          <w:kern w:val="2"/>
          <w:sz w:val="32"/>
          <w:szCs w:val="32"/>
          <w:highlight w:val="none"/>
          <w:lang w:val="en-US" w:eastAsia="zh-CN" w:bidi="ar-SA"/>
        </w:rPr>
        <w:t>会</w:t>
      </w:r>
      <w:r>
        <w:rPr>
          <w:rFonts w:hint="eastAsia" w:ascii="Times New Roman" w:hAnsi="Times New Roman" w:eastAsia="仿宋" w:cs="Times New Roman"/>
          <w:b w:val="0"/>
          <w:bCs w:val="0"/>
          <w:color w:val="auto"/>
          <w:kern w:val="2"/>
          <w:sz w:val="32"/>
          <w:szCs w:val="32"/>
          <w:highlight w:val="none"/>
          <w:lang w:val="en-US" w:eastAsia="zh-CN" w:bidi="ar-SA"/>
        </w:rPr>
        <w:t>机关</w:t>
      </w:r>
      <w:r>
        <w:rPr>
          <w:rFonts w:hint="default" w:ascii="Times New Roman" w:hAnsi="Times New Roman" w:eastAsia="仿宋" w:cs="Times New Roman"/>
          <w:b w:val="0"/>
          <w:bCs w:val="0"/>
          <w:color w:val="auto"/>
          <w:kern w:val="2"/>
          <w:sz w:val="32"/>
          <w:szCs w:val="32"/>
          <w:highlight w:val="none"/>
          <w:lang w:val="en-US" w:eastAsia="zh-CN" w:bidi="ar-SA"/>
        </w:rPr>
        <w:t>本级由6个职能处室组成，分别是：办公室、组织处、宣传处、社会服务处、联络处、参政议政处</w:t>
      </w:r>
      <w:r>
        <w:rPr>
          <w:rFonts w:hint="eastAsia" w:ascii="Times New Roman" w:hAnsi="Times New Roman" w:eastAsia="仿宋" w:cs="Times New Roman"/>
          <w:b w:val="0"/>
          <w:bCs w:val="0"/>
          <w:color w:val="auto"/>
          <w:kern w:val="2"/>
          <w:sz w:val="32"/>
          <w:szCs w:val="32"/>
          <w:highlight w:val="none"/>
          <w:lang w:val="en-US" w:eastAsia="zh-CN" w:bidi="ar-SA"/>
        </w:rPr>
        <w:t>。</w:t>
      </w:r>
    </w:p>
    <w:p>
      <w:pPr>
        <w:pStyle w:val="2"/>
        <w:pageBreakBefore w:val="0"/>
        <w:widowControl w:val="0"/>
        <w:kinsoku/>
        <w:wordWrap/>
        <w:overflowPunct/>
        <w:topLinePunct w:val="0"/>
        <w:autoSpaceDE/>
        <w:autoSpaceDN/>
        <w:bidi w:val="0"/>
        <w:adjustRightInd/>
        <w:spacing w:before="0" w:after="0" w:line="600" w:lineRule="exact"/>
        <w:ind w:left="0" w:leftChars="0" w:right="0"/>
        <w:jc w:val="center"/>
        <w:textAlignment w:val="auto"/>
        <w:rPr>
          <w:rStyle w:val="28"/>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8"/>
          <w:rFonts w:hint="eastAsia" w:ascii="黑体" w:hAnsi="黑体" w:eastAsia="黑体"/>
          <w:b w:val="0"/>
          <w:bCs/>
          <w:color w:val="auto"/>
          <w:highlight w:val="none"/>
        </w:rPr>
        <w:t>部门决算情况说明</w:t>
      </w:r>
      <w:bookmarkEnd w:id="6"/>
      <w:bookmarkEnd w:id="7"/>
    </w:p>
    <w:p>
      <w:pPr>
        <w:pageBreakBefore w:val="0"/>
        <w:widowControl w:val="0"/>
        <w:kinsoku/>
        <w:wordWrap/>
        <w:overflowPunct/>
        <w:topLinePunct w:val="0"/>
        <w:autoSpaceDE/>
        <w:autoSpaceDN/>
        <w:bidi w:val="0"/>
        <w:adjustRightInd/>
        <w:spacing w:line="600" w:lineRule="exact"/>
        <w:ind w:left="0" w:leftChars="0" w:right="0"/>
        <w:textAlignment w:val="auto"/>
        <w:rPr>
          <w:color w:val="auto"/>
          <w:highlight w:val="none"/>
        </w:rPr>
      </w:pPr>
    </w:p>
    <w:p>
      <w:pPr>
        <w:pStyle w:val="27"/>
        <w:pageBreakBefore w:val="0"/>
        <w:widowControl w:val="0"/>
        <w:numPr>
          <w:ilvl w:val="0"/>
          <w:numId w:val="0"/>
        </w:numPr>
        <w:kinsoku/>
        <w:wordWrap/>
        <w:overflowPunct/>
        <w:topLinePunct w:val="0"/>
        <w:autoSpaceDE/>
        <w:autoSpaceDN/>
        <w:bidi w:val="0"/>
        <w:adjustRightInd/>
        <w:spacing w:line="600" w:lineRule="exact"/>
        <w:ind w:left="638" w:leftChars="304" w:right="0" w:firstLine="188" w:firstLineChars="59"/>
        <w:textAlignment w:val="auto"/>
        <w:outlineLvl w:val="1"/>
        <w:rPr>
          <w:rStyle w:val="29"/>
          <w:rFonts w:ascii="黑体" w:hAnsi="黑体" w:eastAsia="黑体"/>
          <w:b w:val="0"/>
          <w:color w:val="auto"/>
          <w:highlight w:val="none"/>
        </w:rPr>
      </w:pPr>
      <w:bookmarkStart w:id="8" w:name="_Toc15377205"/>
      <w:bookmarkStart w:id="9" w:name="_Toc15396603"/>
      <w:r>
        <w:rPr>
          <w:rFonts w:hint="default" w:ascii="黑体" w:hAnsi="黑体" w:eastAsia="黑体" w:cstheme="majorBidi"/>
          <w:b w:val="0"/>
          <w:bCs/>
          <w:color w:val="auto"/>
          <w:kern w:val="2"/>
          <w:sz w:val="32"/>
          <w:szCs w:val="32"/>
          <w:lang w:val="en-US" w:eastAsia="zh-CN" w:bidi="ar-SA"/>
        </w:rPr>
        <w:t>一、</w:t>
      </w: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8"/>
      <w:bookmarkEnd w:id="9"/>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年度收、支总计</w:t>
      </w:r>
      <w:r>
        <w:rPr>
          <w:rFonts w:hint="default" w:ascii="Times New Roman" w:hAnsi="Times New Roman" w:eastAsia="仿宋" w:cs="Times New Roman"/>
          <w:color w:val="auto"/>
          <w:sz w:val="32"/>
          <w:szCs w:val="32"/>
          <w:highlight w:val="none"/>
          <w:lang w:eastAsia="zh-CN"/>
        </w:rPr>
        <w:t>均为</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相比，收、支总计各减少</w:t>
      </w:r>
      <w:r>
        <w:rPr>
          <w:rFonts w:hint="default" w:ascii="Times New Roman" w:hAnsi="Times New Roman" w:eastAsia="仿宋" w:cs="Times New Roman"/>
          <w:color w:val="auto"/>
          <w:sz w:val="32"/>
          <w:szCs w:val="32"/>
          <w:highlight w:val="none"/>
          <w:lang w:val="en-US" w:eastAsia="zh-CN"/>
        </w:rPr>
        <w:t>13.47</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kern w:val="2"/>
          <w:sz w:val="32"/>
          <w:szCs w:val="32"/>
          <w:highlight w:val="none"/>
          <w:lang w:val="en-US" w:eastAsia="zh-CN" w:bidi="ar"/>
        </w:rPr>
        <w:t>本年无换届工作经费，项目支出减少。</w:t>
      </w:r>
    </w:p>
    <w:p>
      <w:pPr>
        <w:pageBreakBefore w:val="0"/>
        <w:widowControl w:val="0"/>
        <w:kinsoku/>
        <w:wordWrap/>
        <w:overflowPunct/>
        <w:topLinePunct w:val="0"/>
        <w:autoSpaceDE/>
        <w:autoSpaceDN/>
        <w:bidi w:val="0"/>
        <w:adjustRightInd/>
        <w:spacing w:line="600" w:lineRule="exact"/>
        <w:ind w:left="0" w:leftChars="0" w:right="0"/>
        <w:jc w:val="center"/>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ageBreakBefore w:val="0"/>
        <w:widowControl w:val="0"/>
        <w:kinsoku/>
        <w:wordWrap/>
        <w:overflowPunct/>
        <w:topLinePunct w:val="0"/>
        <w:autoSpaceDE/>
        <w:autoSpaceDN/>
        <w:bidi w:val="0"/>
        <w:adjustRightInd/>
        <w:spacing w:line="600" w:lineRule="exact"/>
        <w:ind w:left="0" w:leftChars="0" w:right="0"/>
        <w:jc w:val="center"/>
        <w:textAlignment w:val="auto"/>
        <w:rPr>
          <w:rFonts w:hint="eastAsia"/>
          <w:sz w:val="21"/>
          <w:szCs w:val="21"/>
        </w:rPr>
      </w:pP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1"/>
          <w:szCs w:val="21"/>
          <w:highlight w:val="none"/>
          <w:lang w:val="en-US" w:eastAsia="zh-CN"/>
        </w:rPr>
        <w:t xml:space="preserve">                                               单位：万元</w:t>
      </w:r>
    </w:p>
    <w:p>
      <w:pPr>
        <w:keepNext w:val="0"/>
        <w:keepLines w:val="0"/>
        <w:pageBreakBefore w:val="0"/>
        <w:widowControl w:val="0"/>
        <w:kinsoku/>
        <w:wordWrap/>
        <w:overflowPunct/>
        <w:topLinePunct w:val="0"/>
        <w:autoSpaceDE/>
        <w:autoSpaceDN/>
        <w:bidi w:val="0"/>
        <w:adjustRightInd/>
        <w:snapToGrid/>
        <w:spacing w:line="720" w:lineRule="auto"/>
        <w:ind w:firstLine="420" w:firstLineChars="200"/>
        <w:jc w:val="left"/>
        <w:textAlignment w:val="auto"/>
        <w:rPr>
          <w:rFonts w:hint="eastAsia" w:ascii="仿宋_GB2312" w:eastAsia="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47625</wp:posOffset>
            </wp:positionV>
            <wp:extent cx="4906645" cy="1997710"/>
            <wp:effectExtent l="4445" t="4445" r="22860" b="1714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7"/>
        <w:rPr>
          <w:rFonts w:hint="eastAsia" w:ascii="仿宋_GB2312" w:eastAsia="仿宋_GB2312"/>
          <w:color w:val="auto"/>
          <w:sz w:val="32"/>
          <w:szCs w:val="32"/>
          <w:highlight w:val="none"/>
          <w:lang w:eastAsia="zh-CN"/>
        </w:rPr>
      </w:pPr>
    </w:p>
    <w:p>
      <w:pPr>
        <w:pStyle w:val="27"/>
        <w:numPr>
          <w:ilvl w:val="0"/>
          <w:numId w:val="0"/>
        </w:numPr>
        <w:tabs>
          <w:tab w:val="left" w:pos="231"/>
        </w:tabs>
        <w:spacing w:line="600" w:lineRule="exact"/>
        <w:outlineLvl w:val="1"/>
        <w:rPr>
          <w:rFonts w:hint="eastAsia" w:ascii="黑体" w:hAnsi="黑体" w:eastAsia="黑体"/>
          <w:color w:val="auto"/>
          <w:sz w:val="32"/>
          <w:szCs w:val="32"/>
          <w:highlight w:val="none"/>
        </w:rPr>
      </w:pPr>
      <w:bookmarkStart w:id="10" w:name="_Toc15396604"/>
      <w:bookmarkStart w:id="11" w:name="_Toc15377206"/>
    </w:p>
    <w:p>
      <w:pPr>
        <w:pStyle w:val="27"/>
        <w:numPr>
          <w:ilvl w:val="0"/>
          <w:numId w:val="0"/>
        </w:numPr>
        <w:tabs>
          <w:tab w:val="left" w:pos="231"/>
        </w:tabs>
        <w:spacing w:line="600" w:lineRule="exact"/>
        <w:outlineLvl w:val="1"/>
        <w:rPr>
          <w:rFonts w:hint="eastAsia" w:ascii="黑体" w:hAnsi="黑体" w:eastAsia="黑体"/>
          <w:color w:val="auto"/>
          <w:sz w:val="32"/>
          <w:szCs w:val="32"/>
          <w:highlight w:val="none"/>
        </w:rPr>
      </w:pPr>
    </w:p>
    <w:p>
      <w:pPr>
        <w:pStyle w:val="27"/>
        <w:numPr>
          <w:ilvl w:val="0"/>
          <w:numId w:val="0"/>
        </w:numPr>
        <w:tabs>
          <w:tab w:val="left" w:pos="231"/>
        </w:tabs>
        <w:spacing w:line="600" w:lineRule="exact"/>
        <w:outlineLvl w:val="1"/>
        <w:rPr>
          <w:rFonts w:hint="eastAsia" w:ascii="黑体" w:hAnsi="黑体" w:eastAsia="黑体"/>
          <w:color w:val="auto"/>
          <w:sz w:val="32"/>
          <w:szCs w:val="32"/>
          <w:highlight w:val="none"/>
        </w:rPr>
      </w:pPr>
    </w:p>
    <w:p>
      <w:pPr>
        <w:pStyle w:val="27"/>
        <w:keepNext w:val="0"/>
        <w:keepLines w:val="0"/>
        <w:pageBreakBefore w:val="0"/>
        <w:widowControl w:val="0"/>
        <w:numPr>
          <w:ilvl w:val="0"/>
          <w:numId w:val="0"/>
        </w:numPr>
        <w:tabs>
          <w:tab w:val="left" w:pos="231"/>
        </w:tabs>
        <w:kinsoku/>
        <w:wordWrap/>
        <w:overflowPunct/>
        <w:topLinePunct w:val="0"/>
        <w:autoSpaceDE/>
        <w:autoSpaceDN/>
        <w:bidi w:val="0"/>
        <w:adjustRightInd/>
        <w:snapToGrid/>
        <w:spacing w:line="600" w:lineRule="exact"/>
        <w:ind w:firstLine="640" w:firstLineChars="200"/>
        <w:textAlignment w:val="auto"/>
        <w:outlineLvl w:val="1"/>
        <w:rPr>
          <w:rStyle w:val="29"/>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10"/>
      <w:bookmarkEnd w:id="11"/>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本年收入合计</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keepNext w:val="0"/>
        <w:keepLines w:val="0"/>
        <w:pageBreakBefore w:val="0"/>
        <w:widowControl w:val="0"/>
        <w:kinsoku/>
        <w:wordWrap/>
        <w:overflowPunct/>
        <w:topLinePunct w:val="0"/>
        <w:autoSpaceDE/>
        <w:autoSpaceDN/>
        <w:bidi w:val="0"/>
        <w:adjustRightInd/>
        <w:snapToGrid/>
        <w:spacing w:line="720" w:lineRule="auto"/>
        <w:ind w:leftChars="0" w:firstLine="420" w:firstLineChars="200"/>
        <w:textAlignment w:val="auto"/>
        <w:rPr>
          <w:rFonts w:ascii="仿宋_GB2312" w:eastAsia="仿宋_GB2312"/>
          <w:color w:val="auto"/>
          <w:sz w:val="32"/>
          <w:szCs w:val="32"/>
          <w:highlight w:val="none"/>
        </w:rPr>
      </w:pPr>
      <w:r>
        <w:drawing>
          <wp:anchor distT="0" distB="0" distL="114300" distR="114300" simplePos="0" relativeHeight="251661312" behindDoc="0" locked="0" layoutInCell="1" allowOverlap="1">
            <wp:simplePos x="0" y="0"/>
            <wp:positionH relativeFrom="column">
              <wp:posOffset>523875</wp:posOffset>
            </wp:positionH>
            <wp:positionV relativeFrom="paragraph">
              <wp:posOffset>135255</wp:posOffset>
            </wp:positionV>
            <wp:extent cx="4165600" cy="1843405"/>
            <wp:effectExtent l="4445" t="4445" r="20955" b="1905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keepNext w:val="0"/>
        <w:keepLines w:val="0"/>
        <w:pageBreakBefore w:val="0"/>
        <w:widowControl w:val="0"/>
        <w:kinsoku/>
        <w:wordWrap/>
        <w:overflowPunct/>
        <w:topLinePunct w:val="0"/>
        <w:autoSpaceDE/>
        <w:autoSpaceDN/>
        <w:bidi w:val="0"/>
        <w:adjustRightInd/>
        <w:snapToGrid/>
        <w:spacing w:line="720" w:lineRule="auto"/>
        <w:ind w:leftChars="0" w:firstLine="640" w:firstLineChars="200"/>
        <w:textAlignment w:val="auto"/>
        <w:rPr>
          <w:rFonts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720" w:lineRule="auto"/>
        <w:ind w:leftChars="0" w:firstLine="640" w:firstLineChars="200"/>
        <w:textAlignment w:val="auto"/>
        <w:rPr>
          <w:rFonts w:ascii="仿宋_GB2312" w:eastAsia="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olor w:val="auto"/>
          <w:sz w:val="32"/>
          <w:szCs w:val="32"/>
          <w:highlight w:val="none"/>
          <w:lang w:eastAsia="zh-CN"/>
        </w:rPr>
      </w:pPr>
      <w:bookmarkStart w:id="12" w:name="_Toc15377207"/>
      <w:bookmarkStart w:id="13"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仿宋" w:hAnsi="仿宋" w:eastAsia="仿宋"/>
          <w:color w:val="auto"/>
          <w:sz w:val="32"/>
          <w:szCs w:val="32"/>
          <w:highlight w:val="none"/>
        </w:rPr>
      </w:pPr>
      <w:r>
        <w:rPr>
          <w:rFonts w:hint="eastAsia" w:ascii="Times New Roman" w:hAnsi="Times New Roman" w:eastAsia="仿宋_GB2312" w:cs="Times New Roman"/>
          <w:kern w:val="2"/>
          <w:sz w:val="32"/>
          <w:szCs w:val="32"/>
          <w:highlight w:val="none"/>
          <w:lang w:val="en-US" w:eastAsia="zh-CN" w:bidi="ar"/>
        </w:rPr>
        <w:t>2023年度本年支出合计</w:t>
      </w:r>
      <w:r>
        <w:rPr>
          <w:rFonts w:hint="default" w:ascii="Times New Roman" w:hAnsi="Times New Roman" w:eastAsia="仿宋_GB2312" w:cs="Times New Roman"/>
          <w:kern w:val="2"/>
          <w:sz w:val="32"/>
          <w:szCs w:val="32"/>
          <w:highlight w:val="none"/>
          <w:lang w:val="en-US" w:eastAsia="zh-CN" w:bidi="ar"/>
        </w:rPr>
        <w:t>1416.86</w:t>
      </w:r>
      <w:r>
        <w:rPr>
          <w:rFonts w:hint="eastAsia" w:ascii="Times New Roman" w:hAnsi="Times New Roman" w:eastAsia="仿宋_GB2312" w:cs="Times New Roman"/>
          <w:kern w:val="2"/>
          <w:sz w:val="32"/>
          <w:szCs w:val="32"/>
          <w:highlight w:val="none"/>
          <w:lang w:val="en-US" w:eastAsia="zh-CN" w:bidi="ar"/>
        </w:rPr>
        <w:t>万元，其中：基本支出</w:t>
      </w:r>
      <w:r>
        <w:rPr>
          <w:rFonts w:hint="default" w:ascii="Times New Roman" w:hAnsi="Times New Roman" w:eastAsia="仿宋_GB2312" w:cs="Times New Roman"/>
          <w:kern w:val="2"/>
          <w:sz w:val="32"/>
          <w:szCs w:val="32"/>
          <w:highlight w:val="none"/>
          <w:lang w:val="en-US" w:eastAsia="zh-CN" w:bidi="ar"/>
        </w:rPr>
        <w:t>1226.96</w:t>
      </w:r>
      <w:r>
        <w:rPr>
          <w:rFonts w:hint="eastAsia" w:ascii="Times New Roman" w:hAnsi="Times New Roman" w:eastAsia="仿宋_GB2312" w:cs="Times New Roman"/>
          <w:kern w:val="2"/>
          <w:sz w:val="32"/>
          <w:szCs w:val="32"/>
          <w:highlight w:val="none"/>
          <w:lang w:val="en-US" w:eastAsia="zh-CN" w:bidi="ar"/>
        </w:rPr>
        <w:t>万元，占</w:t>
      </w:r>
      <w:r>
        <w:rPr>
          <w:rFonts w:hint="default" w:ascii="Times New Roman" w:hAnsi="Times New Roman" w:eastAsia="仿宋_GB2312" w:cs="Times New Roman"/>
          <w:kern w:val="2"/>
          <w:sz w:val="32"/>
          <w:szCs w:val="32"/>
          <w:highlight w:val="none"/>
          <w:lang w:val="en-US" w:eastAsia="zh-CN" w:bidi="ar"/>
        </w:rPr>
        <w:t>86.6</w:t>
      </w:r>
      <w:r>
        <w:rPr>
          <w:rFonts w:hint="eastAsia" w:ascii="Times New Roman" w:hAnsi="Times New Roman" w:eastAsia="仿宋_GB2312" w:cs="Times New Roman"/>
          <w:kern w:val="2"/>
          <w:sz w:val="32"/>
          <w:szCs w:val="32"/>
          <w:highlight w:val="none"/>
          <w:lang w:val="en-US" w:eastAsia="zh-CN" w:bidi="ar"/>
        </w:rPr>
        <w:t>%；项目支出</w:t>
      </w:r>
      <w:r>
        <w:rPr>
          <w:rFonts w:hint="default" w:ascii="Times New Roman" w:hAnsi="Times New Roman" w:eastAsia="仿宋_GB2312" w:cs="Times New Roman"/>
          <w:kern w:val="2"/>
          <w:sz w:val="32"/>
          <w:szCs w:val="32"/>
          <w:highlight w:val="none"/>
          <w:lang w:val="en-US" w:eastAsia="zh-CN" w:bidi="ar"/>
        </w:rPr>
        <w:t>189.9</w:t>
      </w:r>
      <w:r>
        <w:rPr>
          <w:rFonts w:hint="eastAsia" w:ascii="Times New Roman" w:hAnsi="Times New Roman" w:eastAsia="仿宋_GB2312" w:cs="Times New Roman"/>
          <w:kern w:val="2"/>
          <w:sz w:val="32"/>
          <w:szCs w:val="32"/>
          <w:highlight w:val="none"/>
          <w:lang w:val="en-US" w:eastAsia="zh-CN" w:bidi="ar"/>
        </w:rPr>
        <w:t>1万元，占</w:t>
      </w:r>
      <w:r>
        <w:rPr>
          <w:rFonts w:hint="default" w:ascii="Times New Roman" w:hAnsi="Times New Roman" w:eastAsia="仿宋_GB2312" w:cs="Times New Roman"/>
          <w:kern w:val="2"/>
          <w:sz w:val="32"/>
          <w:szCs w:val="32"/>
          <w:highlight w:val="none"/>
          <w:lang w:val="en-US" w:eastAsia="zh-CN" w:bidi="ar"/>
        </w:rPr>
        <w:t>13.4%</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ascii="仿宋_GB2312" w:eastAsia="仿宋_GB2312"/>
          <w:color w:val="auto"/>
          <w:sz w:val="32"/>
          <w:szCs w:val="32"/>
          <w:highlight w:val="none"/>
        </w:rPr>
      </w:pPr>
      <w:r>
        <w:rPr>
          <w:rFonts w:eastAsia="仿宋_GB2312"/>
          <w:color w:val="000000"/>
          <w:sz w:val="32"/>
          <w:szCs w:val="32"/>
        </w:rPr>
        <w:drawing>
          <wp:anchor distT="0" distB="0" distL="114300" distR="114300" simplePos="0" relativeHeight="251662336" behindDoc="0" locked="0" layoutInCell="1" allowOverlap="1">
            <wp:simplePos x="0" y="0"/>
            <wp:positionH relativeFrom="column">
              <wp:posOffset>933450</wp:posOffset>
            </wp:positionH>
            <wp:positionV relativeFrom="paragraph">
              <wp:posOffset>85725</wp:posOffset>
            </wp:positionV>
            <wp:extent cx="3505200" cy="2078355"/>
            <wp:effectExtent l="4445" t="4445" r="14605" b="1270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pStyle w:val="7"/>
        <w:rPr>
          <w:rFonts w:ascii="仿宋_GB2312" w:eastAsia="仿宋_GB2312"/>
          <w:color w:val="auto"/>
          <w:sz w:val="32"/>
          <w:szCs w:val="32"/>
          <w:highlight w:val="none"/>
        </w:rPr>
      </w:pPr>
    </w:p>
    <w:p>
      <w:pPr>
        <w:spacing w:line="600" w:lineRule="exact"/>
        <w:ind w:firstLine="640" w:firstLineChars="200"/>
        <w:outlineLvl w:val="1"/>
        <w:rPr>
          <w:rFonts w:hint="eastAsia" w:ascii="黑体" w:hAnsi="黑体" w:eastAsia="黑体"/>
          <w:color w:val="auto"/>
          <w:sz w:val="32"/>
          <w:szCs w:val="32"/>
          <w:highlight w:val="none"/>
        </w:rPr>
      </w:pPr>
      <w:bookmarkStart w:id="14" w:name="_Toc15377208"/>
      <w:bookmarkStart w:id="15" w:name="_Toc15396606"/>
    </w:p>
    <w:p>
      <w:pPr>
        <w:spacing w:line="600" w:lineRule="exact"/>
        <w:ind w:firstLine="640" w:firstLineChars="200"/>
        <w:outlineLvl w:val="1"/>
        <w:rPr>
          <w:rFonts w:hint="eastAsia" w:ascii="黑体" w:hAnsi="黑体" w:eastAsia="黑体"/>
          <w:color w:val="auto"/>
          <w:sz w:val="32"/>
          <w:szCs w:val="32"/>
          <w:highlight w:val="none"/>
        </w:rPr>
      </w:pPr>
    </w:p>
    <w:p>
      <w:pPr>
        <w:pStyle w:val="7"/>
        <w:ind w:left="0" w:leftChars="0" w:firstLine="0" w:firstLineChars="0"/>
        <w:rPr>
          <w:rFonts w:hint="eastAsia" w:ascii="黑体" w:hAnsi="黑体"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Style w:val="29"/>
          <w:rFonts w:ascii="黑体" w:hAnsi="黑体" w:eastAsia="黑体"/>
          <w:b w:val="0"/>
          <w:color w:val="auto"/>
          <w:highlight w:val="none"/>
        </w:rPr>
      </w:pPr>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财政拨款收、支总计</w:t>
      </w:r>
      <w:r>
        <w:rPr>
          <w:rFonts w:hint="default" w:ascii="Times New Roman" w:hAnsi="Times New Roman" w:eastAsia="仿宋" w:cs="Times New Roman"/>
          <w:color w:val="auto"/>
          <w:sz w:val="32"/>
          <w:szCs w:val="32"/>
          <w:highlight w:val="none"/>
          <w:lang w:eastAsia="zh-CN"/>
        </w:rPr>
        <w:t>均为</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相比，财政拨款收、支总计各减少</w:t>
      </w:r>
      <w:r>
        <w:rPr>
          <w:rFonts w:hint="default" w:ascii="Times New Roman" w:hAnsi="Times New Roman" w:eastAsia="仿宋" w:cs="Times New Roman"/>
          <w:color w:val="auto"/>
          <w:sz w:val="32"/>
          <w:szCs w:val="32"/>
          <w:highlight w:val="none"/>
          <w:lang w:val="en-US" w:eastAsia="zh-CN"/>
        </w:rPr>
        <w:t>13.47</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kern w:val="2"/>
          <w:sz w:val="32"/>
          <w:szCs w:val="32"/>
          <w:highlight w:val="none"/>
          <w:lang w:val="en-US" w:eastAsia="zh-CN" w:bidi="ar"/>
        </w:rPr>
        <w:t>本年无换届工作经费，项目支出减少。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20" w:firstLineChars="3200"/>
        <w:textAlignment w:val="auto"/>
        <w:rPr>
          <w:rFonts w:ascii="仿宋" w:hAnsi="仿宋" w:eastAsia="仿宋"/>
          <w:color w:val="auto"/>
          <w:sz w:val="32"/>
          <w:szCs w:val="32"/>
          <w:highlight w:val="none"/>
        </w:rPr>
      </w:pPr>
      <w:r>
        <w:rPr>
          <w:rFonts w:hint="eastAsia" w:ascii="仿宋" w:hAnsi="仿宋" w:eastAsia="仿宋"/>
          <w:color w:val="auto"/>
          <w:sz w:val="21"/>
          <w:szCs w:val="21"/>
          <w:highlight w:val="none"/>
          <w:lang w:val="en-US" w:eastAsia="zh-CN"/>
        </w:rPr>
        <w:t>单位：万元</w:t>
      </w:r>
    </w:p>
    <w:p>
      <w:pPr>
        <w:pStyle w:val="7"/>
      </w:pPr>
      <w:r>
        <w:drawing>
          <wp:anchor distT="0" distB="0" distL="114300" distR="114300" simplePos="0" relativeHeight="251663360" behindDoc="0" locked="0" layoutInCell="1" allowOverlap="1">
            <wp:simplePos x="0" y="0"/>
            <wp:positionH relativeFrom="column">
              <wp:posOffset>266700</wp:posOffset>
            </wp:positionH>
            <wp:positionV relativeFrom="paragraph">
              <wp:posOffset>80010</wp:posOffset>
            </wp:positionV>
            <wp:extent cx="4838065" cy="1901825"/>
            <wp:effectExtent l="4445" t="4445" r="15240" b="1778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0" w:firstLineChars="200"/>
        <w:outlineLvl w:val="1"/>
        <w:rPr>
          <w:rFonts w:hint="eastAsia" w:ascii="黑体" w:hAnsi="黑体" w:eastAsia="黑体"/>
          <w:color w:val="auto"/>
          <w:sz w:val="32"/>
          <w:szCs w:val="32"/>
          <w:highlight w:val="none"/>
        </w:rPr>
      </w:pPr>
      <w:bookmarkStart w:id="16" w:name="_Toc15377209"/>
      <w:bookmarkStart w:id="17" w:name="_Toc15396607"/>
    </w:p>
    <w:p>
      <w:pPr>
        <w:tabs>
          <w:tab w:val="left" w:pos="801"/>
        </w:tabs>
        <w:bidi w:val="0"/>
        <w:ind w:left="8300" w:leftChars="3800" w:hanging="320" w:hangingChars="100"/>
        <w:jc w:val="left"/>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pPr>
        <w:tabs>
          <w:tab w:val="left" w:pos="801"/>
        </w:tabs>
        <w:bidi w:val="0"/>
        <w:ind w:left="8300" w:leftChars="3800" w:hanging="320" w:hangingChars="100"/>
        <w:jc w:val="left"/>
        <w:rPr>
          <w:rFonts w:hint="eastAsia" w:ascii="黑体" w:hAnsi="黑体" w:eastAsia="黑体"/>
          <w:color w:val="auto"/>
          <w:sz w:val="32"/>
          <w:szCs w:val="32"/>
          <w:highlight w:val="none"/>
          <w:lang w:val="en-US" w:eastAsia="zh-CN"/>
        </w:rPr>
      </w:pPr>
    </w:p>
    <w:p>
      <w:pPr>
        <w:tabs>
          <w:tab w:val="left" w:pos="801"/>
        </w:tabs>
        <w:bidi w:val="0"/>
        <w:ind w:left="8300" w:leftChars="3800" w:hanging="320" w:hangingChars="100"/>
        <w:jc w:val="left"/>
        <w:rPr>
          <w:rFonts w:hint="eastAsia" w:ascii="黑体" w:hAnsi="黑体" w:eastAsia="黑体"/>
          <w:color w:val="auto"/>
          <w:sz w:val="32"/>
          <w:szCs w:val="32"/>
          <w:highlight w:val="none"/>
          <w:lang w:val="en-US" w:eastAsia="zh-CN"/>
        </w:rPr>
      </w:pPr>
    </w:p>
    <w:p>
      <w:pPr>
        <w:tabs>
          <w:tab w:val="left" w:pos="801"/>
        </w:tabs>
        <w:bidi w:val="0"/>
        <w:ind w:left="8300" w:leftChars="3800" w:hanging="320" w:hangingChars="100"/>
        <w:jc w:val="left"/>
        <w:rPr>
          <w:rFonts w:hint="eastAsia" w:ascii="黑体" w:hAnsi="黑体" w:eastAsia="黑体"/>
          <w:color w:val="auto"/>
          <w:sz w:val="32"/>
          <w:szCs w:val="32"/>
          <w:highlight w:val="none"/>
          <w:lang w:val="en-US" w:eastAsia="zh-CN"/>
        </w:rPr>
      </w:pPr>
    </w:p>
    <w:p>
      <w:pPr>
        <w:keepNext w:val="0"/>
        <w:keepLines w:val="0"/>
        <w:pageBreakBefore w:val="0"/>
        <w:widowControl w:val="0"/>
        <w:tabs>
          <w:tab w:val="left" w:pos="801"/>
        </w:tabs>
        <w:kinsoku/>
        <w:wordWrap/>
        <w:overflowPunct/>
        <w:topLinePunct w:val="0"/>
        <w:autoSpaceDE/>
        <w:autoSpaceDN/>
        <w:bidi w:val="0"/>
        <w:adjustRightInd/>
        <w:snapToGrid/>
        <w:spacing w:line="600" w:lineRule="exact"/>
        <w:ind w:firstLine="640" w:firstLineChars="200"/>
        <w:jc w:val="left"/>
        <w:textAlignment w:val="auto"/>
        <w:rPr>
          <w:rStyle w:val="29"/>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2"/>
        <w:rPr>
          <w:rFonts w:ascii="仿宋" w:hAnsi="仿宋" w:eastAsia="仿宋"/>
          <w:b/>
          <w:color w:val="auto"/>
          <w:sz w:val="32"/>
          <w:szCs w:val="32"/>
          <w:highlight w:val="none"/>
        </w:rPr>
      </w:pPr>
      <w:bookmarkStart w:id="18" w:name="_Toc15377210"/>
      <w:r>
        <w:rPr>
          <w:rFonts w:hint="eastAsia" w:ascii="仿宋" w:hAnsi="仿宋" w:eastAsia="仿宋"/>
          <w:b/>
          <w:color w:val="auto"/>
          <w:sz w:val="32"/>
          <w:szCs w:val="32"/>
          <w:highlight w:val="none"/>
        </w:rPr>
        <w:t>（一）一般公共预算财政拨款支出决算总体情况</w:t>
      </w:r>
      <w:bookmarkEnd w:id="18"/>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w:t>
      </w:r>
      <w:r>
        <w:rPr>
          <w:rFonts w:hint="default" w:ascii="Times New Roman" w:hAnsi="Times New Roman" w:eastAsia="仿宋" w:cs="Times New Roman"/>
          <w:color w:val="auto"/>
          <w:sz w:val="32"/>
          <w:szCs w:val="32"/>
          <w:highlight w:val="none"/>
          <w:lang w:eastAsia="zh-CN"/>
        </w:rPr>
        <w:t>2022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减少</w:t>
      </w:r>
      <w:r>
        <w:rPr>
          <w:rFonts w:hint="default" w:ascii="Times New Roman" w:hAnsi="Times New Roman" w:eastAsia="仿宋" w:cs="Times New Roman"/>
          <w:color w:val="auto"/>
          <w:sz w:val="32"/>
          <w:szCs w:val="32"/>
          <w:highlight w:val="none"/>
          <w:lang w:val="en-US" w:eastAsia="zh-CN"/>
        </w:rPr>
        <w:t>13.47</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kern w:val="2"/>
          <w:sz w:val="32"/>
          <w:szCs w:val="32"/>
          <w:highlight w:val="none"/>
          <w:lang w:val="en-US" w:eastAsia="zh-CN" w:bidi="ar"/>
        </w:rPr>
        <w:t>本年无换届工作经费，项目支出减少。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90" w:firstLineChars="2900"/>
        <w:textAlignment w:val="auto"/>
        <w:rPr>
          <w:rFonts w:ascii="仿宋" w:hAnsi="仿宋" w:eastAsia="仿宋"/>
          <w:color w:val="auto"/>
          <w:sz w:val="32"/>
          <w:szCs w:val="32"/>
          <w:highlight w:val="none"/>
        </w:rPr>
      </w:pPr>
      <w:r>
        <w:rPr>
          <w:rFonts w:hint="eastAsia" w:ascii="仿宋" w:hAnsi="仿宋" w:eastAsia="仿宋"/>
          <w:color w:val="auto"/>
          <w:sz w:val="21"/>
          <w:szCs w:val="21"/>
          <w:highlight w:val="none"/>
          <w:lang w:val="en-US" w:eastAsia="zh-CN"/>
        </w:rPr>
        <w:t>单位：万元</w:t>
      </w:r>
    </w:p>
    <w:p>
      <w:pPr>
        <w:pStyle w:val="7"/>
        <w:ind w:left="0" w:leftChars="0" w:firstLine="0" w:firstLineChars="0"/>
      </w:pPr>
      <w:r>
        <w:rPr>
          <w:rFonts w:eastAsia="仿宋_GB2312"/>
          <w:color w:val="000000"/>
          <w:sz w:val="32"/>
          <w:szCs w:val="32"/>
        </w:rPr>
        <w:drawing>
          <wp:anchor distT="0" distB="0" distL="114300" distR="114300" simplePos="0" relativeHeight="251664384" behindDoc="0" locked="0" layoutInCell="1" allowOverlap="1">
            <wp:simplePos x="0" y="0"/>
            <wp:positionH relativeFrom="column">
              <wp:posOffset>476250</wp:posOffset>
            </wp:positionH>
            <wp:positionV relativeFrom="paragraph">
              <wp:posOffset>41910</wp:posOffset>
            </wp:positionV>
            <wp:extent cx="4262755" cy="2112010"/>
            <wp:effectExtent l="4445" t="4445" r="19050" b="1714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pPr>
        <w:pStyle w:val="7"/>
      </w:pPr>
    </w:p>
    <w:p>
      <w:pPr>
        <w:pStyle w:val="7"/>
      </w:pPr>
    </w:p>
    <w:p>
      <w:pPr>
        <w:pStyle w:val="7"/>
      </w:pPr>
    </w:p>
    <w:p>
      <w:pPr>
        <w:pStyle w:val="7"/>
      </w:pPr>
    </w:p>
    <w:p>
      <w:pPr>
        <w:pStyle w:val="7"/>
      </w:pPr>
    </w:p>
    <w:p>
      <w:pPr>
        <w:pStyle w:val="7"/>
      </w:pPr>
    </w:p>
    <w:p>
      <w:pPr>
        <w:spacing w:line="600" w:lineRule="exact"/>
        <w:ind w:firstLine="8031" w:firstLineChars="2500"/>
        <w:outlineLvl w:val="2"/>
        <w:rPr>
          <w:rFonts w:hint="eastAsia" w:ascii="仿宋" w:hAnsi="仿宋" w:eastAsia="仿宋"/>
          <w:b/>
          <w:color w:val="auto"/>
          <w:sz w:val="32"/>
          <w:szCs w:val="32"/>
          <w:highlight w:val="none"/>
          <w:lang w:val="en-US" w:eastAsia="zh-CN"/>
        </w:rPr>
      </w:pPr>
      <w:bookmarkStart w:id="19" w:name="_Toc15377211"/>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right="0" w:firstLine="643" w:firstLineChars="200"/>
        <w:jc w:val="both"/>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（二）一般公共预算财政拨款支出决算结构情况</w:t>
      </w:r>
      <w:bookmarkEnd w:id="19"/>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_GB2312" w:cs="Times New Roman"/>
          <w:kern w:val="2"/>
          <w:sz w:val="32"/>
          <w:szCs w:val="32"/>
          <w:lang w:val="en-US" w:eastAsia="zh-CN" w:bidi="ar"/>
        </w:rPr>
        <w:t>991.48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教育支出</w:t>
      </w:r>
      <w:r>
        <w:rPr>
          <w:rFonts w:hint="default" w:ascii="Times New Roman" w:hAnsi="Times New Roman" w:eastAsia="仿宋_GB2312" w:cs="Times New Roman"/>
          <w:kern w:val="2"/>
          <w:sz w:val="32"/>
          <w:szCs w:val="32"/>
          <w:lang w:val="en-US" w:eastAsia="zh-CN" w:bidi="ar"/>
        </w:rPr>
        <w:t>21.66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_GB2312" w:cs="Times New Roman"/>
          <w:kern w:val="2"/>
          <w:sz w:val="32"/>
          <w:szCs w:val="32"/>
          <w:lang w:val="en-US" w:eastAsia="zh-CN" w:bidi="ar"/>
        </w:rPr>
        <w:t>262.1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18.5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_GB2312" w:cs="Times New Roman"/>
          <w:kern w:val="2"/>
          <w:sz w:val="32"/>
          <w:szCs w:val="32"/>
          <w:lang w:val="en-US" w:eastAsia="zh-CN" w:bidi="ar"/>
        </w:rPr>
        <w:t>50.59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3.6</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_GB2312" w:cs="Times New Roman"/>
          <w:kern w:val="2"/>
          <w:sz w:val="32"/>
          <w:szCs w:val="32"/>
          <w:lang w:val="en-US" w:eastAsia="zh-CN" w:bidi="ar"/>
        </w:rPr>
        <w:t>91.03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6.4</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ascii="仿宋" w:hAnsi="仿宋" w:eastAsia="仿宋"/>
          <w:color w:val="auto"/>
          <w:sz w:val="32"/>
          <w:szCs w:val="32"/>
          <w:highlight w:val="none"/>
        </w:rPr>
      </w:pPr>
      <w:r>
        <w:drawing>
          <wp:anchor distT="0" distB="0" distL="114300" distR="114300" simplePos="0" relativeHeight="251665408" behindDoc="0" locked="0" layoutInCell="1" allowOverlap="1">
            <wp:simplePos x="0" y="0"/>
            <wp:positionH relativeFrom="column">
              <wp:posOffset>553085</wp:posOffset>
            </wp:positionH>
            <wp:positionV relativeFrom="paragraph">
              <wp:posOffset>11430</wp:posOffset>
            </wp:positionV>
            <wp:extent cx="4209415" cy="1696085"/>
            <wp:effectExtent l="4445" t="4445" r="15240" b="1397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b/>
          <w:color w:val="auto"/>
          <w:sz w:val="32"/>
          <w:szCs w:val="32"/>
          <w:highlight w:val="none"/>
        </w:rPr>
      </w:pPr>
      <w:bookmarkStart w:id="20" w:name="_Toc15377212"/>
      <w:r>
        <w:rPr>
          <w:rFonts w:hint="default" w:ascii="Times New Roman" w:hAnsi="Times New Roman" w:eastAsia="仿宋" w:cs="Times New Roman"/>
          <w:b/>
          <w:color w:val="auto"/>
          <w:sz w:val="32"/>
          <w:szCs w:val="32"/>
          <w:highlight w:val="none"/>
        </w:rPr>
        <w:t>（三）一般公共预算财政拨款支出决算具体情况</w:t>
      </w:r>
      <w:bookmarkEnd w:id="2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color w:val="auto"/>
          <w:sz w:val="32"/>
          <w:szCs w:val="32"/>
          <w:highlight w:val="none"/>
        </w:rPr>
      </w:pPr>
      <w:bookmarkStart w:id="21" w:name="_Toc15378460"/>
      <w:bookmarkStart w:id="22" w:name="_Toc15377444"/>
      <w:bookmarkStart w:id="23" w:name="_Toc15377213"/>
      <w:r>
        <w:rPr>
          <w:rFonts w:hint="default" w:ascii="Times New Roman" w:hAnsi="Times New Roman" w:eastAsia="仿宋" w:cs="Times New Roman"/>
          <w:b/>
          <w:color w:val="auto"/>
          <w:sz w:val="32"/>
          <w:szCs w:val="32"/>
          <w:highlight w:val="none"/>
          <w:lang w:eastAsia="zh-CN"/>
        </w:rPr>
        <w:t>2023</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度一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w:t>
      </w:r>
      <w:r>
        <w:rPr>
          <w:rStyle w:val="17"/>
          <w:rFonts w:hint="default" w:ascii="Times New Roman" w:hAnsi="Times New Roman" w:eastAsia="仿宋" w:cs="Times New Roman"/>
          <w:bCs/>
          <w:color w:val="auto"/>
          <w:sz w:val="32"/>
          <w:szCs w:val="32"/>
          <w:highlight w:val="none"/>
        </w:rPr>
        <w:t>完成预算</w:t>
      </w:r>
      <w:r>
        <w:rPr>
          <w:rStyle w:val="17"/>
          <w:rFonts w:hint="default" w:ascii="Times New Roman" w:hAnsi="Times New Roman" w:eastAsia="仿宋" w:cs="Times New Roman"/>
          <w:bCs/>
          <w:color w:val="auto"/>
          <w:sz w:val="32"/>
          <w:szCs w:val="32"/>
          <w:highlight w:val="none"/>
          <w:lang w:val="en-US" w:eastAsia="zh-CN"/>
        </w:rPr>
        <w:t>93.7</w:t>
      </w:r>
      <w:r>
        <w:rPr>
          <w:rStyle w:val="17"/>
          <w:rFonts w:hint="default" w:ascii="Times New Roman" w:hAnsi="Times New Roman" w:eastAsia="仿宋" w:cs="Times New Roman"/>
          <w:bCs/>
          <w:color w:val="auto"/>
          <w:sz w:val="32"/>
          <w:szCs w:val="32"/>
          <w:highlight w:val="none"/>
        </w:rPr>
        <w:t>%。其中：</w:t>
      </w:r>
      <w:bookmarkEnd w:id="21"/>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val="0"/>
          <w:bCs/>
          <w:color w:val="auto"/>
          <w:sz w:val="32"/>
          <w:szCs w:val="32"/>
          <w:highlight w:val="none"/>
        </w:rPr>
      </w:pPr>
      <w:r>
        <w:rPr>
          <w:rStyle w:val="17"/>
          <w:rFonts w:hint="default" w:ascii="Times New Roman" w:hAnsi="Times New Roman" w:eastAsia="仿宋" w:cs="Times New Roman"/>
          <w:bCs/>
          <w:color w:val="000000"/>
          <w:sz w:val="32"/>
          <w:szCs w:val="32"/>
          <w:lang w:val="en-US" w:eastAsia="zh-CN"/>
        </w:rPr>
        <w:t>1.</w:t>
      </w:r>
      <w:r>
        <w:rPr>
          <w:rStyle w:val="17"/>
          <w:rFonts w:hint="default" w:ascii="Times New Roman" w:hAnsi="Times New Roman" w:eastAsia="仿宋" w:cs="Times New Roman"/>
          <w:bCs/>
          <w:color w:val="000000"/>
          <w:sz w:val="32"/>
          <w:szCs w:val="32"/>
        </w:rPr>
        <w:t>一般公共服务（类）民主党派及工商联事务（款）行政运行（项）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801.58</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92.7</w:t>
      </w:r>
      <w:r>
        <w:rPr>
          <w:rStyle w:val="17"/>
          <w:rFonts w:hint="default" w:ascii="Times New Roman" w:hAnsi="Times New Roman" w:eastAsia="仿宋" w:cs="Times New Roman"/>
          <w:b w:val="0"/>
          <w:bCs/>
          <w:color w:val="auto"/>
          <w:sz w:val="32"/>
          <w:szCs w:val="32"/>
          <w:highlight w:val="none"/>
        </w:rPr>
        <w:t>%，决算数小于预算数的主要原因是</w:t>
      </w:r>
      <w:r>
        <w:rPr>
          <w:rStyle w:val="17"/>
          <w:rFonts w:hint="default" w:ascii="Times New Roman" w:hAnsi="Times New Roman" w:eastAsia="仿宋" w:cs="Times New Roman"/>
          <w:b w:val="0"/>
          <w:bCs/>
          <w:color w:val="auto"/>
          <w:sz w:val="32"/>
          <w:szCs w:val="32"/>
          <w:highlight w:val="none"/>
          <w:lang w:eastAsia="zh-CN"/>
        </w:rPr>
        <w:t>职工退休，工资奖金津补贴等工资性支出减少</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val="0"/>
          <w:bCs/>
          <w:color w:val="auto"/>
          <w:sz w:val="32"/>
          <w:szCs w:val="32"/>
          <w:highlight w:val="none"/>
        </w:rPr>
      </w:pPr>
      <w:r>
        <w:rPr>
          <w:rStyle w:val="17"/>
          <w:rFonts w:hint="default" w:ascii="Times New Roman" w:hAnsi="Times New Roman" w:eastAsia="仿宋" w:cs="Times New Roman"/>
          <w:bCs/>
          <w:color w:val="000000"/>
          <w:sz w:val="32"/>
          <w:szCs w:val="32"/>
          <w:lang w:val="en-US" w:eastAsia="zh-CN"/>
        </w:rPr>
        <w:t>2.</w:t>
      </w:r>
      <w:r>
        <w:rPr>
          <w:rStyle w:val="17"/>
          <w:rFonts w:hint="default" w:ascii="Times New Roman" w:hAnsi="Times New Roman" w:eastAsia="仿宋" w:cs="Times New Roman"/>
          <w:bCs/>
          <w:color w:val="000000"/>
          <w:sz w:val="32"/>
          <w:szCs w:val="32"/>
        </w:rPr>
        <w:t>一般公共服务（类）民主党派及工商联事务（款）</w:t>
      </w:r>
      <w:r>
        <w:rPr>
          <w:rStyle w:val="17"/>
          <w:rFonts w:hint="default" w:ascii="Times New Roman" w:hAnsi="Times New Roman" w:eastAsia="仿宋" w:cs="Times New Roman"/>
          <w:bCs/>
          <w:color w:val="000000"/>
          <w:sz w:val="32"/>
          <w:szCs w:val="32"/>
          <w:lang w:eastAsia="zh-CN"/>
        </w:rPr>
        <w:t>一般行政管理事务</w:t>
      </w:r>
      <w:r>
        <w:rPr>
          <w:rStyle w:val="17"/>
          <w:rFonts w:hint="default" w:ascii="Times New Roman" w:hAnsi="Times New Roman" w:eastAsia="仿宋" w:cs="Times New Roman"/>
          <w:bCs/>
          <w:color w:val="000000"/>
          <w:sz w:val="32"/>
          <w:szCs w:val="32"/>
        </w:rPr>
        <w:t>（项）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31.5</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val="0"/>
          <w:bCs/>
          <w:color w:val="auto"/>
          <w:sz w:val="32"/>
          <w:szCs w:val="32"/>
          <w:highlight w:val="none"/>
          <w:lang w:val="en-US" w:eastAsia="zh-CN"/>
        </w:rPr>
      </w:pPr>
      <w:r>
        <w:rPr>
          <w:rStyle w:val="17"/>
          <w:rFonts w:hint="default" w:ascii="Times New Roman" w:hAnsi="Times New Roman" w:eastAsia="仿宋" w:cs="Times New Roman"/>
          <w:bCs/>
          <w:color w:val="000000"/>
          <w:sz w:val="32"/>
          <w:szCs w:val="32"/>
        </w:rPr>
        <w:t>3.一般公共服务（类）民主党派及工商联事务（款）参政议政（项）:</w:t>
      </w:r>
      <w:r>
        <w:rPr>
          <w:rStyle w:val="17"/>
          <w:rFonts w:hint="default" w:ascii="Times New Roman" w:hAnsi="Times New Roman" w:eastAsia="仿宋" w:cs="Times New Roman"/>
          <w:b w:val="0"/>
          <w:bCs/>
          <w:color w:val="auto"/>
          <w:sz w:val="32"/>
          <w:szCs w:val="32"/>
          <w:highlight w:val="none"/>
        </w:rPr>
        <w:t>支出决算为</w:t>
      </w:r>
      <w:r>
        <w:rPr>
          <w:rStyle w:val="17"/>
          <w:rFonts w:hint="default" w:ascii="Times New Roman" w:hAnsi="Times New Roman" w:eastAsia="仿宋" w:cs="Times New Roman"/>
          <w:b w:val="0"/>
          <w:bCs/>
          <w:color w:val="auto"/>
          <w:sz w:val="32"/>
          <w:szCs w:val="32"/>
          <w:highlight w:val="none"/>
          <w:lang w:val="en-US" w:eastAsia="zh-CN"/>
        </w:rPr>
        <w:t>158.41</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99.9</w:t>
      </w:r>
      <w:r>
        <w:rPr>
          <w:rStyle w:val="17"/>
          <w:rFonts w:hint="default" w:ascii="Times New Roman" w:hAnsi="Times New Roman" w:eastAsia="仿宋" w:cs="Times New Roman"/>
          <w:b w:val="0"/>
          <w:bCs/>
          <w:color w:val="auto"/>
          <w:sz w:val="32"/>
          <w:szCs w:val="32"/>
          <w:highlight w:val="none"/>
        </w:rPr>
        <w:t>%，决算数小于预算数的主要原因是</w:t>
      </w:r>
      <w:r>
        <w:rPr>
          <w:rStyle w:val="17"/>
          <w:rFonts w:hint="default" w:ascii="Times New Roman" w:hAnsi="Times New Roman" w:eastAsia="仿宋" w:cs="Times New Roman"/>
          <w:b w:val="0"/>
          <w:bCs/>
          <w:color w:val="auto"/>
          <w:sz w:val="32"/>
          <w:szCs w:val="32"/>
          <w:highlight w:val="none"/>
          <w:lang w:eastAsia="zh-CN"/>
        </w:rPr>
        <w:t>设备购置费按标准预算，实际购买支出金额比标准金额少</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4</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Cs/>
          <w:color w:val="000000"/>
          <w:sz w:val="32"/>
          <w:szCs w:val="32"/>
        </w:rPr>
        <w:t>教育（类）进修及培训（款）培训支出（项）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21.66</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5</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Cs/>
          <w:color w:val="000000"/>
          <w:sz w:val="32"/>
          <w:szCs w:val="32"/>
        </w:rPr>
        <w:t>社会保障和就业（类）行政事业单位养老支出（款）行政单位离退休（项）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163.06</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96</w:t>
      </w:r>
      <w:r>
        <w:rPr>
          <w:rStyle w:val="17"/>
          <w:rFonts w:hint="default" w:ascii="Times New Roman" w:hAnsi="Times New Roman" w:eastAsia="仿宋" w:cs="Times New Roman"/>
          <w:b w:val="0"/>
          <w:bCs/>
          <w:color w:val="auto"/>
          <w:sz w:val="32"/>
          <w:szCs w:val="32"/>
          <w:highlight w:val="none"/>
        </w:rPr>
        <w:t>%，决算数小于预算数的主要原因是</w:t>
      </w:r>
      <w:r>
        <w:rPr>
          <w:rStyle w:val="17"/>
          <w:rFonts w:hint="default" w:ascii="Times New Roman" w:hAnsi="Times New Roman" w:eastAsia="仿宋" w:cs="Times New Roman"/>
          <w:b w:val="0"/>
          <w:bCs/>
          <w:color w:val="auto"/>
          <w:sz w:val="32"/>
          <w:szCs w:val="32"/>
          <w:highlight w:val="none"/>
          <w:lang w:eastAsia="zh-CN"/>
        </w:rPr>
        <w:t>退休人员一次性补贴按人社局核定金额支出，小于预算金额</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6</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Cs/>
          <w:color w:val="000000"/>
          <w:sz w:val="32"/>
          <w:szCs w:val="32"/>
        </w:rPr>
        <w:t>社会保障和就业（类）行政事业单位养老支出（款）机关事业单位基本养老保险缴费支出（项）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69.78</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88.58</w:t>
      </w:r>
      <w:r>
        <w:rPr>
          <w:rStyle w:val="17"/>
          <w:rFonts w:hint="default" w:ascii="Times New Roman" w:hAnsi="Times New Roman" w:eastAsia="仿宋" w:cs="Times New Roman"/>
          <w:b w:val="0"/>
          <w:bCs/>
          <w:color w:val="auto"/>
          <w:sz w:val="32"/>
          <w:szCs w:val="32"/>
          <w:highlight w:val="none"/>
        </w:rPr>
        <w:t>%，决算数小于预算数的主要原因是</w:t>
      </w:r>
      <w:r>
        <w:rPr>
          <w:rStyle w:val="17"/>
          <w:rFonts w:hint="default" w:ascii="Times New Roman" w:hAnsi="Times New Roman" w:eastAsia="仿宋" w:cs="Times New Roman"/>
          <w:b w:val="0"/>
          <w:bCs/>
          <w:color w:val="auto"/>
          <w:sz w:val="32"/>
          <w:szCs w:val="32"/>
          <w:highlight w:val="none"/>
          <w:lang w:val="en-US" w:eastAsia="zh-CN"/>
        </w:rPr>
        <w:t>1名职工退休</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val="0"/>
          <w:bCs/>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7</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Cs/>
          <w:color w:val="000000"/>
          <w:sz w:val="32"/>
          <w:szCs w:val="32"/>
        </w:rPr>
        <w:t>社会保障和就业（类）行政事业单位养老支出（款）机关事业单位</w:t>
      </w:r>
      <w:r>
        <w:rPr>
          <w:rStyle w:val="17"/>
          <w:rFonts w:hint="default" w:ascii="Times New Roman" w:hAnsi="Times New Roman" w:eastAsia="仿宋" w:cs="Times New Roman"/>
          <w:bCs/>
          <w:color w:val="000000"/>
          <w:sz w:val="32"/>
          <w:szCs w:val="32"/>
          <w:lang w:eastAsia="zh-CN"/>
        </w:rPr>
        <w:t>职业年金</w:t>
      </w:r>
      <w:r>
        <w:rPr>
          <w:rStyle w:val="17"/>
          <w:rFonts w:hint="default" w:ascii="Times New Roman" w:hAnsi="Times New Roman" w:eastAsia="仿宋" w:cs="Times New Roman"/>
          <w:bCs/>
          <w:color w:val="000000"/>
          <w:sz w:val="32"/>
          <w:szCs w:val="32"/>
        </w:rPr>
        <w:t>缴费支出（项）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29.26</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bCs w:val="0"/>
          <w:color w:val="auto"/>
          <w:sz w:val="32"/>
          <w:szCs w:val="32"/>
          <w:highlight w:val="none"/>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（类）行政事业单位医疗（款）行政单位医疗（项）:</w:t>
      </w:r>
      <w:r>
        <w:rPr>
          <w:rStyle w:val="17"/>
          <w:rFonts w:hint="default" w:ascii="Times New Roman" w:hAnsi="Times New Roman" w:eastAsia="仿宋" w:cs="Times New Roman"/>
          <w:b w:val="0"/>
          <w:bCs/>
          <w:color w:val="000000"/>
          <w:sz w:val="32"/>
          <w:szCs w:val="32"/>
        </w:rPr>
        <w:t>支出决算为</w:t>
      </w:r>
      <w:r>
        <w:rPr>
          <w:rStyle w:val="17"/>
          <w:rFonts w:hint="default" w:ascii="Times New Roman" w:hAnsi="Times New Roman" w:eastAsia="仿宋" w:cs="Times New Roman"/>
          <w:b w:val="0"/>
          <w:bCs/>
          <w:color w:val="000000"/>
          <w:sz w:val="32"/>
          <w:szCs w:val="32"/>
          <w:lang w:val="en-US" w:eastAsia="zh-CN"/>
        </w:rPr>
        <w:t>40.47</w:t>
      </w:r>
      <w:r>
        <w:rPr>
          <w:rStyle w:val="17"/>
          <w:rFonts w:hint="default" w:ascii="Times New Roman" w:hAnsi="Times New Roman" w:eastAsia="仿宋" w:cs="Times New Roman"/>
          <w:b w:val="0"/>
          <w:bCs/>
          <w:color w:val="000000"/>
          <w:sz w:val="32"/>
          <w:szCs w:val="32"/>
        </w:rPr>
        <w:t>万元，</w:t>
      </w:r>
      <w:r>
        <w:rPr>
          <w:rStyle w:val="17"/>
          <w:rFonts w:hint="default" w:ascii="Times New Roman" w:hAnsi="Times New Roman" w:eastAsia="仿宋" w:cs="Times New Roman"/>
          <w:b w:val="0"/>
          <w:bCs/>
          <w:color w:val="auto"/>
          <w:sz w:val="32"/>
          <w:szCs w:val="32"/>
          <w:highlight w:val="none"/>
        </w:rPr>
        <w:t>成预算</w:t>
      </w:r>
      <w:r>
        <w:rPr>
          <w:rStyle w:val="17"/>
          <w:rFonts w:hint="default" w:ascii="Times New Roman" w:hAnsi="Times New Roman" w:eastAsia="仿宋" w:cs="Times New Roman"/>
          <w:b w:val="0"/>
          <w:bCs/>
          <w:color w:val="auto"/>
          <w:sz w:val="32"/>
          <w:szCs w:val="32"/>
          <w:highlight w:val="none"/>
          <w:lang w:val="en-US" w:eastAsia="zh-CN"/>
        </w:rPr>
        <w:t>77.66</w:t>
      </w:r>
      <w:r>
        <w:rPr>
          <w:rStyle w:val="17"/>
          <w:rFonts w:hint="default" w:ascii="Times New Roman" w:hAnsi="Times New Roman" w:eastAsia="仿宋" w:cs="Times New Roman"/>
          <w:b w:val="0"/>
          <w:bCs/>
          <w:color w:val="auto"/>
          <w:sz w:val="32"/>
          <w:szCs w:val="32"/>
          <w:highlight w:val="none"/>
        </w:rPr>
        <w:t>%，决算数小于预算数的主要原因是</w:t>
      </w:r>
      <w:r>
        <w:rPr>
          <w:rStyle w:val="17"/>
          <w:rFonts w:hint="default" w:ascii="Times New Roman" w:hAnsi="Times New Roman" w:eastAsia="仿宋" w:cs="Times New Roman"/>
          <w:b w:val="0"/>
          <w:bCs/>
          <w:color w:val="auto"/>
          <w:sz w:val="32"/>
          <w:szCs w:val="32"/>
          <w:highlight w:val="none"/>
          <w:lang w:val="en-US" w:eastAsia="zh-CN"/>
        </w:rPr>
        <w:t>1名职工退休</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9</w:t>
      </w:r>
      <w:r>
        <w:rPr>
          <w:rStyle w:val="17"/>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Fonts w:hint="default" w:ascii="Times New Roman" w:hAnsi="Times New Roman" w:eastAsia="仿宋" w:cs="Times New Roman"/>
          <w:b/>
          <w:bCs/>
          <w:color w:val="000000"/>
          <w:sz w:val="32"/>
          <w:szCs w:val="32"/>
        </w:rPr>
        <w:t>（类）行政事业单位医疗（款）公务员医疗补助（项）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支出决算为</w:t>
      </w:r>
      <w:r>
        <w:rPr>
          <w:rStyle w:val="17"/>
          <w:rFonts w:hint="default" w:ascii="Times New Roman" w:hAnsi="Times New Roman" w:eastAsia="仿宋" w:cs="Times New Roman"/>
          <w:b w:val="0"/>
          <w:bCs/>
          <w:color w:val="auto"/>
          <w:sz w:val="32"/>
          <w:szCs w:val="32"/>
          <w:highlight w:val="none"/>
          <w:lang w:val="en-US" w:eastAsia="zh-CN"/>
        </w:rPr>
        <w:t>10.12</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val="0"/>
          <w:bCs/>
          <w:color w:val="auto"/>
          <w:sz w:val="32"/>
          <w:szCs w:val="32"/>
          <w:highlight w:val="none"/>
          <w:lang w:val="en-US" w:eastAsia="zh-CN"/>
        </w:rPr>
      </w:pPr>
      <w:r>
        <w:rPr>
          <w:rStyle w:val="17"/>
          <w:rFonts w:hint="default" w:ascii="Times New Roman" w:hAnsi="Times New Roman" w:eastAsia="仿宋" w:cs="Times New Roman"/>
          <w:bCs/>
          <w:color w:val="auto"/>
          <w:sz w:val="32"/>
          <w:szCs w:val="32"/>
          <w:highlight w:val="none"/>
          <w:lang w:val="en-US" w:eastAsia="zh-CN"/>
        </w:rPr>
        <w:t>10.住房保障（类）住房改革支出（款）住房公积金（项）：</w:t>
      </w:r>
      <w:r>
        <w:rPr>
          <w:rStyle w:val="17"/>
          <w:rFonts w:hint="default" w:ascii="Times New Roman" w:hAnsi="Times New Roman" w:eastAsia="仿宋" w:cs="Times New Roman"/>
          <w:b w:val="0"/>
          <w:bCs/>
          <w:color w:val="auto"/>
          <w:sz w:val="32"/>
          <w:szCs w:val="32"/>
          <w:highlight w:val="none"/>
          <w:lang w:val="en-US" w:eastAsia="zh-CN"/>
        </w:rPr>
        <w:t>支出决算为62.45万元，完成预算93.88%，决算数小于预算数的主要原因是1名职工退休。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11.住房保障（类）住房改革支出（款）购房补贴（项）:</w:t>
      </w:r>
      <w:r>
        <w:rPr>
          <w:rStyle w:val="17"/>
          <w:rFonts w:hint="default" w:ascii="Times New Roman" w:hAnsi="Times New Roman" w:eastAsia="仿宋" w:cs="Times New Roman"/>
          <w:b w:val="0"/>
          <w:bCs/>
          <w:color w:val="auto"/>
          <w:sz w:val="32"/>
          <w:szCs w:val="32"/>
          <w:highlight w:val="none"/>
          <w:lang w:val="en-US" w:eastAsia="zh-CN"/>
        </w:rPr>
        <w:t>支出决算为28.57万元，完成预算97.8%，决算数小于预算数的主要原因是1名职工退休。</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9"/>
          <w:color w:val="auto"/>
          <w:highlight w:val="none"/>
        </w:rPr>
      </w:pPr>
      <w:bookmarkStart w:id="24" w:name="_Toc15377214"/>
      <w:bookmarkStart w:id="2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24"/>
      <w:bookmarkEnd w:id="25"/>
      <w:r>
        <w:rPr>
          <w:rStyle w:val="29"/>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一般公共预算财政拨款基本支出</w:t>
      </w:r>
      <w:r>
        <w:rPr>
          <w:rFonts w:hint="default" w:ascii="Times New Roman" w:hAnsi="Times New Roman" w:eastAsia="仿宋" w:cs="Times New Roman"/>
          <w:color w:val="auto"/>
          <w:sz w:val="32"/>
          <w:szCs w:val="32"/>
          <w:highlight w:val="none"/>
          <w:lang w:val="en-US" w:eastAsia="zh-CN"/>
        </w:rPr>
        <w:t>122</w:t>
      </w:r>
      <w:r>
        <w:rPr>
          <w:rFonts w:hint="eastAsia"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910.64</w:t>
      </w:r>
      <w:r>
        <w:rPr>
          <w:rFonts w:hint="default" w:ascii="Times New Roman" w:hAnsi="Times New Roman" w:eastAsia="仿宋" w:cs="Times New Roman"/>
          <w:color w:val="auto"/>
          <w:sz w:val="32"/>
          <w:szCs w:val="32"/>
          <w:highlight w:val="none"/>
        </w:rPr>
        <w:t>万元，主要包括：基本工资、津贴补贴、奖金、机关事业单位基本养老保险缴费、职业年金缴费、其他社会保障缴费、其他工资福利支出、离休费、退休费、生活补助、医疗费补助、奖励金、住房公积金、其他对个人和家庭的补助支出等。</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default" w:ascii="Times New Roman" w:hAnsi="Times New Roman" w:eastAsia="仿宋" w:cs="Times New Roman"/>
          <w:color w:val="auto"/>
          <w:sz w:val="32"/>
          <w:szCs w:val="32"/>
          <w:highlight w:val="none"/>
          <w:lang w:val="en-US" w:eastAsia="zh-CN"/>
        </w:rPr>
        <w:t>316.31</w:t>
      </w:r>
      <w:r>
        <w:rPr>
          <w:rFonts w:hint="default" w:ascii="Times New Roman" w:hAnsi="Times New Roman" w:eastAsia="仿宋" w:cs="Times New Roman"/>
          <w:color w:val="auto"/>
          <w:sz w:val="32"/>
          <w:szCs w:val="32"/>
          <w:highlight w:val="none"/>
        </w:rPr>
        <w:t>万元，主要包括：办公费、印刷费、水费、电费、邮电费、差旅费、维修（护）费、租赁费、会议费、培训费、公务接待费、劳务费、委托业务费、工会经费、福利费、公务用车运行维护费、其他交通费、其他商品和服务支出、办公设备购置等。</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9"/>
          <w:rFonts w:hint="default" w:ascii="Times New Roman" w:hAnsi="Times New Roman" w:eastAsia="黑体" w:cs="Times New Roman"/>
          <w:b w:val="0"/>
          <w:color w:val="auto"/>
          <w:highlight w:val="none"/>
        </w:rPr>
      </w:pPr>
      <w:bookmarkStart w:id="26" w:name="_Toc15396609"/>
      <w:bookmarkStart w:id="27" w:name="_Toc15377215"/>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2"/>
        <w:rPr>
          <w:rFonts w:hint="default" w:ascii="Times New Roman" w:hAnsi="Times New Roman" w:eastAsia="仿宋" w:cs="Times New Roman"/>
          <w:b/>
          <w:color w:val="auto"/>
          <w:sz w:val="32"/>
          <w:szCs w:val="32"/>
          <w:highlight w:val="none"/>
        </w:rPr>
      </w:pPr>
      <w:bookmarkStart w:id="28" w:name="_Toc15377216"/>
      <w:r>
        <w:rPr>
          <w:rFonts w:hint="default" w:ascii="Times New Roman" w:hAnsi="Times New Roman" w:eastAsia="仿宋" w:cs="Times New Roman"/>
          <w:b/>
          <w:color w:val="auto"/>
          <w:sz w:val="32"/>
          <w:szCs w:val="32"/>
          <w:highlight w:val="none"/>
        </w:rPr>
        <w:t>（一）“三公”经费财政拨款支出决算总体情况说明</w:t>
      </w:r>
      <w:bookmarkEnd w:id="28"/>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“三公”经费财政拨款支出决算为</w:t>
      </w:r>
      <w:r>
        <w:rPr>
          <w:rFonts w:hint="default" w:ascii="Times New Roman" w:hAnsi="Times New Roman" w:eastAsia="仿宋" w:cs="Times New Roman"/>
          <w:color w:val="auto"/>
          <w:sz w:val="32"/>
          <w:szCs w:val="32"/>
          <w:highlight w:val="none"/>
          <w:lang w:val="en-US" w:eastAsia="zh-CN"/>
        </w:rPr>
        <w:t>13.75</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91.67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较上年度增加</w:t>
      </w:r>
      <w:r>
        <w:rPr>
          <w:rFonts w:hint="default" w:ascii="Times New Roman" w:hAnsi="Times New Roman" w:eastAsia="仿宋" w:cs="Times New Roman"/>
          <w:color w:val="auto"/>
          <w:sz w:val="32"/>
          <w:szCs w:val="32"/>
          <w:highlight w:val="none"/>
          <w:lang w:val="en-US" w:eastAsia="zh-CN"/>
        </w:rPr>
        <w:t>5.02万元，增长57.5%。</w:t>
      </w:r>
      <w:r>
        <w:rPr>
          <w:rFonts w:hint="default" w:ascii="Times New Roman" w:hAnsi="Times New Roman" w:eastAsia="仿宋" w:cs="Times New Roman"/>
          <w:color w:val="auto"/>
          <w:sz w:val="32"/>
          <w:szCs w:val="32"/>
          <w:highlight w:val="none"/>
        </w:rPr>
        <w:t>决算数小于预算数的主要原因是</w:t>
      </w:r>
      <w:r>
        <w:rPr>
          <w:rFonts w:hint="default" w:ascii="Times New Roman" w:hAnsi="Times New Roman" w:eastAsia="仿宋" w:cs="Times New Roman"/>
          <w:color w:val="auto"/>
          <w:sz w:val="32"/>
          <w:szCs w:val="32"/>
          <w:highlight w:val="none"/>
          <w:lang w:eastAsia="zh-CN"/>
        </w:rPr>
        <w:t>厉行节约，公务接待费减少</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2"/>
        <w:rPr>
          <w:rFonts w:hint="default" w:ascii="Times New Roman" w:hAnsi="Times New Roman" w:eastAsia="仿宋" w:cs="Times New Roman"/>
          <w:b/>
          <w:color w:val="auto"/>
          <w:sz w:val="32"/>
          <w:szCs w:val="32"/>
          <w:highlight w:val="none"/>
        </w:rPr>
      </w:pPr>
      <w:bookmarkStart w:id="29" w:name="_Toc15377217"/>
      <w:r>
        <w:rPr>
          <w:rFonts w:hint="default" w:ascii="Times New Roman" w:hAnsi="Times New Roman" w:eastAsia="仿宋" w:cs="Times New Roman"/>
          <w:b/>
          <w:color w:val="auto"/>
          <w:sz w:val="32"/>
          <w:szCs w:val="32"/>
          <w:highlight w:val="none"/>
        </w:rPr>
        <w:t>（二）“三公”经费财政拨款支出决算具体情况说明</w:t>
      </w:r>
      <w:bookmarkEnd w:id="29"/>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9.92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72.15</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3.83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27.85</w:t>
      </w:r>
      <w:r>
        <w:rPr>
          <w:rFonts w:hint="default" w:ascii="Times New Roman" w:hAnsi="Times New Roman" w:eastAsia="仿宋" w:cs="Times New Roman"/>
          <w:color w:val="auto"/>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w:t>
      </w:r>
    </w:p>
    <w:p>
      <w:pPr>
        <w:keepNext w:val="0"/>
        <w:keepLines w:val="0"/>
        <w:pageBreakBefore w:val="0"/>
        <w:widowControl w:val="0"/>
        <w:kinsoku/>
        <w:wordWrap/>
        <w:overflowPunct/>
        <w:topLinePunct w:val="0"/>
        <w:autoSpaceDE/>
        <w:autoSpaceDN/>
        <w:bidi w:val="0"/>
        <w:adjustRightInd/>
        <w:snapToGrid/>
        <w:spacing w:line="720" w:lineRule="auto"/>
        <w:ind w:firstLine="641"/>
        <w:textAlignment w:val="auto"/>
        <w:rPr>
          <w:rFonts w:hint="eastAsia" w:ascii="仿宋" w:hAnsi="仿宋" w:eastAsia="仿宋"/>
          <w:color w:val="auto"/>
          <w:sz w:val="32"/>
          <w:szCs w:val="32"/>
          <w:highlight w:val="none"/>
        </w:rPr>
      </w:pPr>
      <w:r>
        <w:rPr>
          <w:rFonts w:hint="eastAsia" w:ascii="仿宋_GB2312" w:eastAsia="仿宋_GB2312"/>
          <w:color w:val="000000"/>
          <w:sz w:val="32"/>
          <w:szCs w:val="32"/>
        </w:rPr>
        <w:drawing>
          <wp:anchor distT="0" distB="0" distL="114300" distR="114300" simplePos="0" relativeHeight="251666432" behindDoc="0" locked="0" layoutInCell="1" allowOverlap="1">
            <wp:simplePos x="0" y="0"/>
            <wp:positionH relativeFrom="column">
              <wp:posOffset>575945</wp:posOffset>
            </wp:positionH>
            <wp:positionV relativeFrom="paragraph">
              <wp:posOffset>128270</wp:posOffset>
            </wp:positionV>
            <wp:extent cx="4326890" cy="1930400"/>
            <wp:effectExtent l="4445" t="4445" r="12065" b="825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pPr>
        <w:keepNext w:val="0"/>
        <w:keepLines w:val="0"/>
        <w:pageBreakBefore w:val="0"/>
        <w:widowControl w:val="0"/>
        <w:kinsoku/>
        <w:wordWrap/>
        <w:overflowPunct/>
        <w:topLinePunct w:val="0"/>
        <w:autoSpaceDE/>
        <w:autoSpaceDN/>
        <w:bidi w:val="0"/>
        <w:adjustRightInd/>
        <w:snapToGrid/>
        <w:spacing w:line="720" w:lineRule="auto"/>
        <w:ind w:firstLine="641"/>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720" w:lineRule="auto"/>
        <w:ind w:firstLine="641"/>
        <w:textAlignment w:val="auto"/>
        <w:rPr>
          <w:rFonts w:hint="eastAsia" w:ascii="仿宋" w:hAnsi="仿宋" w:eastAsia="仿宋"/>
          <w:color w:val="auto"/>
          <w:sz w:val="32"/>
          <w:szCs w:val="32"/>
          <w:highlight w:val="none"/>
        </w:rPr>
      </w:pPr>
    </w:p>
    <w:p>
      <w:pPr>
        <w:spacing w:line="600" w:lineRule="exact"/>
        <w:ind w:firstLine="640"/>
        <w:rPr>
          <w:rFonts w:ascii="仿宋_GB2312" w:eastAsia="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9.92</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val="0"/>
          <w:bCs/>
          <w:color w:val="auto"/>
          <w:sz w:val="32"/>
          <w:szCs w:val="32"/>
          <w:highlight w:val="none"/>
          <w:lang w:val="en-US" w:eastAsia="zh-CN"/>
        </w:rPr>
        <w:t>99.2</w:t>
      </w:r>
      <w:r>
        <w:rPr>
          <w:rStyle w:val="17"/>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3.09</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45.24</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疫情放开，公务出行活动增加</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全年按规定更新购置公务用车</w:t>
      </w:r>
      <w:r>
        <w:rPr>
          <w:rFonts w:hint="default" w:ascii="Times New Roman" w:hAnsi="Times New Roman" w:eastAsia="仿宋_GB2312" w:cs="Times New Roman"/>
          <w:color w:val="auto"/>
          <w:sz w:val="32"/>
          <w:szCs w:val="32"/>
          <w:highlight w:val="none"/>
          <w:lang w:val="en-US"/>
        </w:rPr>
        <w:t>0</w:t>
      </w:r>
      <w:r>
        <w:rPr>
          <w:rFonts w:hint="default" w:ascii="Times New Roman" w:hAnsi="Times New Roman" w:eastAsia="仿宋_GB2312" w:cs="Times New Roman"/>
          <w:color w:val="auto"/>
          <w:sz w:val="32"/>
          <w:szCs w:val="32"/>
          <w:highlight w:val="none"/>
        </w:rPr>
        <w:t>辆。截至20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年12月底，</w:t>
      </w:r>
      <w:r>
        <w:rPr>
          <w:rFonts w:hint="default" w:ascii="Times New Roman" w:hAnsi="Times New Roman" w:eastAsia="仿宋_GB2312" w:cs="Times New Roman"/>
          <w:color w:val="auto"/>
          <w:sz w:val="32"/>
          <w:szCs w:val="32"/>
          <w:highlight w:val="none"/>
          <w:lang w:eastAsia="zh-CN"/>
        </w:rPr>
        <w:t>民革四川省委会</w:t>
      </w:r>
      <w:r>
        <w:rPr>
          <w:rFonts w:hint="eastAsia" w:eastAsia="仿宋_GB2312" w:cs="Times New Roman"/>
          <w:color w:val="auto"/>
          <w:sz w:val="32"/>
          <w:szCs w:val="32"/>
          <w:highlight w:val="none"/>
          <w:lang w:eastAsia="zh-CN"/>
        </w:rPr>
        <w:t>机关</w:t>
      </w:r>
      <w:r>
        <w:rPr>
          <w:rFonts w:hint="default" w:ascii="Times New Roman" w:hAnsi="Times New Roman" w:eastAsia="仿宋_GB2312" w:cs="Times New Roman"/>
          <w:color w:val="auto"/>
          <w:sz w:val="32"/>
          <w:szCs w:val="32"/>
          <w:highlight w:val="none"/>
        </w:rPr>
        <w:t>共有公务用车</w:t>
      </w:r>
      <w:r>
        <w:rPr>
          <w:rFonts w:hint="default" w:ascii="Times New Roman" w:hAnsi="Times New Roman" w:eastAsia="仿宋_GB2312" w:cs="Times New Roman"/>
          <w:color w:val="auto"/>
          <w:sz w:val="32"/>
          <w:szCs w:val="32"/>
          <w:highlight w:val="none"/>
          <w:lang w:val="en-US"/>
        </w:rPr>
        <w:t>3</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rPr>
        <w:t>2</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rPr>
        <w:t>1</w:t>
      </w:r>
      <w:r>
        <w:rPr>
          <w:rFonts w:hint="default" w:ascii="Times New Roman" w:hAnsi="Times New Roman" w:eastAsia="仿宋_GB2312" w:cs="Times New Roman"/>
          <w:color w:val="auto"/>
          <w:sz w:val="32"/>
          <w:szCs w:val="32"/>
          <w:highlight w:val="none"/>
        </w:rPr>
        <w:t>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9.92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000000"/>
          <w:sz w:val="32"/>
          <w:szCs w:val="32"/>
        </w:rPr>
        <w:t>主要用于</w:t>
      </w:r>
      <w:r>
        <w:rPr>
          <w:rFonts w:hint="default" w:ascii="Times New Roman" w:hAnsi="Times New Roman" w:eastAsia="仿宋" w:cs="Times New Roman"/>
          <w:sz w:val="32"/>
          <w:szCs w:val="32"/>
        </w:rPr>
        <w:t>民革四川省委</w:t>
      </w:r>
      <w:r>
        <w:rPr>
          <w:rFonts w:hint="default" w:ascii="Times New Roman" w:hAnsi="Times New Roman" w:eastAsia="仿宋" w:cs="Times New Roman"/>
          <w:sz w:val="32"/>
          <w:szCs w:val="32"/>
          <w:lang w:eastAsia="zh-CN"/>
        </w:rPr>
        <w:t>会</w:t>
      </w:r>
      <w:r>
        <w:rPr>
          <w:rFonts w:hint="eastAsia" w:eastAsia="仿宋" w:cs="Times New Roman"/>
          <w:sz w:val="32"/>
          <w:szCs w:val="32"/>
          <w:lang w:eastAsia="zh-CN"/>
        </w:rPr>
        <w:t>机关</w:t>
      </w:r>
      <w:r>
        <w:rPr>
          <w:rFonts w:hint="default" w:ascii="Times New Roman" w:hAnsi="Times New Roman" w:eastAsia="仿宋" w:cs="Times New Roman"/>
          <w:sz w:val="32"/>
          <w:szCs w:val="32"/>
        </w:rPr>
        <w:t>与各地市州民革组织工作联系、课题调研、民革工作宣传报道、开会、培训及公务接待工作</w:t>
      </w:r>
      <w:r>
        <w:rPr>
          <w:rFonts w:hint="default" w:ascii="Times New Roman" w:hAnsi="Times New Roman" w:eastAsia="仿宋_GB2312" w:cs="Times New Roman"/>
          <w:color w:val="000000"/>
          <w:sz w:val="32"/>
          <w:szCs w:val="32"/>
        </w:rPr>
        <w:t>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3.83</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val="0"/>
          <w:bCs/>
          <w:color w:val="auto"/>
          <w:sz w:val="32"/>
          <w:szCs w:val="32"/>
          <w:highlight w:val="none"/>
          <w:lang w:val="en-US" w:eastAsia="zh-CN"/>
        </w:rPr>
        <w:t>76.6</w:t>
      </w:r>
      <w:r>
        <w:rPr>
          <w:rStyle w:val="17"/>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1.94</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102.6</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疫情放开，公务交流活动增加</w:t>
      </w:r>
      <w:r>
        <w:rPr>
          <w:rFonts w:hint="default" w:ascii="Times New Roman" w:hAnsi="Times New Roman" w:eastAsia="仿宋_GB2312" w:cs="Times New Roman"/>
          <w:color w:val="auto"/>
          <w:sz w:val="32"/>
          <w:szCs w:val="32"/>
          <w:highlight w:val="none"/>
        </w:rPr>
        <w:t>。其中：</w:t>
      </w:r>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3.83</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000000"/>
          <w:sz w:val="32"/>
          <w:szCs w:val="32"/>
        </w:rPr>
        <w:t>执行公务、开展业务活动开支的交通费、住宿费、用餐费等</w:t>
      </w:r>
      <w:r>
        <w:rPr>
          <w:rFonts w:hint="default" w:ascii="Times New Roman" w:hAnsi="Times New Roman" w:eastAsia="仿宋_GB2312" w:cs="Times New Roman"/>
          <w:color w:val="auto"/>
          <w:sz w:val="32"/>
          <w:szCs w:val="32"/>
          <w:highlight w:val="none"/>
        </w:rPr>
        <w:t>。国内公务接待</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194</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3.83</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sz w:val="32"/>
          <w:szCs w:val="32"/>
        </w:rPr>
        <w:t>接待民革中央领导及工作人员</w:t>
      </w:r>
      <w:r>
        <w:rPr>
          <w:rFonts w:hint="default" w:ascii="Times New Roman" w:hAnsi="Times New Roman" w:eastAsia="仿宋_GB2312" w:cs="Times New Roman"/>
          <w:sz w:val="32"/>
          <w:szCs w:val="32"/>
          <w:lang w:val="en-US" w:eastAsia="zh-CN"/>
        </w:rPr>
        <w:t>0.88</w:t>
      </w:r>
      <w:r>
        <w:rPr>
          <w:rFonts w:hint="default" w:ascii="Times New Roman" w:hAnsi="Times New Roman" w:eastAsia="仿宋_GB2312" w:cs="Times New Roman"/>
          <w:sz w:val="32"/>
          <w:szCs w:val="32"/>
        </w:rPr>
        <w:t>万元，接待省内民革组织及省级单位</w:t>
      </w:r>
      <w:r>
        <w:rPr>
          <w:rFonts w:hint="default" w:ascii="Times New Roman" w:hAnsi="Times New Roman" w:eastAsia="仿宋_GB2312" w:cs="Times New Roman"/>
          <w:sz w:val="32"/>
          <w:szCs w:val="32"/>
          <w:lang w:val="en-US" w:eastAsia="zh-CN"/>
        </w:rPr>
        <w:t>2.95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bookmarkStart w:id="30" w:name="_Toc15396610"/>
      <w:bookmarkStart w:id="31" w:name="_Toc15377218"/>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outlineLvl w:val="1"/>
        <w:rPr>
          <w:rStyle w:val="29"/>
          <w:rFonts w:hint="default" w:ascii="Times New Roman" w:hAnsi="Times New Roman" w:eastAsia="黑体" w:cs="Times New Roman"/>
          <w:b w:val="0"/>
          <w:color w:val="auto"/>
          <w:highlight w:val="none"/>
        </w:rPr>
      </w:pPr>
      <w:bookmarkStart w:id="32" w:name="_Toc15377219"/>
      <w:bookmarkStart w:id="33" w:name="_Toc15396611"/>
      <w:r>
        <w:rPr>
          <w:rStyle w:val="29"/>
          <w:rFonts w:hint="default" w:ascii="Times New Roman" w:hAnsi="Times New Roman" w:eastAsia="黑体" w:cs="Times New Roman"/>
          <w:b w:val="0"/>
          <w:color w:val="auto"/>
          <w:highlight w:val="none"/>
        </w:rPr>
        <w:t>国有资本经营预算支出决算情况说明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outlineLvl w:val="1"/>
        <w:rPr>
          <w:rStyle w:val="29"/>
          <w:rFonts w:hint="default" w:ascii="Times New Roman" w:hAnsi="Times New Roman" w:eastAsia="黑体" w:cs="Times New Roman"/>
          <w:b w:val="0"/>
          <w:color w:val="auto"/>
          <w:highlight w:val="none"/>
        </w:rPr>
      </w:pPr>
      <w:bookmarkStart w:id="34" w:name="_Toc15396612"/>
      <w:bookmarkStart w:id="35" w:name="_Toc15377221"/>
      <w:r>
        <w:rPr>
          <w:rStyle w:val="29"/>
          <w:rFonts w:hint="default" w:ascii="Times New Roman" w:hAnsi="Times New Roman" w:eastAsia="黑体" w:cs="Times New Roman"/>
          <w:b w:val="0"/>
          <w:color w:val="auto"/>
          <w:highlight w:val="none"/>
        </w:rPr>
        <w:t>其他重要事项的情况说明</w:t>
      </w:r>
      <w:bookmarkEnd w:id="34"/>
      <w:bookmarkEnd w:id="3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color w:val="auto"/>
          <w:sz w:val="32"/>
          <w:szCs w:val="32"/>
          <w:highlight w:val="none"/>
        </w:rPr>
      </w:pPr>
      <w:bookmarkStart w:id="36" w:name="_Toc15377222"/>
      <w:r>
        <w:rPr>
          <w:rFonts w:hint="default" w:ascii="Times New Roman" w:hAnsi="Times New Roman" w:eastAsia="仿宋" w:cs="Times New Roman"/>
          <w:b/>
          <w:color w:val="auto"/>
          <w:sz w:val="32"/>
          <w:szCs w:val="32"/>
          <w:highlight w:val="none"/>
        </w:rPr>
        <w:t>（一）机关运行经费支出情况</w:t>
      </w:r>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民革四川省委会</w:t>
      </w:r>
      <w:r>
        <w:rPr>
          <w:rFonts w:hint="eastAsia" w:eastAsia="仿宋_GB2312" w:cs="Times New Roman"/>
          <w:color w:val="auto"/>
          <w:sz w:val="32"/>
          <w:szCs w:val="32"/>
          <w:highlight w:val="none"/>
          <w:lang w:eastAsia="zh-CN"/>
        </w:rPr>
        <w:t>机关的</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316.31</w:t>
      </w:r>
      <w:r>
        <w:rPr>
          <w:rFonts w:hint="default" w:ascii="Times New Roman" w:hAnsi="Times New Roman" w:eastAsia="仿宋_GB2312" w:cs="Times New Roman"/>
          <w:color w:val="auto"/>
          <w:sz w:val="32"/>
          <w:szCs w:val="32"/>
          <w:highlight w:val="none"/>
        </w:rPr>
        <w:t>万元，比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67.97</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27.4</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疫情放开，公务活动增多，</w:t>
      </w:r>
      <w:r>
        <w:rPr>
          <w:rFonts w:hint="default" w:ascii="Times New Roman" w:hAnsi="Times New Roman" w:eastAsia="仿宋_GB2312" w:cs="Times New Roman"/>
          <w:color w:val="auto"/>
          <w:sz w:val="32"/>
          <w:szCs w:val="32"/>
          <w:highlight w:val="none"/>
        </w:rPr>
        <w:t>机关运行经费</w:t>
      </w:r>
      <w:r>
        <w:rPr>
          <w:rFonts w:hint="default" w:ascii="Times New Roman" w:hAnsi="Times New Roman" w:eastAsia="仿宋_GB2312" w:cs="Times New Roman"/>
          <w:color w:val="auto"/>
          <w:sz w:val="32"/>
          <w:szCs w:val="32"/>
          <w:highlight w:val="none"/>
          <w:lang w:eastAsia="zh-CN"/>
        </w:rPr>
        <w:t>相应增多。</w:t>
      </w:r>
    </w:p>
    <w:p>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default" w:ascii="Times New Roman" w:hAnsi="Times New Roman" w:eastAsia="仿宋" w:cs="Times New Roman"/>
          <w:b/>
          <w:color w:val="auto"/>
          <w:sz w:val="32"/>
          <w:szCs w:val="32"/>
          <w:highlight w:val="none"/>
        </w:rPr>
      </w:pPr>
      <w:bookmarkStart w:id="37" w:name="_Toc15377223"/>
      <w:r>
        <w:rPr>
          <w:rFonts w:hint="default" w:ascii="Times New Roman" w:hAnsi="Times New Roman" w:eastAsia="仿宋" w:cs="Times New Roman"/>
          <w:b/>
          <w:color w:val="auto"/>
          <w:sz w:val="32"/>
          <w:szCs w:val="32"/>
          <w:highlight w:val="none"/>
        </w:rPr>
        <w:t>（二）政府采购支出情况</w:t>
      </w:r>
      <w:bookmarkEnd w:id="37"/>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民革四川省委会</w:t>
      </w:r>
      <w:r>
        <w:rPr>
          <w:rFonts w:hint="eastAsia" w:eastAsia="仿宋_GB2312" w:cs="Times New Roman"/>
          <w:color w:val="auto"/>
          <w:sz w:val="32"/>
          <w:szCs w:val="32"/>
          <w:highlight w:val="none"/>
          <w:lang w:eastAsia="zh-CN"/>
        </w:rPr>
        <w:t>机关</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16.11</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7.59</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8.52</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val="en-US" w:eastAsia="zh-CN"/>
        </w:rPr>
        <w:t>购买机关办公设备、</w:t>
      </w:r>
      <w:r>
        <w:rPr>
          <w:rFonts w:hint="default" w:ascii="Times New Roman" w:hAnsi="Times New Roman" w:eastAsia="仿宋_GB2312" w:cs="Times New Roman"/>
          <w:bCs/>
          <w:color w:val="000000"/>
          <w:sz w:val="32"/>
          <w:szCs w:val="32"/>
        </w:rPr>
        <w:t>汽车保险、汽车加油、汽车维修</w:t>
      </w:r>
      <w:r>
        <w:rPr>
          <w:rFonts w:hint="default" w:ascii="Times New Roman" w:hAnsi="Times New Roman" w:eastAsia="仿宋_GB2312" w:cs="Times New Roman"/>
          <w:bCs/>
          <w:color w:val="000000"/>
          <w:sz w:val="32"/>
          <w:szCs w:val="32"/>
          <w:lang w:val="en-US" w:eastAsia="zh-CN"/>
        </w:rPr>
        <w:t>等</w:t>
      </w:r>
      <w:r>
        <w:rPr>
          <w:rFonts w:hint="default" w:ascii="Times New Roman" w:hAnsi="Times New Roman" w:eastAsia="仿宋_GB2312" w:cs="Times New Roman"/>
          <w:color w:val="auto"/>
          <w:sz w:val="32"/>
          <w:szCs w:val="32"/>
          <w:highlight w:val="none"/>
        </w:rPr>
        <w:t>。授予中小企业合同金额</w:t>
      </w:r>
      <w:r>
        <w:rPr>
          <w:rFonts w:hint="default" w:ascii="Times New Roman" w:hAnsi="Times New Roman" w:eastAsia="仿宋_GB2312" w:cs="Times New Roman"/>
          <w:color w:val="auto"/>
          <w:sz w:val="32"/>
          <w:szCs w:val="32"/>
          <w:highlight w:val="none"/>
          <w:lang w:val="en-US" w:eastAsia="zh-CN"/>
        </w:rPr>
        <w:t>10.36</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64.3</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10.36</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64.3</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default" w:ascii="Times New Roman" w:hAnsi="Times New Roman" w:eastAsia="仿宋" w:cs="Times New Roman"/>
          <w:b/>
          <w:color w:val="auto"/>
          <w:sz w:val="32"/>
          <w:szCs w:val="32"/>
          <w:highlight w:val="none"/>
        </w:rPr>
      </w:pPr>
      <w:bookmarkStart w:id="38" w:name="_Toc15377224"/>
      <w:r>
        <w:rPr>
          <w:rFonts w:hint="default" w:ascii="Times New Roman" w:hAnsi="Times New Roman" w:eastAsia="仿宋" w:cs="Times New Roman"/>
          <w:b/>
          <w:color w:val="auto"/>
          <w:sz w:val="32"/>
          <w:szCs w:val="32"/>
          <w:highlight w:val="none"/>
        </w:rPr>
        <w:t>（三）国有资产占有使用情况</w:t>
      </w:r>
      <w:bookmarkEnd w:id="38"/>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eastAsia="zh-CN"/>
        </w:rPr>
        <w:t>民革四川省委会</w:t>
      </w:r>
      <w:r>
        <w:rPr>
          <w:rFonts w:hint="eastAsia" w:eastAsia="仿宋_GB2312" w:cs="Times New Roman"/>
          <w:color w:val="auto"/>
          <w:sz w:val="32"/>
          <w:szCs w:val="32"/>
          <w:highlight w:val="none"/>
          <w:lang w:eastAsia="zh-CN"/>
        </w:rPr>
        <w:t>机关</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辆，其中：</w:t>
      </w:r>
      <w:r>
        <w:rPr>
          <w:rFonts w:hint="default" w:ascii="Times New Roman" w:hAnsi="Times New Roman" w:eastAsia="仿宋_GB2312" w:cs="Times New Roman"/>
          <w:color w:val="auto"/>
          <w:sz w:val="32"/>
          <w:szCs w:val="32"/>
          <w:highlight w:val="none"/>
          <w:lang w:eastAsia="zh-CN"/>
        </w:rPr>
        <w:t>离退休</w:t>
      </w:r>
      <w:r>
        <w:rPr>
          <w:rFonts w:hint="default" w:ascii="Times New Roman" w:hAnsi="Times New Roman" w:eastAsia="仿宋_GB2312" w:cs="Times New Roman"/>
          <w:color w:val="auto"/>
          <w:sz w:val="32"/>
          <w:szCs w:val="32"/>
          <w:highlight w:val="none"/>
        </w:rPr>
        <w:t>干部用车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单价100万元以上设备</w:t>
      </w:r>
      <w:r>
        <w:rPr>
          <w:rFonts w:hint="default" w:ascii="Times New Roman" w:hAnsi="Times New Roman" w:eastAsia="仿宋_GB2312" w:cs="Times New Roman"/>
          <w:color w:val="auto"/>
          <w:sz w:val="32"/>
          <w:szCs w:val="32"/>
          <w:highlight w:val="none"/>
          <w:lang w:eastAsia="zh-CN"/>
        </w:rPr>
        <w:t>（不含车辆）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根据预算绩效管理要求，</w:t>
      </w:r>
      <w:r>
        <w:rPr>
          <w:rFonts w:hint="default" w:ascii="Times New Roman" w:hAnsi="Times New Roman" w:eastAsia="仿宋_GB2312" w:cs="Times New Roman"/>
          <w:color w:val="auto"/>
          <w:sz w:val="32"/>
          <w:szCs w:val="32"/>
          <w:highlight w:val="none"/>
        </w:rPr>
        <w:t>在202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年度预算编制阶段，</w:t>
      </w:r>
      <w:r>
        <w:rPr>
          <w:rFonts w:hint="default" w:ascii="Times New Roman" w:hAnsi="Times New Roman" w:eastAsia="仿宋_GB2312" w:cs="Times New Roman"/>
          <w:color w:val="auto"/>
          <w:sz w:val="32"/>
          <w:szCs w:val="32"/>
          <w:highlight w:val="none"/>
          <w:lang w:val="en-US" w:eastAsia="zh-CN"/>
        </w:rPr>
        <w:t>因项目未达到开展事前绩效评估要求，未对</w:t>
      </w:r>
      <w:r>
        <w:rPr>
          <w:rFonts w:hint="default" w:ascii="Times New Roman" w:hAnsi="Times New Roman" w:eastAsia="仿宋_GB2312" w:cs="Times New Roman"/>
          <w:color w:val="auto"/>
          <w:sz w:val="32"/>
          <w:szCs w:val="32"/>
          <w:highlight w:val="none"/>
        </w:rPr>
        <w:t>项目开展预算事前绩效评估，对</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个项目开展绩效监控</w:t>
      </w:r>
      <w:r>
        <w:rPr>
          <w:rFonts w:hint="eastAsia" w:ascii="Times New Roman" w:hAnsi="Times New Roman" w:eastAsia="仿宋_GB2312" w:cs="Times New Roman"/>
          <w:color w:val="auto"/>
          <w:sz w:val="32"/>
          <w:szCs w:val="32"/>
          <w:highlight w:val="none"/>
          <w:lang w:eastAsia="zh-CN"/>
        </w:rPr>
        <w:t>，组织对</w:t>
      </w:r>
      <w:r>
        <w:rPr>
          <w:rFonts w:hint="eastAsia" w:ascii="Times New Roman" w:hAnsi="Times New Roman" w:eastAsia="仿宋_GB2312" w:cs="Times New Roman"/>
          <w:color w:val="auto"/>
          <w:sz w:val="32"/>
          <w:szCs w:val="32"/>
          <w:highlight w:val="none"/>
          <w:lang w:val="en-US" w:eastAsia="zh-CN"/>
        </w:rPr>
        <w:t>13个项目开展绩效自评，绩效自评表详见第四部分附件。</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
      <w:pPr>
        <w:numPr>
          <w:ilvl w:val="0"/>
          <w:numId w:val="2"/>
        </w:numPr>
        <w:spacing w:line="600" w:lineRule="exact"/>
        <w:ind w:firstLine="660" w:firstLineChars="150"/>
        <w:jc w:val="center"/>
        <w:outlineLvl w:val="0"/>
        <w:rPr>
          <w:rStyle w:val="28"/>
          <w:rFonts w:ascii="黑体" w:hAnsi="黑体" w:eastAsia="黑体"/>
          <w:b w:val="0"/>
          <w:color w:val="auto"/>
          <w:highlight w:val="none"/>
        </w:rPr>
      </w:pPr>
      <w:bookmarkStart w:id="39" w:name="_Toc15377225"/>
      <w:bookmarkStart w:id="40" w:name="_Toc15396613"/>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39"/>
      <w:bookmarkEnd w:id="40"/>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2．一般公共服务（类）民主党派及工商联事务（款）行政运行（项）：反应行政单位（包括实行公务员管理的事业单位）的基本支出。</w:t>
      </w:r>
    </w:p>
    <w:p>
      <w:pPr>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US"/>
        </w:rPr>
        <w:t>3</w:t>
      </w:r>
      <w:r>
        <w:rPr>
          <w:rFonts w:hint="eastAsia" w:ascii="仿宋_GB2312" w:eastAsia="仿宋_GB2312"/>
          <w:color w:val="auto"/>
          <w:sz w:val="32"/>
          <w:szCs w:val="32"/>
          <w:highlight w:val="none"/>
        </w:rPr>
        <w:t>．一般公共服务（类）民主党派及工商联事务（款）</w:t>
      </w:r>
      <w:r>
        <w:rPr>
          <w:rFonts w:hint="eastAsia" w:ascii="仿宋_GB2312" w:eastAsia="仿宋_GB2312"/>
          <w:color w:val="auto"/>
          <w:sz w:val="32"/>
          <w:szCs w:val="32"/>
          <w:highlight w:val="none"/>
          <w:lang w:val="en-US" w:eastAsia="zh-CN"/>
        </w:rPr>
        <w:t>一般行政管理事务</w:t>
      </w:r>
      <w:r>
        <w:rPr>
          <w:rFonts w:hint="eastAsia" w:ascii="仿宋_GB2312" w:eastAsia="仿宋_GB2312"/>
          <w:color w:val="auto"/>
          <w:sz w:val="32"/>
          <w:szCs w:val="32"/>
          <w:highlight w:val="none"/>
        </w:rPr>
        <w:t>（项）：反应行政单位（包括实行公务员管理的事业单位）</w:t>
      </w:r>
      <w:r>
        <w:rPr>
          <w:rFonts w:hint="eastAsia" w:ascii="仿宋_GB2312" w:eastAsia="仿宋_GB2312"/>
          <w:color w:val="auto"/>
          <w:sz w:val="32"/>
          <w:szCs w:val="32"/>
          <w:highlight w:val="none"/>
          <w:lang w:val="en-US" w:eastAsia="zh-CN"/>
        </w:rPr>
        <w:t>未单独设置项级科目的其他项目支出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4.一般公共服务（类）民主党派及工商联事务（款）参政议政（项）：反映各民主党派为参政议政进行的调研、会议、检查等方面的支出。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5.教育（类）进修及培训（款）培训支出（项）:反映各部门安排的用于培训的支出。教育部门的师资培训，党校、行政学院等专业干部教育机构的支出，以及退役士兵、转业士官的培训支出，不在本科目反映。</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6.社会保障和就业（类）行政事业单位养老支出（款）行政单位离退休（项）：反映行政单位（包括实行公务员管理的事业单位）开支的离退休经费。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7.社会保障和就业（类）行政事业单位养老支出（款）机关事业单位基本养老保险缴费支出（项）：反映机关事业单位实施养老保险制度由单位缴纳的基本养老保险支出。</w:t>
      </w:r>
    </w:p>
    <w:p>
      <w:pPr>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US"/>
        </w:rPr>
        <w:t>8</w:t>
      </w:r>
      <w:r>
        <w:rPr>
          <w:rFonts w:hint="eastAsia" w:ascii="仿宋_GB2312" w:eastAsia="仿宋_GB2312"/>
          <w:color w:val="auto"/>
          <w:sz w:val="32"/>
          <w:szCs w:val="32"/>
          <w:highlight w:val="none"/>
        </w:rPr>
        <w:t>.卫生健康（类）行政事业单位医疗（款）行政单位医疗（项）：反映财政部门安排的行政单位基本医疗保险缴费经费，未参加医疗保险的行政单位的公费医疗经费，按国家规定享受离休人员、红军老战士待遇人员的医疗经费。</w:t>
      </w:r>
    </w:p>
    <w:p>
      <w:pPr>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US"/>
        </w:rPr>
        <w:t>9</w:t>
      </w:r>
      <w:r>
        <w:rPr>
          <w:rFonts w:hint="eastAsia" w:ascii="仿宋_GB2312" w:eastAsia="仿宋_GB2312"/>
          <w:color w:val="auto"/>
          <w:sz w:val="32"/>
          <w:szCs w:val="32"/>
          <w:highlight w:val="none"/>
        </w:rPr>
        <w:t>.卫生健康（类）行政事业单位医疗（款）公务员医疗补助（项）：反映财政部门安排的公务员医疗补助经费。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.住房保障（类）住房改革支出（款）住房公积金（项）：反映行政事业单位按人力资源和社会保障部、财政部规定的基本工资和津贴补贴以及规定比例为职工缴纳的住房公积金。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default" w:ascii="仿宋_GB2312" w:eastAsia="仿宋_GB2312"/>
          <w:color w:val="auto"/>
          <w:sz w:val="32"/>
          <w:szCs w:val="32"/>
          <w:highlight w:val="none"/>
          <w:lang w:val="en-US"/>
        </w:rPr>
        <w:t>1</w:t>
      </w:r>
      <w:r>
        <w:rPr>
          <w:rFonts w:hint="eastAsia" w:ascii="仿宋_GB2312" w:eastAsia="仿宋_GB2312"/>
          <w:color w:val="auto"/>
          <w:sz w:val="32"/>
          <w:szCs w:val="32"/>
          <w:highlight w:val="none"/>
        </w:rPr>
        <w:t>.住房保障（类）住房改革支出（款）购房补贴（项）：反映按房改政策规定，行政事业单位向符合条件职工、军队向转役复员离退休人员发放的用于购买住房的补贴。</w:t>
      </w: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auto"/>
          <w:sz w:val="44"/>
          <w:szCs w:val="44"/>
          <w:highlight w:val="none"/>
        </w:rPr>
      </w:pPr>
      <w:bookmarkStart w:id="41" w:name="_Toc15396614"/>
      <w:bookmarkStart w:id="42"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8"/>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41"/>
    </w:p>
    <w:p>
      <w:pPr>
        <w:spacing w:line="600" w:lineRule="exact"/>
        <w:jc w:val="center"/>
        <w:outlineLvl w:val="0"/>
        <w:rPr>
          <w:rFonts w:hint="eastAsia" w:hAnsi="Times New Roman" w:cs="Times New Roman"/>
          <w:sz w:val="32"/>
          <w:szCs w:val="32"/>
          <w:highlight w:val="none"/>
          <w:lang w:val="en-US" w:eastAsia="zh-CN"/>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66"/>
        <w:gridCol w:w="915"/>
        <w:gridCol w:w="1208"/>
        <w:gridCol w:w="396"/>
        <w:gridCol w:w="864"/>
        <w:gridCol w:w="396"/>
        <w:gridCol w:w="846"/>
        <w:gridCol w:w="486"/>
        <w:gridCol w:w="486"/>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51000023T000008506989-离退休省部级干部参观考察经费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0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中国国民党革命委员会四川省委员会</w:t>
            </w:r>
            <w:r>
              <w:rPr>
                <w:rFonts w:hint="eastAsia" w:ascii="宋体" w:hAnsi="宋体" w:cs="宋体"/>
                <w:i w:val="0"/>
                <w:iCs w:val="0"/>
                <w:color w:val="000000"/>
                <w:kern w:val="0"/>
                <w:sz w:val="18"/>
                <w:szCs w:val="18"/>
                <w:u w:val="none"/>
                <w:lang w:val="en-US" w:eastAsia="zh-CN" w:bidi="ar"/>
              </w:rPr>
              <w:t>机关</w:t>
            </w:r>
          </w:p>
        </w:tc>
        <w:tc>
          <w:tcPr>
            <w:tcW w:w="37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中国国民党革命委员会四川省委员会</w:t>
            </w:r>
            <w:r>
              <w:rPr>
                <w:rFonts w:hint="eastAsia" w:ascii="宋体" w:hAnsi="宋体" w:cs="宋体"/>
                <w:i w:val="0"/>
                <w:iCs w:val="0"/>
                <w:color w:val="000000"/>
                <w:kern w:val="0"/>
                <w:sz w:val="18"/>
                <w:szCs w:val="18"/>
                <w:u w:val="none"/>
                <w:lang w:val="en-US" w:eastAsia="zh-CN" w:bidi="ar"/>
              </w:rPr>
              <w:t>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保障省部级实职离退休干部到省外参观考察。</w:t>
            </w:r>
          </w:p>
        </w:tc>
        <w:tc>
          <w:tcPr>
            <w:tcW w:w="16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已完成对省部级实职离退休干部到省外参观考察的保障。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参观考察人数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自评得分100分，效果良好。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6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widowControl/>
        <w:jc w:val="both"/>
        <w:rPr>
          <w:rFonts w:hint="eastAsia" w:ascii="黑体" w:hAnsi="黑体" w:eastAsia="黑体"/>
          <w:color w:val="auto"/>
          <w:sz w:val="44"/>
          <w:szCs w:val="44"/>
          <w:highlight w:val="none"/>
        </w:rPr>
      </w:pPr>
      <w:bookmarkStart w:id="43" w:name="_Toc15396618"/>
    </w:p>
    <w:p>
      <w:pPr>
        <w:widowControl/>
        <w:jc w:val="center"/>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42"/>
      <w:bookmarkEnd w:id="43"/>
      <w:bookmarkStart w:id="44" w:name="_Toc15396619"/>
    </w:p>
    <w:p>
      <w:pPr>
        <w:pStyle w:val="3"/>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44"/>
    </w:p>
    <w:p>
      <w:pPr>
        <w:pStyle w:val="3"/>
        <w:rPr>
          <w:rFonts w:ascii="仿宋" w:hAnsi="仿宋" w:eastAsia="仿宋"/>
          <w:color w:val="auto"/>
          <w:highlight w:val="none"/>
        </w:rPr>
      </w:pPr>
      <w:bookmarkStart w:id="45"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45"/>
    </w:p>
    <w:p>
      <w:pPr>
        <w:pStyle w:val="3"/>
        <w:rPr>
          <w:rFonts w:ascii="仿宋" w:hAnsi="仿宋" w:eastAsia="仿宋"/>
          <w:color w:val="auto"/>
          <w:highlight w:val="none"/>
        </w:rPr>
      </w:pPr>
      <w:bookmarkStart w:id="46"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46"/>
    </w:p>
    <w:p>
      <w:pPr>
        <w:pStyle w:val="3"/>
        <w:rPr>
          <w:rFonts w:ascii="仿宋" w:hAnsi="仿宋" w:eastAsia="仿宋"/>
          <w:b w:val="0"/>
          <w:color w:val="auto"/>
          <w:highlight w:val="none"/>
        </w:rPr>
      </w:pPr>
      <w:bookmarkStart w:id="47"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47"/>
    </w:p>
    <w:p>
      <w:pPr>
        <w:pStyle w:val="3"/>
        <w:rPr>
          <w:rStyle w:val="29"/>
          <w:rFonts w:ascii="仿宋" w:hAnsi="仿宋" w:eastAsia="仿宋"/>
          <w:b w:val="0"/>
          <w:bCs w:val="0"/>
          <w:color w:val="auto"/>
          <w:highlight w:val="none"/>
        </w:rPr>
      </w:pPr>
      <w:bookmarkStart w:id="48"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48"/>
      <w:bookmarkStart w:id="49" w:name="_Toc15396624"/>
    </w:p>
    <w:p>
      <w:pPr>
        <w:pStyle w:val="3"/>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49"/>
    </w:p>
    <w:p>
      <w:pPr>
        <w:pStyle w:val="3"/>
        <w:rPr>
          <w:rFonts w:ascii="仿宋" w:hAnsi="仿宋" w:eastAsia="仿宋"/>
          <w:color w:val="auto"/>
          <w:highlight w:val="none"/>
        </w:rPr>
      </w:pPr>
      <w:bookmarkStart w:id="50"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50"/>
    </w:p>
    <w:p>
      <w:pPr>
        <w:pStyle w:val="3"/>
        <w:rPr>
          <w:rFonts w:ascii="仿宋" w:hAnsi="仿宋" w:eastAsia="仿宋"/>
          <w:color w:val="auto"/>
          <w:highlight w:val="none"/>
        </w:rPr>
      </w:pPr>
      <w:bookmarkStart w:id="51"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51"/>
    </w:p>
    <w:p>
      <w:pPr>
        <w:pStyle w:val="3"/>
        <w:rPr>
          <w:rFonts w:ascii="仿宋" w:hAnsi="仿宋" w:eastAsia="仿宋"/>
          <w:color w:val="auto"/>
          <w:highlight w:val="none"/>
        </w:rPr>
      </w:pPr>
      <w:bookmarkStart w:id="52"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52"/>
    </w:p>
    <w:p>
      <w:pPr>
        <w:pStyle w:val="3"/>
        <w:rPr>
          <w:rFonts w:ascii="仿宋" w:hAnsi="仿宋" w:eastAsia="仿宋"/>
          <w:color w:val="auto"/>
          <w:highlight w:val="none"/>
        </w:rPr>
      </w:pPr>
      <w:bookmarkStart w:id="53" w:name="_Toc15396628"/>
      <w:r>
        <w:rPr>
          <w:rStyle w:val="29"/>
          <w:rFonts w:hint="eastAsia" w:ascii="仿宋" w:hAnsi="仿宋" w:eastAsia="仿宋"/>
          <w:b w:val="0"/>
          <w:bCs w:val="0"/>
          <w:color w:val="auto"/>
          <w:highlight w:val="none"/>
        </w:rPr>
        <w:t>十、</w:t>
      </w:r>
      <w:bookmarkEnd w:id="53"/>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pPr>
        <w:pStyle w:val="3"/>
        <w:rPr>
          <w:rFonts w:ascii="仿宋" w:hAnsi="仿宋" w:eastAsia="仿宋"/>
          <w:color w:val="auto"/>
          <w:highlight w:val="none"/>
        </w:rPr>
      </w:pPr>
      <w:bookmarkStart w:id="54" w:name="_Toc15396629"/>
      <w:r>
        <w:rPr>
          <w:rStyle w:val="29"/>
          <w:rFonts w:hint="eastAsia" w:ascii="仿宋" w:hAnsi="仿宋" w:eastAsia="仿宋"/>
          <w:b w:val="0"/>
          <w:bCs w:val="0"/>
          <w:color w:val="auto"/>
          <w:highlight w:val="none"/>
        </w:rPr>
        <w:t>十一、</w:t>
      </w:r>
      <w:bookmarkEnd w:id="54"/>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pPr>
        <w:pStyle w:val="3"/>
        <w:rPr>
          <w:rFonts w:ascii="仿宋" w:hAnsi="仿宋" w:eastAsia="仿宋"/>
          <w:color w:val="auto"/>
          <w:highlight w:val="none"/>
        </w:rPr>
      </w:pPr>
      <w:bookmarkStart w:id="55" w:name="_Toc15396630"/>
      <w:r>
        <w:rPr>
          <w:rStyle w:val="29"/>
          <w:rFonts w:hint="eastAsia" w:ascii="仿宋" w:hAnsi="仿宋" w:eastAsia="仿宋"/>
          <w:b w:val="0"/>
          <w:bCs w:val="0"/>
          <w:color w:val="auto"/>
          <w:highlight w:val="none"/>
        </w:rPr>
        <w:t>十二、</w:t>
      </w:r>
      <w:bookmarkEnd w:id="55"/>
      <w:r>
        <w:rPr>
          <w:rStyle w:val="29"/>
          <w:rFonts w:hint="eastAsia" w:ascii="仿宋" w:hAnsi="仿宋" w:eastAsia="仿宋"/>
          <w:b w:val="0"/>
          <w:bCs w:val="0"/>
          <w:color w:val="auto"/>
          <w:highlight w:val="none"/>
          <w:lang w:eastAsia="zh-CN"/>
        </w:rPr>
        <w:t>国有资本经营预算财政拨款支出决算表</w:t>
      </w:r>
    </w:p>
    <w:p>
      <w:pPr>
        <w:pStyle w:val="3"/>
        <w:rPr>
          <w:rStyle w:val="29"/>
          <w:rFonts w:hint="eastAsia" w:ascii="仿宋" w:hAnsi="仿宋" w:eastAsia="仿宋"/>
          <w:b w:val="0"/>
          <w:bCs w:val="0"/>
          <w:color w:val="auto"/>
          <w:highlight w:val="none"/>
          <w:lang w:eastAsia="zh-CN"/>
        </w:rPr>
      </w:pPr>
      <w:bookmarkStart w:id="56" w:name="_Toc15396631"/>
      <w:r>
        <w:rPr>
          <w:rStyle w:val="29"/>
          <w:rFonts w:hint="eastAsia" w:ascii="仿宋" w:hAnsi="仿宋" w:eastAsia="仿宋"/>
          <w:b w:val="0"/>
          <w:bCs w:val="0"/>
          <w:color w:val="auto"/>
          <w:highlight w:val="none"/>
        </w:rPr>
        <w:t>十三、</w:t>
      </w:r>
      <w:bookmarkEnd w:id="56"/>
      <w:r>
        <w:rPr>
          <w:rStyle w:val="29"/>
          <w:rFonts w:hint="eastAsia" w:ascii="仿宋" w:hAnsi="仿宋" w:eastAsia="仿宋"/>
          <w:b w:val="0"/>
          <w:bCs w:val="0"/>
          <w:color w:val="auto"/>
          <w:highlight w:val="none"/>
          <w:lang w:eastAsia="zh-CN"/>
        </w:rPr>
        <w:t>财政拨款“三公”经费支出决算表</w:t>
      </w:r>
    </w:p>
    <w:p>
      <w:pPr>
        <w:rPr>
          <w:rFonts w:hint="eastAsia"/>
          <w:lang w:eastAsia="zh-CN"/>
        </w:rPr>
      </w:pPr>
    </w:p>
    <w:sectPr>
      <w:footerReference r:id="rId14" w:type="first"/>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imes New Roman" w:hAnsi="Times New Roman" w:cs="Times New Roman"/>
        <w:sz w:val="28"/>
        <w:szCs w:val="28"/>
      </w:rPr>
    </w:pPr>
    <w:r>
      <w:rPr>
        <w:rFonts w:hint="eastAsia" w:ascii="Calibri" w:hAnsi="Calibri" w:cs="Times New Roman"/>
      </w:rPr>
      <w:t xml:space="preserve">                                                                                                                                                                                              </w:t>
    </w:r>
    <w:r>
      <w:rPr>
        <w:rFonts w:ascii="Times New Roman" w:hAnsi="Times New Roman" w:cs="Times New Roman"/>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400" w:firstLineChars="30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imes New Roman" w:hAnsi="Times New Roman" w:cs="Times New Roman"/>
        <w:sz w:val="28"/>
        <w:szCs w:val="28"/>
      </w:rPr>
    </w:pPr>
    <w:r>
      <w:rPr>
        <w:rFonts w:hint="eastAsia" w:ascii="Calibri" w:hAnsi="Calibri" w:cs="Times New Roman"/>
      </w:rPr>
      <w:t xml:space="preserve">                                                                                                                                                                                              </w:t>
    </w:r>
    <w:r>
      <w:rPr>
        <w:rFonts w:ascii="Times New Roman" w:hAnsi="Times New Roman" w:cs="Times New Roman"/>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400" w:firstLineChars="30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imes New Roman" w:hAnsi="Times New Roman" w:cs="Times New Roman"/>
        <w:sz w:val="28"/>
        <w:szCs w:val="28"/>
      </w:rPr>
    </w:pPr>
    <w:r>
      <w:rPr>
        <w:rFonts w:hint="eastAsia" w:ascii="Calibri" w:hAnsi="Calibri" w:cs="Times New Roman"/>
      </w:rPr>
      <w:t xml:space="preserve">                                                                                                                                                                                              </w:t>
    </w:r>
    <w:r>
      <w:rPr>
        <w:rFonts w:ascii="Times New Roman" w:hAnsi="Times New Roman" w:cs="Times New Roman"/>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400" w:firstLineChars="300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imes New Roman" w:hAnsi="Times New Roman" w:cs="Times New Roman"/>
        <w:sz w:val="28"/>
        <w:szCs w:val="2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ascii="Calibri" w:hAnsi="Calibri" w:cs="Times New Roman"/>
      </w:rPr>
      <w:t xml:space="preserve">                                                                                                                                                                                              </w:t>
    </w:r>
    <w:r>
      <w:rPr>
        <w:rFonts w:ascii="Times New Roman" w:hAnsi="Times New Roman" w:cs="Times New Roman"/>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400" w:firstLineChars="300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893"/>
                          </w:sdtPr>
                          <w:sdtContent>
                            <w:p>
                              <w:pPr>
                                <w:pStyle w:val="11"/>
                                <w:jc w:val="center"/>
                              </w:pPr>
                              <w:r>
                                <w:rPr>
                                  <w:sz w:val="28"/>
                                </w:rPr>
                                <w:fldChar w:fldCharType="begin"/>
                              </w:r>
                              <w:r>
                                <w:rPr>
                                  <w:sz w:val="28"/>
                                </w:rPr>
                                <w:instrText xml:space="preserve">PAGE   \* MERGEFORMAT</w:instrText>
                              </w:r>
                              <w:r>
                                <w:rPr>
                                  <w:sz w:val="28"/>
                                </w:rPr>
                                <w:fldChar w:fldCharType="separate"/>
                              </w:r>
                              <w:r>
                                <w:rPr>
                                  <w:sz w:val="28"/>
                                  <w:lang w:val="zh-CN"/>
                                </w:rPr>
                                <w:t>8</w:t>
                              </w:r>
                              <w:r>
                                <w:rPr>
                                  <w:sz w:val="28"/>
                                </w:rPr>
                                <w:fldChar w:fldCharType="end"/>
                              </w:r>
                            </w:p>
                          </w:sdtContent>
                        </w:sd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893"/>
                    </w:sdtPr>
                    <w:sdtContent>
                      <w:p>
                        <w:pPr>
                          <w:pStyle w:val="11"/>
                          <w:jc w:val="center"/>
                        </w:pPr>
                        <w:r>
                          <w:rPr>
                            <w:sz w:val="28"/>
                          </w:rPr>
                          <w:fldChar w:fldCharType="begin"/>
                        </w:r>
                        <w:r>
                          <w:rPr>
                            <w:sz w:val="28"/>
                          </w:rPr>
                          <w:instrText xml:space="preserve">PAGE   \* MERGEFORMAT</w:instrText>
                        </w:r>
                        <w:r>
                          <w:rPr>
                            <w:sz w:val="28"/>
                          </w:rPr>
                          <w:fldChar w:fldCharType="separate"/>
                        </w:r>
                        <w:r>
                          <w:rPr>
                            <w:sz w:val="28"/>
                            <w:lang w:val="zh-CN"/>
                          </w:rPr>
                          <w:t>8</w:t>
                        </w:r>
                        <w:r>
                          <w:rPr>
                            <w:sz w:val="28"/>
                          </w:rPr>
                          <w:fldChar w:fldCharType="end"/>
                        </w:r>
                      </w:p>
                    </w:sdtContent>
                  </w:sdt>
                  <w:p>
                    <w:pPr>
                      <w:pStyle w:val="13"/>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YzhhMmViMTIwZWZiYTRmOWYyNzM4ODg1Yzg1MDkifQ=="/>
    <w:docVar w:name="KSO_WPS_MARK_KEY" w:val="1969df3a-9b53-4f02-a176-e2d79dd3a265"/>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73D2"/>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E34F5"/>
    <w:rsid w:val="015975B8"/>
    <w:rsid w:val="02FEBE30"/>
    <w:rsid w:val="040E27E3"/>
    <w:rsid w:val="061E35DE"/>
    <w:rsid w:val="066E0107"/>
    <w:rsid w:val="07996F6E"/>
    <w:rsid w:val="07DFD8BA"/>
    <w:rsid w:val="09012917"/>
    <w:rsid w:val="09137F54"/>
    <w:rsid w:val="0A2032A3"/>
    <w:rsid w:val="0BEB340A"/>
    <w:rsid w:val="0D35B1ED"/>
    <w:rsid w:val="0F98263C"/>
    <w:rsid w:val="101860EC"/>
    <w:rsid w:val="10C055FF"/>
    <w:rsid w:val="118107EC"/>
    <w:rsid w:val="11FC016B"/>
    <w:rsid w:val="1306440E"/>
    <w:rsid w:val="13385D06"/>
    <w:rsid w:val="13D50BC4"/>
    <w:rsid w:val="14D507B4"/>
    <w:rsid w:val="14DF7FC6"/>
    <w:rsid w:val="16BB723D"/>
    <w:rsid w:val="179D7CAF"/>
    <w:rsid w:val="186504BB"/>
    <w:rsid w:val="1A401BF0"/>
    <w:rsid w:val="1BE8440E"/>
    <w:rsid w:val="1D155CEE"/>
    <w:rsid w:val="1D6E17A5"/>
    <w:rsid w:val="1E740ACF"/>
    <w:rsid w:val="1E7602DE"/>
    <w:rsid w:val="1FF35744"/>
    <w:rsid w:val="1FF6BC77"/>
    <w:rsid w:val="22916662"/>
    <w:rsid w:val="23860B96"/>
    <w:rsid w:val="240371BF"/>
    <w:rsid w:val="276E0D20"/>
    <w:rsid w:val="281408E2"/>
    <w:rsid w:val="283D6944"/>
    <w:rsid w:val="290C07F0"/>
    <w:rsid w:val="29FD04D3"/>
    <w:rsid w:val="2AA80080"/>
    <w:rsid w:val="2BFF7BC6"/>
    <w:rsid w:val="2C8A61B5"/>
    <w:rsid w:val="2CA60F5C"/>
    <w:rsid w:val="2DF04E50"/>
    <w:rsid w:val="2DFE26D1"/>
    <w:rsid w:val="2F040D46"/>
    <w:rsid w:val="2FAE5751"/>
    <w:rsid w:val="2FB1A395"/>
    <w:rsid w:val="2FD9A7D8"/>
    <w:rsid w:val="319F7F4E"/>
    <w:rsid w:val="31E85B72"/>
    <w:rsid w:val="31EA7C43"/>
    <w:rsid w:val="3281224F"/>
    <w:rsid w:val="3304709D"/>
    <w:rsid w:val="331C0B79"/>
    <w:rsid w:val="349D6851"/>
    <w:rsid w:val="35474AB0"/>
    <w:rsid w:val="364F4412"/>
    <w:rsid w:val="36932551"/>
    <w:rsid w:val="36981915"/>
    <w:rsid w:val="36AA5135"/>
    <w:rsid w:val="36BE0DA7"/>
    <w:rsid w:val="376B6AA6"/>
    <w:rsid w:val="376D39B2"/>
    <w:rsid w:val="37CA01F4"/>
    <w:rsid w:val="37E16F03"/>
    <w:rsid w:val="37F53A3B"/>
    <w:rsid w:val="389B6C89"/>
    <w:rsid w:val="38D469F0"/>
    <w:rsid w:val="390019F4"/>
    <w:rsid w:val="397BAF1F"/>
    <w:rsid w:val="3AB79AF3"/>
    <w:rsid w:val="3B7EF35A"/>
    <w:rsid w:val="3B8B1A48"/>
    <w:rsid w:val="3B9FDB6C"/>
    <w:rsid w:val="3BB33002"/>
    <w:rsid w:val="3BF5BC2F"/>
    <w:rsid w:val="3CEBA265"/>
    <w:rsid w:val="3D4F2F4A"/>
    <w:rsid w:val="3D954E00"/>
    <w:rsid w:val="3D98207C"/>
    <w:rsid w:val="3E5A1BA6"/>
    <w:rsid w:val="3E6B1C93"/>
    <w:rsid w:val="3E78745D"/>
    <w:rsid w:val="3F2B7C19"/>
    <w:rsid w:val="3FF4CAE0"/>
    <w:rsid w:val="3FF7B227"/>
    <w:rsid w:val="41594397"/>
    <w:rsid w:val="419E51AD"/>
    <w:rsid w:val="441A605F"/>
    <w:rsid w:val="443F172A"/>
    <w:rsid w:val="44E268DA"/>
    <w:rsid w:val="46050649"/>
    <w:rsid w:val="47090753"/>
    <w:rsid w:val="47995FDF"/>
    <w:rsid w:val="4A627F82"/>
    <w:rsid w:val="4AE515FF"/>
    <w:rsid w:val="4B0E749A"/>
    <w:rsid w:val="4B4F25DA"/>
    <w:rsid w:val="4BE068DB"/>
    <w:rsid w:val="4D577224"/>
    <w:rsid w:val="4D73619F"/>
    <w:rsid w:val="4DBF1CEB"/>
    <w:rsid w:val="4EAB630A"/>
    <w:rsid w:val="4ECE2238"/>
    <w:rsid w:val="4FCE41A2"/>
    <w:rsid w:val="4FE9BD67"/>
    <w:rsid w:val="4FFB052F"/>
    <w:rsid w:val="50715259"/>
    <w:rsid w:val="50BB0282"/>
    <w:rsid w:val="52B21B59"/>
    <w:rsid w:val="53267C20"/>
    <w:rsid w:val="536E3CD2"/>
    <w:rsid w:val="537E6D0A"/>
    <w:rsid w:val="53F74C96"/>
    <w:rsid w:val="54C55B73"/>
    <w:rsid w:val="56E47B74"/>
    <w:rsid w:val="57BD3DD4"/>
    <w:rsid w:val="58005114"/>
    <w:rsid w:val="5A783688"/>
    <w:rsid w:val="5AE623A0"/>
    <w:rsid w:val="5AF92295"/>
    <w:rsid w:val="5BDD79E6"/>
    <w:rsid w:val="5BFF5DFC"/>
    <w:rsid w:val="5CD71FC4"/>
    <w:rsid w:val="5D1F11B5"/>
    <w:rsid w:val="5DAE1B18"/>
    <w:rsid w:val="5DE7D9E5"/>
    <w:rsid w:val="5ECEC941"/>
    <w:rsid w:val="5FBF9FF3"/>
    <w:rsid w:val="5FCD4E2C"/>
    <w:rsid w:val="5FEF394A"/>
    <w:rsid w:val="5FF67715"/>
    <w:rsid w:val="60AC5E39"/>
    <w:rsid w:val="61C80A51"/>
    <w:rsid w:val="62BF3928"/>
    <w:rsid w:val="636B6AA9"/>
    <w:rsid w:val="647F5392"/>
    <w:rsid w:val="67EE6D37"/>
    <w:rsid w:val="6A276531"/>
    <w:rsid w:val="6A7A48B2"/>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10C0E65"/>
    <w:rsid w:val="712A28F1"/>
    <w:rsid w:val="715C0E4B"/>
    <w:rsid w:val="72233669"/>
    <w:rsid w:val="72734D90"/>
    <w:rsid w:val="72AA61A6"/>
    <w:rsid w:val="7332FE48"/>
    <w:rsid w:val="73AB61DA"/>
    <w:rsid w:val="73AD73D5"/>
    <w:rsid w:val="73B6EB34"/>
    <w:rsid w:val="73FA497D"/>
    <w:rsid w:val="744731E5"/>
    <w:rsid w:val="74BBD01D"/>
    <w:rsid w:val="74ED5379"/>
    <w:rsid w:val="756252EE"/>
    <w:rsid w:val="758D7B90"/>
    <w:rsid w:val="75DEEEC2"/>
    <w:rsid w:val="76E3355F"/>
    <w:rsid w:val="76FF5125"/>
    <w:rsid w:val="77560455"/>
    <w:rsid w:val="776F6FFA"/>
    <w:rsid w:val="778769C8"/>
    <w:rsid w:val="778C5F09"/>
    <w:rsid w:val="77DC22F5"/>
    <w:rsid w:val="795C0ABF"/>
    <w:rsid w:val="797709B7"/>
    <w:rsid w:val="79D0629D"/>
    <w:rsid w:val="79D7FD79"/>
    <w:rsid w:val="79EE5BA4"/>
    <w:rsid w:val="7A894339"/>
    <w:rsid w:val="7A911ED0"/>
    <w:rsid w:val="7AFF7572"/>
    <w:rsid w:val="7B6C7DFB"/>
    <w:rsid w:val="7BBFBED0"/>
    <w:rsid w:val="7BC3E394"/>
    <w:rsid w:val="7CBFC87B"/>
    <w:rsid w:val="7CF71559"/>
    <w:rsid w:val="7CFE0F48"/>
    <w:rsid w:val="7D7EC23E"/>
    <w:rsid w:val="7E8ADEBF"/>
    <w:rsid w:val="7E926217"/>
    <w:rsid w:val="7EEF11D3"/>
    <w:rsid w:val="7F3F679B"/>
    <w:rsid w:val="7F4FC4EF"/>
    <w:rsid w:val="7F5E4D54"/>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next w:val="8"/>
    <w:unhideWhenUsed/>
    <w:qFormat/>
    <w:uiPriority w:val="99"/>
    <w:pPr>
      <w:ind w:firstLine="420" w:firstLineChars="200"/>
    </w:p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8"/>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NormalIndent"/>
    <w:qFormat/>
    <w:uiPriority w:val="0"/>
    <w:pPr>
      <w:widowControl w:val="0"/>
      <w:ind w:firstLine="420" w:firstLine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收入支出与上年对比情况分析</a:t>
            </a:r>
            <a:endParaRPr lang="zh-CN" altLang="en-US"/>
          </a:p>
        </c:rich>
      </c:tx>
      <c:layout/>
      <c:overlay val="0"/>
    </c:title>
    <c:autoTitleDeleted val="0"/>
    <c:plotArea>
      <c:layout>
        <c:manualLayout>
          <c:layoutTarget val="inner"/>
          <c:xMode val="edge"/>
          <c:yMode val="edge"/>
          <c:x val="0.0285714285714286"/>
          <c:y val="0.308474576271186"/>
          <c:w val="0.946275946275946"/>
          <c:h val="0.595435028248588"/>
        </c:manualLayout>
      </c:layout>
      <c:barChart>
        <c:barDir val="col"/>
        <c:grouping val="clustered"/>
        <c:varyColors val="0"/>
        <c:ser>
          <c:idx val="0"/>
          <c:order val="0"/>
          <c:tx>
            <c:strRef>
              <c:f>Sheet1!$B$1</c:f>
              <c:strCache>
                <c:ptCount val="1"/>
                <c:pt idx="0">
                  <c:v>2023年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1416.86</c:v>
                </c:pt>
                <c:pt idx="1">
                  <c:v>1416.86</c:v>
                </c:pt>
              </c:numCache>
            </c:numRef>
          </c:val>
        </c:ser>
        <c:ser>
          <c:idx val="1"/>
          <c:order val="1"/>
          <c:tx>
            <c:strRef>
              <c:f>Sheet1!$C$1</c:f>
              <c:strCache>
                <c:ptCount val="1"/>
                <c:pt idx="0">
                  <c:v>2022年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1430.33</c:v>
                </c:pt>
                <c:pt idx="1">
                  <c:v>1430.33</c:v>
                </c:pt>
              </c:numCache>
            </c:numRef>
          </c:val>
        </c:ser>
        <c:dLbls>
          <c:showLegendKey val="0"/>
          <c:showVal val="1"/>
          <c:showCatName val="0"/>
          <c:showSerName val="0"/>
          <c:showPercent val="0"/>
          <c:showBubbleSize val="0"/>
        </c:dLbls>
        <c:gapWidth val="150"/>
        <c:overlap val="-25"/>
        <c:axId val="294081280"/>
        <c:axId val="294082816"/>
      </c:barChart>
      <c:catAx>
        <c:axId val="2940812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294082816"/>
        <c:crosses val="autoZero"/>
        <c:auto val="1"/>
        <c:lblAlgn val="ctr"/>
        <c:lblOffset val="100"/>
        <c:noMultiLvlLbl val="0"/>
      </c:catAx>
      <c:valAx>
        <c:axId val="294082816"/>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08128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各项收入占总收入的比重</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本年支出合计</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manualLayout>
                  <c:x val="-0.0746250993434981"/>
                  <c:y val="-0.200549334366822"/>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86.6%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13.4%</a:t>
                    </a:r>
                    <a:endParaRPr lang="en-US" altLang="zh-CN"/>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0.866</c:v>
                </c:pt>
                <c:pt idx="1">
                  <c:v>0.134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97865291145251"/>
          <c:y val="0.281292851551078"/>
          <c:w val="0.946275946275946"/>
          <c:h val="0.595435028248588"/>
        </c:manualLayout>
      </c:layout>
      <c:barChart>
        <c:barDir val="col"/>
        <c:grouping val="clustered"/>
        <c:varyColors val="0"/>
        <c:ser>
          <c:idx val="0"/>
          <c:order val="0"/>
          <c:tx>
            <c:strRef>
              <c:f>Sheet1!$B$1</c:f>
              <c:strCache>
                <c:ptCount val="1"/>
                <c:pt idx="0">
                  <c:v>2023年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1416.86</c:v>
                </c:pt>
                <c:pt idx="1">
                  <c:v>1416.86</c:v>
                </c:pt>
              </c:numCache>
            </c:numRef>
          </c:val>
        </c:ser>
        <c:ser>
          <c:idx val="1"/>
          <c:order val="1"/>
          <c:tx>
            <c:strRef>
              <c:f>Sheet1!$C$1</c:f>
              <c:strCache>
                <c:ptCount val="1"/>
                <c:pt idx="0">
                  <c:v>2022年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1430.33</c:v>
                </c:pt>
                <c:pt idx="1">
                  <c:v>1430.33</c:v>
                </c:pt>
              </c:numCache>
            </c:numRef>
          </c:val>
        </c:ser>
        <c:dLbls>
          <c:showLegendKey val="0"/>
          <c:showVal val="1"/>
          <c:showCatName val="0"/>
          <c:showSerName val="0"/>
          <c:showPercent val="0"/>
          <c:showBubbleSize val="0"/>
        </c:dLbls>
        <c:gapWidth val="150"/>
        <c:overlap val="-25"/>
        <c:axId val="294081280"/>
        <c:axId val="294082816"/>
      </c:barChart>
      <c:catAx>
        <c:axId val="2940812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294082816"/>
        <c:crosses val="autoZero"/>
        <c:auto val="1"/>
        <c:lblAlgn val="ctr"/>
        <c:lblOffset val="100"/>
        <c:noMultiLvlLbl val="0"/>
      </c:catAx>
      <c:valAx>
        <c:axId val="294082816"/>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08128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12411680644041"/>
          <c:y val="0.125194083941088"/>
          <c:w val="0.905175"/>
          <c:h val="0.7605"/>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Sheet1!$B$2</c:f>
              <c:numCache>
                <c:formatCode>General</c:formatCode>
                <c:ptCount val="1"/>
                <c:pt idx="0">
                  <c:v>1416.86</c:v>
                </c:pt>
              </c:numCache>
            </c:numRef>
          </c:val>
        </c:ser>
        <c:ser>
          <c:idx val="1"/>
          <c:order val="1"/>
          <c:tx>
            <c:strRef>
              <c:f>Sheet1!$C$1</c:f>
              <c:strCache>
                <c:ptCount val="1"/>
                <c:pt idx="0">
                  <c:v>2022年</c:v>
                </c:pt>
              </c:strCache>
            </c:strRef>
          </c:tx>
          <c:spPr>
            <a:solidFill>
              <a:schemeClr val="accent2"/>
            </a:solidFill>
            <a:ln>
              <a:noFill/>
            </a:ln>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Sheet1!$C$2</c:f>
              <c:numCache>
                <c:formatCode>General</c:formatCode>
                <c:ptCount val="1"/>
                <c:pt idx="0">
                  <c:v>1430.33</c:v>
                </c:pt>
              </c:numCache>
            </c:numRef>
          </c:val>
        </c:ser>
        <c:dLbls>
          <c:showLegendKey val="0"/>
          <c:showVal val="1"/>
          <c:showCatName val="0"/>
          <c:showSerName val="0"/>
          <c:showPercent val="0"/>
          <c:showBubbleSize val="0"/>
        </c:dLbls>
        <c:gapWidth val="219"/>
        <c:overlap val="-27"/>
        <c:axId val="294766848"/>
        <c:axId val="294768000"/>
      </c:barChart>
      <c:catAx>
        <c:axId val="294766848"/>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768000"/>
        <c:crosses val="autoZero"/>
        <c:auto val="1"/>
        <c:lblAlgn val="ctr"/>
        <c:lblOffset val="100"/>
        <c:noMultiLvlLbl val="0"/>
      </c:catAx>
      <c:valAx>
        <c:axId val="2947680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4766848"/>
        <c:crosses val="autoZero"/>
        <c:crossBetween val="between"/>
      </c:valAx>
      <c:spPr>
        <a:noFill/>
        <a:ln>
          <a:noFill/>
        </a:ln>
        <a:effectLst/>
      </c:spPr>
    </c:plotArea>
    <c:legend>
      <c:legendPos val="b"/>
      <c:layout>
        <c:manualLayout>
          <c:xMode val="edge"/>
          <c:yMode val="edge"/>
          <c:x val="0.298078355429763"/>
          <c:y val="0.863199037883343"/>
          <c:w val="0.469238790406674"/>
          <c:h val="0.10072158749248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各项支出占总支出的比重</c:v>
                </c:pt>
              </c:strCache>
            </c:strRef>
          </c:tx>
          <c:explosion val="0"/>
          <c:dPt>
            <c:idx val="0"/>
            <c:bubble3D val="0"/>
          </c:dPt>
          <c:dPt>
            <c:idx val="1"/>
            <c:bubble3D val="0"/>
          </c:dPt>
          <c:dPt>
            <c:idx val="2"/>
            <c:bubble3D val="0"/>
          </c:dPt>
          <c:dPt>
            <c:idx val="3"/>
            <c:bubble3D val="0"/>
          </c:dPt>
          <c:dPt>
            <c:idx val="4"/>
            <c:bubble3D val="0"/>
          </c:dPt>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a:t>
                    </a:r>
                    <a:r>
                      <a:rPr lang="en-US" altLang="zh-CN"/>
                      <a:t>.5</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a:t>
                    </a:r>
                    <a:r>
                      <a:rPr lang="en-US" altLang="zh-CN"/>
                      <a:t>8.5</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0.00236776563851235"/>
                  <c:y val="0.028646992019077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6.4</a:t>
                    </a:r>
                    <a:r>
                      <a:t>%</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教育支出</c:v>
                </c:pt>
                <c:pt idx="2">
                  <c:v>社会保障和就业支出</c:v>
                </c:pt>
                <c:pt idx="3">
                  <c:v>卫生健康支出</c:v>
                </c:pt>
                <c:pt idx="4">
                  <c:v>住房保障支出</c:v>
                </c:pt>
              </c:strCache>
            </c:strRef>
          </c:cat>
          <c:val>
            <c:numRef>
              <c:f>Sheet1!$B$2:$B$6</c:f>
              <c:numCache>
                <c:formatCode>General</c:formatCode>
                <c:ptCount val="5"/>
                <c:pt idx="0">
                  <c:v>70</c:v>
                </c:pt>
                <c:pt idx="1" c:formatCode="@">
                  <c:v>1.5</c:v>
                </c:pt>
                <c:pt idx="2" c:formatCode="0.00_ ">
                  <c:v>18.5</c:v>
                </c:pt>
                <c:pt idx="3">
                  <c:v>3.6</c:v>
                </c:pt>
                <c:pt idx="4">
                  <c:v>6.4</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manualLayout>
          <c:layoutTarget val="inner"/>
          <c:xMode val="edge"/>
          <c:yMode val="edge"/>
          <c:x val="0.330874228559268"/>
          <c:y val="0.22318839011103"/>
          <c:w val="0.338251755692701"/>
          <c:h val="0.573439402548908"/>
        </c:manualLayout>
      </c:layout>
      <c:pieChart>
        <c:varyColors val="1"/>
        <c:ser>
          <c:idx val="0"/>
          <c:order val="0"/>
          <c:tx>
            <c:strRef>
              <c:f>Sheet1!$B$1</c:f>
              <c:strCache>
                <c:ptCount val="1"/>
                <c:pt idx="0">
                  <c:v>“三公”经费财政拨款支出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公务用车购置及运行维护费</c:v>
                </c:pt>
                <c:pt idx="1">
                  <c:v>公务接待费</c:v>
                </c:pt>
              </c:strCache>
            </c:strRef>
          </c:cat>
          <c:val>
            <c:numRef>
              <c:f>Sheet1!$B$2:$B$3</c:f>
              <c:numCache>
                <c:formatCode>0.00%</c:formatCode>
                <c:ptCount val="2"/>
                <c:pt idx="0">
                  <c:v>0.7215</c:v>
                </c:pt>
                <c:pt idx="1">
                  <c:v>0.2785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5511</Words>
  <Characters>8290</Characters>
  <Lines>61</Lines>
  <Paragraphs>17</Paragraphs>
  <TotalTime>3</TotalTime>
  <ScaleCrop>false</ScaleCrop>
  <LinksUpToDate>false</LinksUpToDate>
  <CharactersWithSpaces>8385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cp:lastModifiedBy>
  <cp:lastPrinted>2024-08-05T01:44:00Z</cp:lastPrinted>
  <dcterms:modified xsi:type="dcterms:W3CDTF">2024-09-27T01:56:05Z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7EA4984E4A2E45F9871DBCC2BD6A3745_12</vt:lpwstr>
  </property>
</Properties>
</file>