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rPr>
          <w:rFonts w:hint="eastAsia" w:ascii="方正小标宋简体" w:hAnsi="宋体" w:eastAsia="方正小标宋简体" w:cs="Times New Roman"/>
          <w:color w:val="auto"/>
          <w:kern w:val="2"/>
          <w:sz w:val="44"/>
          <w:szCs w:val="44"/>
          <w:highlight w:val="none"/>
          <w:lang w:val="en-US" w:eastAsia="zh-CN" w:bidi="ar-SA"/>
        </w:rPr>
      </w:pPr>
      <w:bookmarkStart w:id="0" w:name="_Toc15377425"/>
      <w:bookmarkStart w:id="1" w:name="_Toc15306267"/>
      <w:bookmarkStart w:id="2" w:name="_Toc15378441"/>
      <w:bookmarkStart w:id="3" w:name="_Toc15396597"/>
      <w:bookmarkStart w:id="4" w:name="_Toc15396475"/>
      <w:bookmarkStart w:id="5" w:name="_Toc15377193"/>
    </w:p>
    <w:p>
      <w:pPr>
        <w:pStyle w:val="8"/>
        <w:jc w:val="both"/>
        <w:rPr>
          <w:rFonts w:hint="eastAsia" w:ascii="方正小标宋简体" w:hAnsi="宋体" w:eastAsia="方正小标宋简体" w:cs="Times New Roman"/>
          <w:color w:val="auto"/>
          <w:kern w:val="2"/>
          <w:sz w:val="44"/>
          <w:szCs w:val="44"/>
          <w:highlight w:val="none"/>
          <w:lang w:val="en-US" w:eastAsia="zh-CN" w:bidi="ar-SA"/>
        </w:rPr>
      </w:pPr>
    </w:p>
    <w:p>
      <w:pPr>
        <w:pStyle w:val="8"/>
        <w:jc w:val="both"/>
        <w:rPr>
          <w:rFonts w:hint="eastAsia" w:ascii="方正小标宋简体" w:hAnsi="宋体" w:eastAsia="方正小标宋简体" w:cs="Times New Roman"/>
          <w:color w:val="auto"/>
          <w:kern w:val="2"/>
          <w:sz w:val="44"/>
          <w:szCs w:val="44"/>
          <w:highlight w:val="none"/>
          <w:lang w:val="en-US" w:eastAsia="zh-CN" w:bidi="ar-SA"/>
        </w:rPr>
      </w:pPr>
    </w:p>
    <w:p>
      <w:pPr>
        <w:pStyle w:val="8"/>
        <w:jc w:val="both"/>
        <w:rPr>
          <w:rFonts w:hint="eastAsia" w:ascii="方正小标宋简体" w:hAnsi="宋体" w:eastAsia="方正小标宋简体" w:cs="Times New Roman"/>
          <w:color w:val="auto"/>
          <w:kern w:val="2"/>
          <w:sz w:val="44"/>
          <w:szCs w:val="44"/>
          <w:highlight w:val="none"/>
          <w:lang w:val="en-US" w:eastAsia="zh-CN" w:bidi="ar-SA"/>
        </w:rPr>
      </w:pPr>
    </w:p>
    <w:p>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End w:id="0"/>
      <w:bookmarkEnd w:id="1"/>
      <w:bookmarkEnd w:id="2"/>
      <w:bookmarkEnd w:id="3"/>
      <w:bookmarkEnd w:id="4"/>
      <w:bookmarkEnd w:id="5"/>
      <w:bookmarkStart w:id="6" w:name="_Toc15378442"/>
      <w:bookmarkStart w:id="7" w:name="_Toc15306268"/>
      <w:bookmarkStart w:id="8" w:name="_Toc15377194"/>
      <w:bookmarkStart w:id="9" w:name="_Toc15396598"/>
      <w:bookmarkStart w:id="10" w:name="_Toc15396476"/>
      <w:bookmarkStart w:id="11" w:name="_Toc15377426"/>
      <w:r>
        <w:rPr>
          <w:rFonts w:hint="eastAsia" w:ascii="方正小标宋简体" w:hAnsi="宋体" w:eastAsia="方正小标宋简体" w:cs="Times New Roman"/>
          <w:color w:val="auto"/>
          <w:kern w:val="2"/>
          <w:sz w:val="44"/>
          <w:szCs w:val="44"/>
          <w:highlight w:val="none"/>
          <w:lang w:val="en-US" w:eastAsia="zh-CN" w:bidi="ar-SA"/>
        </w:rPr>
        <w:t>民革四川省委会部门决算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hint="eastAsia"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...................................................1</w:t>
      </w:r>
    </w:p>
    <w:p>
      <w:pPr>
        <w:pStyle w:val="14"/>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.........................................................................................................1</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.........................................................................................................1</w:t>
      </w:r>
    </w:p>
    <w:p>
      <w:pPr>
        <w:pStyle w:val="12"/>
        <w:adjustRightInd w:val="0"/>
        <w:snapToGrid w:val="0"/>
        <w:spacing w:before="0" w:line="440" w:lineRule="exact"/>
        <w:jc w:val="left"/>
        <w:rPr>
          <w:rFonts w:hint="eastAsia"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rPr>
        <w:t>部门决算情况说明</w:t>
      </w:r>
      <w:r>
        <w:rPr>
          <w:rFonts w:hint="eastAsia"/>
          <w:color w:val="auto"/>
          <w:sz w:val="24"/>
          <w:highlight w:val="none"/>
          <w:lang w:val="en-US" w:eastAsia="zh-CN"/>
        </w:rPr>
        <w:t>..................................2</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..........................................................................2</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..........................................................................................2</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...........................................................................................3</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..........................................................3</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..................................................3</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.........................................6</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.................................................7</w:t>
      </w:r>
    </w:p>
    <w:p>
      <w:pPr>
        <w:pStyle w:val="14"/>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.............................................................8</w:t>
      </w:r>
    </w:p>
    <w:p>
      <w:pPr>
        <w:pStyle w:val="14"/>
        <w:adjustRightInd w:val="0"/>
        <w:snapToGrid w:val="0"/>
        <w:spacing w:line="440" w:lineRule="exact"/>
        <w:ind w:leftChars="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heme="minorEastAsia" w:hAnsiTheme="minorEastAsia" w:eastAsiaTheme="minorEastAsia" w:cstheme="minorEastAsia"/>
          <w:color w:val="auto"/>
          <w:sz w:val="24"/>
          <w:highlight w:val="none"/>
          <w:lang w:val="en-US" w:eastAsia="zh-CN"/>
        </w:rPr>
        <w:t>.............................8</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lang w:val="en-US" w:eastAsia="zh-CN"/>
        </w:rPr>
      </w:pPr>
      <w:r>
        <w:rPr>
          <w:rStyle w:val="18"/>
          <w:rFonts w:hint="eastAsia" w:asciiTheme="minorEastAsia" w:hAnsiTheme="minorEastAsia" w:eastAsiaTheme="minorEastAsia" w:cstheme="minorEastAsia"/>
          <w:color w:val="auto"/>
          <w:sz w:val="24"/>
          <w:highlight w:val="none"/>
          <w:u w:val="none"/>
          <w:lang w:eastAsia="zh-CN"/>
        </w:rPr>
        <w:t>十</w:t>
      </w:r>
      <w:r>
        <w:rPr>
          <w:rStyle w:val="18"/>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lang w:val="en-US" w:eastAsia="zh-CN"/>
        </w:rPr>
        <w:t>.......................................9</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..................................................11</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......................................................14</w:t>
      </w: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.......................................................................................23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...................................................................................................23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...................................................................................................23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.........................................................................23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............................................................................23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...........................................................23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...................................................23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...........................................23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...................................................23</w:t>
      </w:r>
    </w:p>
    <w:p>
      <w:pPr>
        <w:pStyle w:val="14"/>
        <w:adjustRightInd w:val="0"/>
        <w:snapToGrid w:val="0"/>
        <w:spacing w:line="440" w:lineRule="exact"/>
        <w:ind w:left="0" w:leftChars="0" w:firstLine="0" w:firstLineChars="0"/>
        <w:jc w:val="both"/>
        <w:rPr>
          <w:rFonts w:hint="default" w:eastAsia="宋体"/>
          <w:color w:val="auto"/>
          <w:sz w:val="24"/>
          <w:highlight w:val="none"/>
          <w:lang w:val="en-US" w:eastAsia="zh-CN"/>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...............................................23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.........................................23</w:t>
      </w:r>
    </w:p>
    <w:p>
      <w:pPr>
        <w:pStyle w:val="14"/>
        <w:adjustRightInd w:val="0"/>
        <w:snapToGrid w:val="0"/>
        <w:spacing w:line="440" w:lineRule="exact"/>
        <w:jc w:val="left"/>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国有资本经营预算财政拨款支出决算表................................................23</w:t>
      </w:r>
    </w:p>
    <w:p>
      <w:pPr>
        <w:pStyle w:val="14"/>
        <w:adjustRightInd w:val="0"/>
        <w:snapToGrid w:val="0"/>
        <w:spacing w:line="440" w:lineRule="exact"/>
        <w:jc w:val="left"/>
        <w:rPr>
          <w:rFonts w:hint="default" w:eastAsia="宋体" w:asciiTheme="minorEastAsia" w:hAnsiTheme="minorEastAsia" w:cstheme="minorEastAsia"/>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........................................................23</w:t>
      </w:r>
    </w:p>
    <w:p>
      <w:pPr>
        <w:widowControl/>
        <w:adjustRightInd w:val="0"/>
        <w:snapToGrid w:val="0"/>
        <w:spacing w:line="440" w:lineRule="exact"/>
        <w:ind w:firstLine="1320" w:firstLineChars="550"/>
        <w:jc w:val="left"/>
        <w:rPr>
          <w:rFonts w:ascii="仿宋" w:hAnsi="仿宋" w:eastAsia="仿宋"/>
          <w:color w:val="auto"/>
          <w:sz w:val="24"/>
          <w:highlight w:val="none"/>
        </w:rPr>
      </w:pPr>
    </w:p>
    <w:p>
      <w:pPr>
        <w:pStyle w:val="5"/>
        <w:pageBreakBefore w:val="0"/>
        <w:kinsoku/>
        <w:wordWrap/>
        <w:overflowPunct/>
        <w:topLinePunct w:val="0"/>
        <w:autoSpaceDE/>
        <w:autoSpaceDN/>
        <w:bidi w:val="0"/>
        <w:spacing w:before="0" w:after="0" w:line="600" w:lineRule="exact"/>
        <w:jc w:val="center"/>
        <w:textAlignment w:val="auto"/>
        <w:rPr>
          <w:rFonts w:hint="default" w:ascii="Times New Roman" w:hAnsi="Times New Roman" w:eastAsia="黑体" w:cs="Times New Roman"/>
          <w:b w:val="0"/>
          <w:color w:val="auto"/>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12" w:name="_Toc15377196"/>
      <w:bookmarkStart w:id="13" w:name="_Toc15396599"/>
    </w:p>
    <w:p>
      <w:pPr>
        <w:pStyle w:val="5"/>
        <w:pageBreakBefore w:val="0"/>
        <w:kinsoku/>
        <w:wordWrap/>
        <w:overflowPunct/>
        <w:topLinePunct w:val="0"/>
        <w:autoSpaceDE/>
        <w:autoSpaceDN/>
        <w:bidi w:val="0"/>
        <w:spacing w:before="0" w:after="0" w:line="600" w:lineRule="exact"/>
        <w:jc w:val="center"/>
        <w:textAlignment w:val="auto"/>
        <w:rPr>
          <w:rStyle w:val="28"/>
          <w:rFonts w:hint="default" w:ascii="Times New Roman" w:hAnsi="Times New Roman" w:eastAsia="黑体" w:cs="Times New Roman"/>
          <w:b/>
          <w:bCs w:val="0"/>
          <w:color w:val="auto"/>
          <w:highlight w:val="none"/>
        </w:rPr>
      </w:pPr>
      <w:r>
        <w:rPr>
          <w:rFonts w:hint="default" w:ascii="Times New Roman" w:hAnsi="Times New Roman" w:eastAsia="黑体" w:cs="Times New Roman"/>
          <w:b w:val="0"/>
          <w:color w:val="auto"/>
          <w:highlight w:val="none"/>
        </w:rPr>
        <w:t xml:space="preserve">第一部分 </w:t>
      </w:r>
      <w:r>
        <w:rPr>
          <w:rStyle w:val="28"/>
          <w:rFonts w:hint="default" w:ascii="Times New Roman" w:hAnsi="Times New Roman" w:eastAsia="黑体" w:cs="Times New Roman"/>
          <w:b w:val="0"/>
          <w:bCs w:val="0"/>
          <w:color w:val="auto"/>
          <w:highlight w:val="none"/>
        </w:rPr>
        <w:t>部门概况</w:t>
      </w:r>
      <w:bookmarkEnd w:id="12"/>
      <w:bookmarkEnd w:id="13"/>
    </w:p>
    <w:p>
      <w:pPr>
        <w:pageBreakBefore w:val="0"/>
        <w:widowControl/>
        <w:kinsoku/>
        <w:wordWrap/>
        <w:overflowPunct/>
        <w:topLinePunct w:val="0"/>
        <w:autoSpaceDE/>
        <w:autoSpaceDN/>
        <w:bidi w:val="0"/>
        <w:spacing w:line="600" w:lineRule="exact"/>
        <w:jc w:val="left"/>
        <w:textAlignment w:val="auto"/>
        <w:rPr>
          <w:rFonts w:hint="default" w:ascii="Times New Roman" w:hAnsi="Times New Roman" w:eastAsia="黑体" w:cs="Times New Roman"/>
          <w:color w:val="auto"/>
          <w:sz w:val="32"/>
          <w:szCs w:val="32"/>
          <w:highlight w:val="none"/>
        </w:rPr>
      </w:pPr>
    </w:p>
    <w:p>
      <w:pPr>
        <w:pStyle w:val="6"/>
        <w:pageBreakBefore w:val="0"/>
        <w:numPr>
          <w:ilvl w:val="0"/>
          <w:numId w:val="0"/>
        </w:numPr>
        <w:kinsoku/>
        <w:wordWrap/>
        <w:overflowPunct/>
        <w:topLinePunct w:val="0"/>
        <w:autoSpaceDE/>
        <w:autoSpaceDN/>
        <w:bidi w:val="0"/>
        <w:spacing w:before="0" w:after="0" w:line="600" w:lineRule="exact"/>
        <w:ind w:firstLine="640" w:firstLineChars="200"/>
        <w:textAlignment w:val="auto"/>
        <w:rPr>
          <w:rFonts w:hint="default" w:ascii="Times New Roman" w:hAnsi="Times New Roman" w:eastAsia="黑体" w:cs="Times New Roman"/>
          <w:b w:val="0"/>
          <w:color w:val="auto"/>
          <w:highlight w:val="none"/>
          <w:lang w:eastAsia="zh-CN"/>
        </w:rPr>
      </w:pPr>
      <w:r>
        <w:rPr>
          <w:rFonts w:hint="eastAsia" w:ascii="Times New Roman" w:hAnsi="Times New Roman" w:eastAsia="黑体" w:cs="Times New Roman"/>
          <w:b w:val="0"/>
          <w:color w:val="auto"/>
          <w:highlight w:val="none"/>
          <w:lang w:eastAsia="zh-CN"/>
        </w:rPr>
        <w:t>一、</w:t>
      </w:r>
      <w:r>
        <w:rPr>
          <w:rFonts w:hint="default" w:ascii="Times New Roman" w:hAnsi="Times New Roman" w:eastAsia="黑体" w:cs="Times New Roman"/>
          <w:b w:val="0"/>
          <w:color w:val="auto"/>
          <w:highlight w:val="none"/>
          <w:lang w:eastAsia="zh-CN"/>
        </w:rPr>
        <w:t>部门职责</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 w:cs="Times New Roman"/>
          <w:color w:val="auto"/>
          <w:sz w:val="32"/>
          <w:szCs w:val="32"/>
          <w:highlight w:val="none"/>
        </w:rPr>
        <w:t>中国国民党革命委员会四川省委员会（以下简称“民革四川省委”）是中国共产党领导的多党合作和政治协商制度中的参政党省级组织。主要工作职责是参政议政、民主监督和参加中国共产党领导的政治协商，助推经济社会发展和促进祖国和平统一。</w:t>
      </w:r>
    </w:p>
    <w:p>
      <w:pPr>
        <w:pStyle w:val="6"/>
        <w:pageBreakBefore w:val="0"/>
        <w:kinsoku/>
        <w:wordWrap/>
        <w:overflowPunct/>
        <w:topLinePunct w:val="0"/>
        <w:autoSpaceDE/>
        <w:autoSpaceDN/>
        <w:bidi w:val="0"/>
        <w:spacing w:before="0" w:after="0" w:line="600" w:lineRule="exact"/>
        <w:ind w:firstLine="640" w:firstLineChars="200"/>
        <w:textAlignment w:val="auto"/>
        <w:rPr>
          <w:rStyle w:val="29"/>
          <w:rFonts w:hint="default" w:ascii="Times New Roman" w:hAnsi="Times New Roman" w:cs="Times New Roman"/>
          <w:b w:val="0"/>
          <w:bCs w:val="0"/>
          <w:color w:val="auto"/>
          <w:highlight w:val="none"/>
        </w:rPr>
      </w:pPr>
      <w:bookmarkStart w:id="14" w:name="_Toc15377200"/>
      <w:bookmarkStart w:id="15" w:name="_Toc15396601"/>
      <w:r>
        <w:rPr>
          <w:rFonts w:hint="default" w:ascii="Times New Roman" w:hAnsi="Times New Roman" w:eastAsia="黑体" w:cs="Times New Roman"/>
          <w:b w:val="0"/>
          <w:color w:val="auto"/>
          <w:highlight w:val="none"/>
        </w:rPr>
        <w:t>二、机</w:t>
      </w:r>
      <w:r>
        <w:rPr>
          <w:rStyle w:val="29"/>
          <w:rFonts w:hint="default" w:ascii="Times New Roman" w:hAnsi="Times New Roman" w:eastAsia="黑体" w:cs="Times New Roman"/>
          <w:b w:val="0"/>
          <w:bCs w:val="0"/>
          <w:color w:val="auto"/>
          <w:highlight w:val="none"/>
        </w:rPr>
        <w:t>构设置</w:t>
      </w:r>
      <w:bookmarkEnd w:id="14"/>
      <w:bookmarkEnd w:id="15"/>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民革四川省委会</w:t>
      </w:r>
      <w:r>
        <w:rPr>
          <w:rFonts w:hint="default" w:ascii="Times New Roman" w:hAnsi="Times New Roman" w:eastAsia="仿宋" w:cs="Times New Roman"/>
          <w:color w:val="auto"/>
          <w:sz w:val="32"/>
          <w:szCs w:val="32"/>
          <w:highlight w:val="none"/>
        </w:rPr>
        <w:t>下属二级</w:t>
      </w:r>
      <w:r>
        <w:rPr>
          <w:rFonts w:hint="default" w:ascii="Times New Roman" w:hAnsi="Times New Roman" w:eastAsia="仿宋" w:cs="Times New Roman"/>
          <w:color w:val="auto"/>
          <w:sz w:val="32"/>
          <w:szCs w:val="32"/>
          <w:highlight w:val="none"/>
          <w:lang w:eastAsia="zh-CN"/>
        </w:rPr>
        <w:t>预算</w:t>
      </w:r>
      <w:r>
        <w:rPr>
          <w:rFonts w:hint="default" w:ascii="Times New Roman" w:hAnsi="Times New Roman" w:eastAsia="仿宋" w:cs="Times New Roman"/>
          <w:color w:val="auto"/>
          <w:sz w:val="32"/>
          <w:szCs w:val="32"/>
          <w:highlight w:val="none"/>
        </w:rPr>
        <w:t>单位</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个，其中行政单位</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个，参照公务员法管理的事业单位</w:t>
      </w:r>
      <w:r>
        <w:rPr>
          <w:rFonts w:hint="default" w:ascii="Times New Roman" w:hAnsi="Times New Roman" w:eastAsia="仿宋" w:cs="Times New Roman"/>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个，其他事业单位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w:t>
      </w:r>
    </w:p>
    <w:p>
      <w:pPr>
        <w:pStyle w:val="8"/>
        <w:pageBreakBefore w:val="0"/>
        <w:kinsoku/>
        <w:wordWrap/>
        <w:overflowPunct/>
        <w:topLinePunct w:val="0"/>
        <w:autoSpaceDE/>
        <w:autoSpaceDN/>
        <w:bidi w:val="0"/>
        <w:adjustRightInd w:val="0"/>
        <w:snapToGrid w:val="0"/>
        <w:spacing w:beforeLines="0" w:line="600" w:lineRule="exact"/>
        <w:ind w:firstLine="672" w:firstLineChars="21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纳入</w:t>
      </w:r>
      <w:r>
        <w:rPr>
          <w:rFonts w:hint="default" w:ascii="Times New Roman" w:hAnsi="Times New Roman" w:eastAsia="仿宋" w:cs="Times New Roman"/>
          <w:color w:val="auto"/>
          <w:sz w:val="32"/>
          <w:szCs w:val="32"/>
          <w:highlight w:val="none"/>
          <w:lang w:eastAsia="zh-CN"/>
        </w:rPr>
        <w:t>民革四川省委会2023</w:t>
      </w:r>
      <w:r>
        <w:rPr>
          <w:rFonts w:hint="default" w:ascii="Times New Roman" w:hAnsi="Times New Roman" w:eastAsia="仿宋" w:cs="Times New Roman"/>
          <w:color w:val="auto"/>
          <w:sz w:val="32"/>
          <w:szCs w:val="32"/>
          <w:highlight w:val="none"/>
        </w:rPr>
        <w:t>年度部门决算编制范围的二级预算单位包括：</w:t>
      </w:r>
    </w:p>
    <w:p>
      <w:pPr>
        <w:pStyle w:val="8"/>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bookmarkStart w:id="16" w:name="_Toc15306276"/>
      <w:bookmarkStart w:id="17" w:name="_Toc15377433"/>
      <w:bookmarkStart w:id="18" w:name="_Toc15377202"/>
      <w:bookmarkStart w:id="19" w:name="_Toc15378449"/>
      <w:r>
        <w:rPr>
          <w:rFonts w:hint="default" w:ascii="Times New Roman" w:hAnsi="Times New Roman" w:eastAsia="仿宋_GB2312" w:cs="Times New Roman"/>
          <w:bCs/>
          <w:color w:val="000000"/>
          <w:sz w:val="32"/>
          <w:szCs w:val="32"/>
          <w:lang w:val="en-US"/>
        </w:rPr>
        <w:t>1.</w:t>
      </w:r>
      <w:r>
        <w:rPr>
          <w:rFonts w:hint="default" w:ascii="Times New Roman" w:hAnsi="Times New Roman" w:eastAsia="仿宋_GB2312" w:cs="Times New Roman"/>
          <w:bCs/>
          <w:color w:val="000000"/>
          <w:sz w:val="32"/>
          <w:szCs w:val="32"/>
        </w:rPr>
        <w:t>民革四川省委</w:t>
      </w:r>
      <w:r>
        <w:rPr>
          <w:rFonts w:hint="default" w:ascii="Times New Roman" w:hAnsi="Times New Roman" w:cs="Times New Roman"/>
          <w:bCs/>
          <w:color w:val="000000"/>
          <w:sz w:val="32"/>
          <w:szCs w:val="32"/>
          <w:lang w:eastAsia="zh-CN"/>
        </w:rPr>
        <w:t>会</w:t>
      </w:r>
      <w:r>
        <w:rPr>
          <w:rFonts w:hint="default" w:ascii="Times New Roman" w:hAnsi="Times New Roman" w:eastAsia="仿宋_GB2312" w:cs="Times New Roman"/>
          <w:bCs/>
          <w:color w:val="000000"/>
          <w:sz w:val="32"/>
          <w:szCs w:val="32"/>
        </w:rPr>
        <w:t>机关</w:t>
      </w:r>
    </w:p>
    <w:bookmarkEnd w:id="16"/>
    <w:bookmarkEnd w:id="17"/>
    <w:bookmarkEnd w:id="18"/>
    <w:bookmarkEnd w:id="19"/>
    <w:p>
      <w:pPr>
        <w:pageBreakBefore w:val="0"/>
        <w:widowControl/>
        <w:kinsoku/>
        <w:wordWrap/>
        <w:overflowPunct/>
        <w:topLinePunct w:val="0"/>
        <w:autoSpaceDE/>
        <w:autoSpaceDN/>
        <w:bidi w:val="0"/>
        <w:spacing w:line="600" w:lineRule="exact"/>
        <w:jc w:val="lef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5"/>
        <w:pageBreakBefore w:val="0"/>
        <w:widowControl w:val="0"/>
        <w:kinsoku/>
        <w:wordWrap/>
        <w:overflowPunct/>
        <w:topLinePunct w:val="0"/>
        <w:autoSpaceDE/>
        <w:autoSpaceDN/>
        <w:bidi w:val="0"/>
        <w:adjustRightInd/>
        <w:spacing w:before="0" w:after="0" w:line="600" w:lineRule="exact"/>
        <w:ind w:left="0" w:leftChars="0" w:right="0"/>
        <w:jc w:val="center"/>
        <w:textAlignment w:val="auto"/>
        <w:rPr>
          <w:rStyle w:val="28"/>
          <w:rFonts w:ascii="黑体" w:hAnsi="黑体" w:eastAsia="黑体"/>
          <w:b w:val="0"/>
          <w:bCs/>
          <w:color w:val="auto"/>
          <w:highlight w:val="none"/>
        </w:rPr>
      </w:pPr>
      <w:bookmarkStart w:id="20" w:name="_Toc15377204"/>
      <w:bookmarkStart w:id="2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8"/>
          <w:rFonts w:hint="eastAsia" w:ascii="黑体" w:hAnsi="黑体" w:eastAsia="黑体"/>
          <w:b w:val="0"/>
          <w:bCs/>
          <w:color w:val="auto"/>
          <w:highlight w:val="none"/>
        </w:rPr>
        <w:t>部门决算情况说明</w:t>
      </w:r>
      <w:bookmarkEnd w:id="20"/>
      <w:bookmarkEnd w:id="21"/>
    </w:p>
    <w:p>
      <w:pPr>
        <w:pageBreakBefore w:val="0"/>
        <w:widowControl w:val="0"/>
        <w:kinsoku/>
        <w:wordWrap/>
        <w:overflowPunct/>
        <w:topLinePunct w:val="0"/>
        <w:autoSpaceDE/>
        <w:autoSpaceDN/>
        <w:bidi w:val="0"/>
        <w:adjustRightInd/>
        <w:spacing w:line="600" w:lineRule="exact"/>
        <w:ind w:left="0" w:leftChars="0" w:right="0"/>
        <w:textAlignment w:val="auto"/>
        <w:rPr>
          <w:color w:val="auto"/>
          <w:highlight w:val="none"/>
        </w:rPr>
      </w:pPr>
    </w:p>
    <w:p>
      <w:pPr>
        <w:pStyle w:val="27"/>
        <w:pageBreakBefore w:val="0"/>
        <w:widowControl w:val="0"/>
        <w:numPr>
          <w:ilvl w:val="0"/>
          <w:numId w:val="0"/>
        </w:numPr>
        <w:kinsoku/>
        <w:wordWrap/>
        <w:overflowPunct/>
        <w:topLinePunct w:val="0"/>
        <w:autoSpaceDE/>
        <w:autoSpaceDN/>
        <w:bidi w:val="0"/>
        <w:adjustRightInd/>
        <w:spacing w:line="600" w:lineRule="exact"/>
        <w:ind w:left="454" w:leftChars="0" w:right="0" w:hanging="454" w:hangingChars="142"/>
        <w:textAlignment w:val="auto"/>
        <w:outlineLvl w:val="1"/>
        <w:rPr>
          <w:rStyle w:val="29"/>
          <w:rFonts w:ascii="黑体" w:hAnsi="黑体" w:eastAsia="黑体"/>
          <w:b w:val="0"/>
          <w:color w:val="auto"/>
          <w:highlight w:val="none"/>
        </w:rPr>
      </w:pPr>
      <w:bookmarkStart w:id="22" w:name="_Toc15396603"/>
      <w:bookmarkStart w:id="23" w:name="_Toc15377205"/>
      <w:r>
        <w:rPr>
          <w:rFonts w:hint="default" w:ascii="黑体" w:hAnsi="黑体" w:eastAsia="黑体" w:cstheme="majorBidi"/>
          <w:b w:val="0"/>
          <w:bCs/>
          <w:color w:val="auto"/>
          <w:kern w:val="2"/>
          <w:sz w:val="32"/>
          <w:szCs w:val="32"/>
          <w:lang w:val="en-US" w:eastAsia="zh-CN" w:bidi="ar-SA"/>
        </w:rPr>
        <w:t>一、</w:t>
      </w: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2"/>
      <w:bookmarkEnd w:id="23"/>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年度收、支总计</w:t>
      </w:r>
      <w:r>
        <w:rPr>
          <w:rFonts w:hint="default" w:ascii="Times New Roman" w:hAnsi="Times New Roman" w:eastAsia="仿宋" w:cs="Times New Roman"/>
          <w:color w:val="auto"/>
          <w:sz w:val="32"/>
          <w:szCs w:val="32"/>
          <w:highlight w:val="none"/>
          <w:lang w:eastAsia="zh-CN"/>
        </w:rPr>
        <w:t>均为</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相比，收、支总计各减少</w:t>
      </w:r>
      <w:r>
        <w:rPr>
          <w:rFonts w:hint="default" w:ascii="Times New Roman" w:hAnsi="Times New Roman" w:eastAsia="仿宋" w:cs="Times New Roman"/>
          <w:color w:val="auto"/>
          <w:sz w:val="32"/>
          <w:szCs w:val="32"/>
          <w:highlight w:val="none"/>
          <w:lang w:val="en-US" w:eastAsia="zh-CN"/>
        </w:rPr>
        <w:t>13.47</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kern w:val="2"/>
          <w:sz w:val="32"/>
          <w:szCs w:val="32"/>
          <w:highlight w:val="none"/>
          <w:lang w:val="en-US" w:eastAsia="zh-CN" w:bidi="ar"/>
        </w:rPr>
        <w:t>本年无换届工作经费，项目支出减少。</w:t>
      </w:r>
    </w:p>
    <w:p>
      <w:pPr>
        <w:pageBreakBefore w:val="0"/>
        <w:widowControl w:val="0"/>
        <w:kinsoku/>
        <w:wordWrap/>
        <w:overflowPunct/>
        <w:topLinePunct w:val="0"/>
        <w:autoSpaceDE/>
        <w:autoSpaceDN/>
        <w:bidi w:val="0"/>
        <w:adjustRightInd/>
        <w:spacing w:line="600" w:lineRule="exact"/>
        <w:ind w:left="0" w:leftChars="0" w:right="0"/>
        <w:jc w:val="center"/>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ageBreakBefore w:val="0"/>
        <w:widowControl w:val="0"/>
        <w:kinsoku/>
        <w:wordWrap/>
        <w:overflowPunct/>
        <w:topLinePunct w:val="0"/>
        <w:autoSpaceDE/>
        <w:autoSpaceDN/>
        <w:bidi w:val="0"/>
        <w:adjustRightInd/>
        <w:spacing w:line="600" w:lineRule="exact"/>
        <w:ind w:left="0" w:leftChars="0" w:right="0"/>
        <w:jc w:val="center"/>
        <w:textAlignment w:val="auto"/>
        <w:rPr>
          <w:rFonts w:hint="eastAsia"/>
          <w:sz w:val="21"/>
          <w:szCs w:val="21"/>
        </w:rPr>
      </w:pP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1"/>
          <w:szCs w:val="21"/>
          <w:highlight w:val="none"/>
          <w:lang w:val="en-US" w:eastAsia="zh-CN"/>
        </w:rPr>
        <w:t xml:space="preserve">                                               单位：万元</w:t>
      </w:r>
    </w:p>
    <w:p>
      <w:pPr>
        <w:keepNext w:val="0"/>
        <w:keepLines w:val="0"/>
        <w:pageBreakBefore w:val="0"/>
        <w:widowControl w:val="0"/>
        <w:kinsoku/>
        <w:wordWrap/>
        <w:overflowPunct/>
        <w:topLinePunct w:val="0"/>
        <w:autoSpaceDE/>
        <w:autoSpaceDN/>
        <w:bidi w:val="0"/>
        <w:adjustRightInd/>
        <w:snapToGrid/>
        <w:spacing w:line="720" w:lineRule="auto"/>
        <w:ind w:firstLine="420" w:firstLineChars="200"/>
        <w:jc w:val="left"/>
        <w:textAlignment w:val="auto"/>
        <w:rPr>
          <w:rFonts w:hint="eastAsia" w:ascii="仿宋_GB2312" w:eastAsia="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76200</wp:posOffset>
            </wp:positionH>
            <wp:positionV relativeFrom="paragraph">
              <wp:posOffset>47625</wp:posOffset>
            </wp:positionV>
            <wp:extent cx="4906645" cy="1997710"/>
            <wp:effectExtent l="4445" t="4445" r="22860" b="1714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hint="eastAsia" w:ascii="仿宋_GB2312" w:eastAsia="仿宋_GB2312"/>
          <w:color w:val="auto"/>
          <w:sz w:val="32"/>
          <w:szCs w:val="32"/>
          <w:highlight w:val="none"/>
          <w:lang w:eastAsia="zh-CN"/>
        </w:rPr>
      </w:pPr>
    </w:p>
    <w:p>
      <w:pPr>
        <w:pStyle w:val="27"/>
        <w:numPr>
          <w:ilvl w:val="0"/>
          <w:numId w:val="0"/>
        </w:numPr>
        <w:tabs>
          <w:tab w:val="left" w:pos="231"/>
        </w:tabs>
        <w:spacing w:line="600" w:lineRule="exact"/>
        <w:outlineLvl w:val="1"/>
        <w:rPr>
          <w:rFonts w:hint="eastAsia" w:ascii="黑体" w:hAnsi="黑体" w:eastAsia="黑体"/>
          <w:color w:val="auto"/>
          <w:sz w:val="32"/>
          <w:szCs w:val="32"/>
          <w:highlight w:val="none"/>
        </w:rPr>
      </w:pPr>
      <w:bookmarkStart w:id="24" w:name="_Toc15377206"/>
      <w:bookmarkStart w:id="25" w:name="_Toc15396604"/>
    </w:p>
    <w:p>
      <w:pPr>
        <w:pStyle w:val="27"/>
        <w:numPr>
          <w:ilvl w:val="0"/>
          <w:numId w:val="0"/>
        </w:numPr>
        <w:tabs>
          <w:tab w:val="left" w:pos="231"/>
        </w:tabs>
        <w:spacing w:line="600" w:lineRule="exact"/>
        <w:outlineLvl w:val="1"/>
        <w:rPr>
          <w:rFonts w:hint="eastAsia" w:ascii="黑体" w:hAnsi="黑体" w:eastAsia="黑体"/>
          <w:color w:val="auto"/>
          <w:sz w:val="32"/>
          <w:szCs w:val="32"/>
          <w:highlight w:val="none"/>
        </w:rPr>
      </w:pPr>
    </w:p>
    <w:p>
      <w:pPr>
        <w:pStyle w:val="27"/>
        <w:numPr>
          <w:ilvl w:val="0"/>
          <w:numId w:val="0"/>
        </w:numPr>
        <w:tabs>
          <w:tab w:val="left" w:pos="231"/>
        </w:tabs>
        <w:spacing w:line="600" w:lineRule="exact"/>
        <w:outlineLvl w:val="1"/>
        <w:rPr>
          <w:rFonts w:hint="eastAsia" w:ascii="黑体" w:hAnsi="黑体" w:eastAsia="黑体"/>
          <w:color w:val="auto"/>
          <w:sz w:val="32"/>
          <w:szCs w:val="32"/>
          <w:highlight w:val="none"/>
        </w:rPr>
      </w:pPr>
    </w:p>
    <w:p>
      <w:pPr>
        <w:pStyle w:val="27"/>
        <w:keepNext w:val="0"/>
        <w:keepLines w:val="0"/>
        <w:pageBreakBefore w:val="0"/>
        <w:widowControl w:val="0"/>
        <w:numPr>
          <w:ilvl w:val="0"/>
          <w:numId w:val="0"/>
        </w:numPr>
        <w:tabs>
          <w:tab w:val="left" w:pos="231"/>
        </w:tabs>
        <w:kinsoku/>
        <w:wordWrap/>
        <w:overflowPunct/>
        <w:topLinePunct w:val="0"/>
        <w:autoSpaceDE/>
        <w:autoSpaceDN/>
        <w:bidi w:val="0"/>
        <w:adjustRightInd/>
        <w:snapToGrid/>
        <w:spacing w:line="600" w:lineRule="exact"/>
        <w:ind w:firstLine="640" w:firstLineChars="200"/>
        <w:textAlignment w:val="auto"/>
        <w:outlineLvl w:val="1"/>
        <w:rPr>
          <w:rStyle w:val="29"/>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4"/>
      <w:bookmarkEnd w:id="25"/>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本年收入合计</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keepNext w:val="0"/>
        <w:keepLines w:val="0"/>
        <w:pageBreakBefore w:val="0"/>
        <w:widowControl w:val="0"/>
        <w:kinsoku/>
        <w:wordWrap/>
        <w:overflowPunct/>
        <w:topLinePunct w:val="0"/>
        <w:autoSpaceDE/>
        <w:autoSpaceDN/>
        <w:bidi w:val="0"/>
        <w:adjustRightInd/>
        <w:snapToGrid/>
        <w:spacing w:line="720" w:lineRule="auto"/>
        <w:ind w:leftChars="0" w:firstLine="420" w:firstLineChars="200"/>
        <w:textAlignment w:val="auto"/>
        <w:rPr>
          <w:rFonts w:ascii="仿宋_GB2312" w:eastAsia="仿宋_GB2312"/>
          <w:color w:val="auto"/>
          <w:sz w:val="32"/>
          <w:szCs w:val="32"/>
          <w:highlight w:val="none"/>
        </w:rPr>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135255</wp:posOffset>
            </wp:positionV>
            <wp:extent cx="4165600" cy="1843405"/>
            <wp:effectExtent l="4445" t="4445" r="20955" b="1905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kinsoku/>
        <w:wordWrap/>
        <w:overflowPunct/>
        <w:topLinePunct w:val="0"/>
        <w:autoSpaceDE/>
        <w:autoSpaceDN/>
        <w:bidi w:val="0"/>
        <w:adjustRightInd/>
        <w:snapToGrid/>
        <w:spacing w:line="720" w:lineRule="auto"/>
        <w:ind w:leftChars="0" w:firstLine="640" w:firstLineChars="200"/>
        <w:textAlignment w:val="auto"/>
        <w:rPr>
          <w:rFonts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720" w:lineRule="auto"/>
        <w:ind w:leftChars="0" w:firstLine="640" w:firstLineChars="200"/>
        <w:textAlignment w:val="auto"/>
        <w:rPr>
          <w:rFonts w:ascii="仿宋_GB2312" w:eastAsia="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olor w:val="auto"/>
          <w:sz w:val="32"/>
          <w:szCs w:val="32"/>
          <w:highlight w:val="none"/>
          <w:lang w:eastAsia="zh-CN"/>
        </w:rPr>
      </w:pPr>
      <w:bookmarkStart w:id="26" w:name="_Toc15377207"/>
      <w:bookmarkStart w:id="27"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仿宋" w:hAnsi="仿宋" w:eastAsia="仿宋"/>
          <w:color w:val="auto"/>
          <w:sz w:val="32"/>
          <w:szCs w:val="32"/>
          <w:highlight w:val="none"/>
        </w:rPr>
      </w:pPr>
      <w:r>
        <w:rPr>
          <w:rFonts w:hint="eastAsia" w:ascii="Times New Roman" w:hAnsi="Times New Roman" w:eastAsia="仿宋_GB2312" w:cs="Times New Roman"/>
          <w:kern w:val="2"/>
          <w:sz w:val="32"/>
          <w:szCs w:val="32"/>
          <w:highlight w:val="none"/>
          <w:lang w:val="en-US" w:eastAsia="zh-CN" w:bidi="ar"/>
        </w:rPr>
        <w:t>2023年度本年支出合计</w:t>
      </w:r>
      <w:r>
        <w:rPr>
          <w:rFonts w:hint="default" w:ascii="Times New Roman" w:hAnsi="Times New Roman" w:eastAsia="仿宋_GB2312" w:cs="Times New Roman"/>
          <w:kern w:val="2"/>
          <w:sz w:val="32"/>
          <w:szCs w:val="32"/>
          <w:highlight w:val="none"/>
          <w:lang w:val="en-US" w:eastAsia="zh-CN" w:bidi="ar"/>
        </w:rPr>
        <w:t>1416.86</w:t>
      </w:r>
      <w:r>
        <w:rPr>
          <w:rFonts w:hint="eastAsia" w:ascii="Times New Roman" w:hAnsi="Times New Roman" w:eastAsia="仿宋_GB2312" w:cs="Times New Roman"/>
          <w:kern w:val="2"/>
          <w:sz w:val="32"/>
          <w:szCs w:val="32"/>
          <w:highlight w:val="none"/>
          <w:lang w:val="en-US" w:eastAsia="zh-CN" w:bidi="ar"/>
        </w:rPr>
        <w:t>万元，其中：基本支出</w:t>
      </w:r>
      <w:r>
        <w:rPr>
          <w:rFonts w:hint="default" w:ascii="Times New Roman" w:hAnsi="Times New Roman" w:eastAsia="仿宋_GB2312" w:cs="Times New Roman"/>
          <w:kern w:val="2"/>
          <w:sz w:val="32"/>
          <w:szCs w:val="32"/>
          <w:highlight w:val="none"/>
          <w:lang w:val="en-US" w:eastAsia="zh-CN" w:bidi="ar"/>
        </w:rPr>
        <w:t>1226.96</w:t>
      </w:r>
      <w:r>
        <w:rPr>
          <w:rFonts w:hint="eastAsia" w:ascii="Times New Roman" w:hAnsi="Times New Roman" w:eastAsia="仿宋_GB2312" w:cs="Times New Roman"/>
          <w:kern w:val="2"/>
          <w:sz w:val="32"/>
          <w:szCs w:val="32"/>
          <w:highlight w:val="none"/>
          <w:lang w:val="en-US" w:eastAsia="zh-CN" w:bidi="ar"/>
        </w:rPr>
        <w:t>万元，占</w:t>
      </w:r>
      <w:r>
        <w:rPr>
          <w:rFonts w:hint="default" w:ascii="Times New Roman" w:hAnsi="Times New Roman" w:eastAsia="仿宋_GB2312" w:cs="Times New Roman"/>
          <w:kern w:val="2"/>
          <w:sz w:val="32"/>
          <w:szCs w:val="32"/>
          <w:highlight w:val="none"/>
          <w:lang w:val="en-US" w:eastAsia="zh-CN" w:bidi="ar"/>
        </w:rPr>
        <w:t>86.6</w:t>
      </w:r>
      <w:r>
        <w:rPr>
          <w:rFonts w:hint="eastAsia" w:ascii="Times New Roman" w:hAnsi="Times New Roman" w:eastAsia="仿宋_GB2312" w:cs="Times New Roman"/>
          <w:kern w:val="2"/>
          <w:sz w:val="32"/>
          <w:szCs w:val="32"/>
          <w:highlight w:val="none"/>
          <w:lang w:val="en-US" w:eastAsia="zh-CN" w:bidi="ar"/>
        </w:rPr>
        <w:t>%；项目支出</w:t>
      </w:r>
      <w:r>
        <w:rPr>
          <w:rFonts w:hint="default" w:ascii="Times New Roman" w:hAnsi="Times New Roman" w:eastAsia="仿宋_GB2312" w:cs="Times New Roman"/>
          <w:kern w:val="2"/>
          <w:sz w:val="32"/>
          <w:szCs w:val="32"/>
          <w:highlight w:val="none"/>
          <w:lang w:val="en-US" w:eastAsia="zh-CN" w:bidi="ar"/>
        </w:rPr>
        <w:t>189.9</w:t>
      </w:r>
      <w:r>
        <w:rPr>
          <w:rFonts w:hint="eastAsia" w:ascii="Times New Roman" w:hAnsi="Times New Roman" w:eastAsia="仿宋_GB2312" w:cs="Times New Roman"/>
          <w:kern w:val="2"/>
          <w:sz w:val="32"/>
          <w:szCs w:val="32"/>
          <w:highlight w:val="none"/>
          <w:lang w:val="en-US" w:eastAsia="zh-CN" w:bidi="ar"/>
        </w:rPr>
        <w:t>1万元，占</w:t>
      </w:r>
      <w:r>
        <w:rPr>
          <w:rFonts w:hint="default" w:ascii="Times New Roman" w:hAnsi="Times New Roman" w:eastAsia="仿宋_GB2312" w:cs="Times New Roman"/>
          <w:kern w:val="2"/>
          <w:sz w:val="32"/>
          <w:szCs w:val="32"/>
          <w:highlight w:val="none"/>
          <w:lang w:val="en-US" w:eastAsia="zh-CN" w:bidi="ar"/>
        </w:rPr>
        <w:t>13.4%</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ascii="仿宋_GB2312" w:eastAsia="仿宋_GB2312"/>
          <w:color w:val="auto"/>
          <w:sz w:val="32"/>
          <w:szCs w:val="32"/>
          <w:highlight w:val="none"/>
        </w:rPr>
      </w:pPr>
      <w:r>
        <w:rPr>
          <w:rFonts w:eastAsia="仿宋_GB2312"/>
          <w:color w:val="000000"/>
          <w:sz w:val="32"/>
          <w:szCs w:val="32"/>
        </w:rPr>
        <w:drawing>
          <wp:anchor distT="0" distB="0" distL="114300" distR="114300" simplePos="0" relativeHeight="251661312" behindDoc="0" locked="0" layoutInCell="1" allowOverlap="1">
            <wp:simplePos x="0" y="0"/>
            <wp:positionH relativeFrom="column">
              <wp:posOffset>933450</wp:posOffset>
            </wp:positionH>
            <wp:positionV relativeFrom="paragraph">
              <wp:posOffset>85725</wp:posOffset>
            </wp:positionV>
            <wp:extent cx="3505200" cy="2078355"/>
            <wp:effectExtent l="4445" t="4445" r="14605" b="1270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rPr>
          <w:rFonts w:ascii="仿宋_GB2312" w:eastAsia="仿宋_GB2312"/>
          <w:color w:val="auto"/>
          <w:sz w:val="32"/>
          <w:szCs w:val="32"/>
          <w:highlight w:val="none"/>
        </w:rPr>
      </w:pPr>
    </w:p>
    <w:p>
      <w:pPr>
        <w:spacing w:line="600" w:lineRule="exact"/>
        <w:ind w:firstLine="640" w:firstLineChars="200"/>
        <w:outlineLvl w:val="1"/>
        <w:rPr>
          <w:rFonts w:hint="eastAsia" w:ascii="黑体" w:hAnsi="黑体" w:eastAsia="黑体"/>
          <w:color w:val="auto"/>
          <w:sz w:val="32"/>
          <w:szCs w:val="32"/>
          <w:highlight w:val="none"/>
        </w:rPr>
      </w:pPr>
      <w:bookmarkStart w:id="28" w:name="_Toc15377208"/>
      <w:bookmarkStart w:id="29" w:name="_Toc15396606"/>
    </w:p>
    <w:p>
      <w:pPr>
        <w:spacing w:line="600" w:lineRule="exact"/>
        <w:ind w:firstLine="640" w:firstLineChars="200"/>
        <w:outlineLvl w:val="1"/>
        <w:rPr>
          <w:rFonts w:hint="eastAsia" w:ascii="黑体" w:hAnsi="黑体" w:eastAsia="黑体"/>
          <w:color w:val="auto"/>
          <w:sz w:val="32"/>
          <w:szCs w:val="32"/>
          <w:highlight w:val="none"/>
        </w:rPr>
      </w:pPr>
    </w:p>
    <w:p>
      <w:pPr>
        <w:pStyle w:val="2"/>
        <w:ind w:left="0" w:leftChars="0" w:firstLine="0" w:firstLineChars="0"/>
        <w:rPr>
          <w:rFonts w:hint="eastAsia" w:ascii="黑体" w:hAnsi="黑体"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Style w:val="29"/>
          <w:rFonts w:ascii="黑体" w:hAnsi="黑体" w:eastAsia="黑体"/>
          <w:b w:val="0"/>
          <w:color w:val="auto"/>
          <w:highlight w:val="none"/>
        </w:rPr>
      </w:pPr>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财政拨款收、支总计</w:t>
      </w:r>
      <w:r>
        <w:rPr>
          <w:rFonts w:hint="default" w:ascii="Times New Roman" w:hAnsi="Times New Roman" w:eastAsia="仿宋" w:cs="Times New Roman"/>
          <w:color w:val="auto"/>
          <w:sz w:val="32"/>
          <w:szCs w:val="32"/>
          <w:highlight w:val="none"/>
          <w:lang w:eastAsia="zh-CN"/>
        </w:rPr>
        <w:t>均为</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相比，财政拨款收、支总计各减少</w:t>
      </w:r>
      <w:r>
        <w:rPr>
          <w:rFonts w:hint="default" w:ascii="Times New Roman" w:hAnsi="Times New Roman" w:eastAsia="仿宋" w:cs="Times New Roman"/>
          <w:color w:val="auto"/>
          <w:sz w:val="32"/>
          <w:szCs w:val="32"/>
          <w:highlight w:val="none"/>
          <w:lang w:val="en-US" w:eastAsia="zh-CN"/>
        </w:rPr>
        <w:t>13.47</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kern w:val="2"/>
          <w:sz w:val="32"/>
          <w:szCs w:val="32"/>
          <w:highlight w:val="none"/>
          <w:lang w:val="en-US" w:eastAsia="zh-CN" w:bidi="ar"/>
        </w:rPr>
        <w:t>本年无换届工作经费，项目支出减少。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20" w:firstLineChars="3200"/>
        <w:textAlignment w:val="auto"/>
        <w:rPr>
          <w:rFonts w:ascii="仿宋" w:hAnsi="仿宋" w:eastAsia="仿宋"/>
          <w:color w:val="auto"/>
          <w:sz w:val="32"/>
          <w:szCs w:val="32"/>
          <w:highlight w:val="none"/>
        </w:rPr>
      </w:pPr>
      <w:r>
        <w:rPr>
          <w:rFonts w:hint="eastAsia" w:ascii="仿宋" w:hAnsi="仿宋" w:eastAsia="仿宋"/>
          <w:color w:val="auto"/>
          <w:sz w:val="21"/>
          <w:szCs w:val="21"/>
          <w:highlight w:val="none"/>
          <w:lang w:val="en-US" w:eastAsia="zh-CN"/>
        </w:rPr>
        <w:t>单位：万元</w:t>
      </w:r>
    </w:p>
    <w:p>
      <w:pPr>
        <w:pStyle w:val="2"/>
      </w:pPr>
      <w:r>
        <w:drawing>
          <wp:anchor distT="0" distB="0" distL="114300" distR="114300" simplePos="0" relativeHeight="251662336" behindDoc="0" locked="0" layoutInCell="1" allowOverlap="1">
            <wp:simplePos x="0" y="0"/>
            <wp:positionH relativeFrom="column">
              <wp:posOffset>266700</wp:posOffset>
            </wp:positionH>
            <wp:positionV relativeFrom="paragraph">
              <wp:posOffset>80010</wp:posOffset>
            </wp:positionV>
            <wp:extent cx="4838065" cy="1901825"/>
            <wp:effectExtent l="4445" t="4445" r="15240" b="1778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outlineLvl w:val="1"/>
        <w:rPr>
          <w:rFonts w:hint="eastAsia" w:ascii="黑体" w:hAnsi="黑体" w:eastAsia="黑体"/>
          <w:color w:val="auto"/>
          <w:sz w:val="32"/>
          <w:szCs w:val="32"/>
          <w:highlight w:val="none"/>
        </w:rPr>
      </w:pPr>
      <w:bookmarkStart w:id="30" w:name="_Toc15377209"/>
      <w:bookmarkStart w:id="31" w:name="_Toc15396607"/>
    </w:p>
    <w:p>
      <w:pPr>
        <w:tabs>
          <w:tab w:val="left" w:pos="801"/>
        </w:tabs>
        <w:bidi w:val="0"/>
        <w:ind w:left="8300" w:leftChars="3800" w:hanging="320" w:hangingChars="100"/>
        <w:jc w:val="left"/>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pPr>
        <w:tabs>
          <w:tab w:val="left" w:pos="801"/>
        </w:tabs>
        <w:bidi w:val="0"/>
        <w:ind w:left="8300" w:leftChars="3800" w:hanging="320" w:hangingChars="100"/>
        <w:jc w:val="left"/>
        <w:rPr>
          <w:rFonts w:hint="eastAsia" w:ascii="黑体" w:hAnsi="黑体" w:eastAsia="黑体"/>
          <w:color w:val="auto"/>
          <w:sz w:val="32"/>
          <w:szCs w:val="32"/>
          <w:highlight w:val="none"/>
          <w:lang w:val="en-US" w:eastAsia="zh-CN"/>
        </w:rPr>
      </w:pPr>
    </w:p>
    <w:p>
      <w:pPr>
        <w:tabs>
          <w:tab w:val="left" w:pos="801"/>
        </w:tabs>
        <w:bidi w:val="0"/>
        <w:ind w:left="8300" w:leftChars="3800" w:hanging="320" w:hangingChars="100"/>
        <w:jc w:val="left"/>
        <w:rPr>
          <w:rFonts w:hint="eastAsia" w:ascii="黑体" w:hAnsi="黑体" w:eastAsia="黑体"/>
          <w:color w:val="auto"/>
          <w:sz w:val="32"/>
          <w:szCs w:val="32"/>
          <w:highlight w:val="none"/>
          <w:lang w:val="en-US" w:eastAsia="zh-CN"/>
        </w:rPr>
      </w:pPr>
    </w:p>
    <w:p>
      <w:pPr>
        <w:tabs>
          <w:tab w:val="left" w:pos="801"/>
        </w:tabs>
        <w:bidi w:val="0"/>
        <w:ind w:left="8300" w:leftChars="3800" w:hanging="320" w:hangingChars="100"/>
        <w:jc w:val="left"/>
        <w:rPr>
          <w:rFonts w:hint="eastAsia" w:ascii="黑体" w:hAnsi="黑体" w:eastAsia="黑体"/>
          <w:color w:val="auto"/>
          <w:sz w:val="32"/>
          <w:szCs w:val="32"/>
          <w:highlight w:val="none"/>
          <w:lang w:val="en-US" w:eastAsia="zh-CN"/>
        </w:rPr>
      </w:pPr>
    </w:p>
    <w:p>
      <w:pPr>
        <w:keepNext w:val="0"/>
        <w:keepLines w:val="0"/>
        <w:pageBreakBefore w:val="0"/>
        <w:widowControl w:val="0"/>
        <w:tabs>
          <w:tab w:val="left" w:pos="801"/>
        </w:tabs>
        <w:kinsoku/>
        <w:wordWrap/>
        <w:overflowPunct/>
        <w:topLinePunct w:val="0"/>
        <w:autoSpaceDE/>
        <w:autoSpaceDN/>
        <w:bidi w:val="0"/>
        <w:adjustRightInd/>
        <w:snapToGrid/>
        <w:spacing w:line="600" w:lineRule="exact"/>
        <w:ind w:firstLine="640" w:firstLineChars="200"/>
        <w:jc w:val="left"/>
        <w:textAlignment w:val="auto"/>
        <w:rPr>
          <w:rStyle w:val="29"/>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2"/>
        <w:rPr>
          <w:rFonts w:ascii="仿宋" w:hAnsi="仿宋" w:eastAsia="仿宋"/>
          <w:b/>
          <w:color w:val="auto"/>
          <w:sz w:val="32"/>
          <w:szCs w:val="32"/>
          <w:highlight w:val="none"/>
        </w:rPr>
      </w:pPr>
      <w:bookmarkStart w:id="32" w:name="_Toc15377210"/>
      <w:r>
        <w:rPr>
          <w:rFonts w:hint="eastAsia" w:ascii="仿宋" w:hAnsi="仿宋" w:eastAsia="仿宋"/>
          <w:b/>
          <w:color w:val="auto"/>
          <w:sz w:val="32"/>
          <w:szCs w:val="32"/>
          <w:highlight w:val="none"/>
        </w:rPr>
        <w:t>（一）一般公共预算财政拨款支出决算总体情况</w:t>
      </w:r>
      <w:bookmarkEnd w:id="32"/>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w:t>
      </w:r>
      <w:r>
        <w:rPr>
          <w:rFonts w:hint="default" w:ascii="Times New Roman" w:hAnsi="Times New Roman" w:eastAsia="仿宋" w:cs="Times New Roman"/>
          <w:color w:val="auto"/>
          <w:sz w:val="32"/>
          <w:szCs w:val="32"/>
          <w:highlight w:val="none"/>
          <w:lang w:eastAsia="zh-CN"/>
        </w:rPr>
        <w:t>2022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减少</w:t>
      </w:r>
      <w:r>
        <w:rPr>
          <w:rFonts w:hint="default" w:ascii="Times New Roman" w:hAnsi="Times New Roman" w:eastAsia="仿宋" w:cs="Times New Roman"/>
          <w:color w:val="auto"/>
          <w:sz w:val="32"/>
          <w:szCs w:val="32"/>
          <w:highlight w:val="none"/>
          <w:lang w:val="en-US" w:eastAsia="zh-CN"/>
        </w:rPr>
        <w:t>13.47</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kern w:val="2"/>
          <w:sz w:val="32"/>
          <w:szCs w:val="32"/>
          <w:highlight w:val="none"/>
          <w:lang w:val="en-US" w:eastAsia="zh-CN" w:bidi="ar"/>
        </w:rPr>
        <w:t>本年无换届工作经费，项目支出减少。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90" w:firstLineChars="2900"/>
        <w:textAlignment w:val="auto"/>
        <w:rPr>
          <w:rFonts w:ascii="仿宋" w:hAnsi="仿宋" w:eastAsia="仿宋"/>
          <w:color w:val="auto"/>
          <w:sz w:val="32"/>
          <w:szCs w:val="32"/>
          <w:highlight w:val="none"/>
        </w:rPr>
      </w:pPr>
      <w:r>
        <w:rPr>
          <w:rFonts w:hint="eastAsia" w:ascii="仿宋" w:hAnsi="仿宋" w:eastAsia="仿宋"/>
          <w:color w:val="auto"/>
          <w:sz w:val="21"/>
          <w:szCs w:val="21"/>
          <w:highlight w:val="none"/>
          <w:lang w:val="en-US" w:eastAsia="zh-CN"/>
        </w:rPr>
        <w:t>单位：万元</w:t>
      </w:r>
    </w:p>
    <w:p>
      <w:pPr>
        <w:pStyle w:val="2"/>
        <w:ind w:left="0" w:leftChars="0" w:firstLine="0" w:firstLineChars="0"/>
      </w:pPr>
      <w:r>
        <w:rPr>
          <w:rFonts w:eastAsia="仿宋_GB2312"/>
          <w:color w:val="000000"/>
          <w:sz w:val="32"/>
          <w:szCs w:val="32"/>
        </w:rPr>
        <w:drawing>
          <wp:anchor distT="0" distB="0" distL="114300" distR="114300" simplePos="0" relativeHeight="251663360" behindDoc="0" locked="0" layoutInCell="1" allowOverlap="1">
            <wp:simplePos x="0" y="0"/>
            <wp:positionH relativeFrom="column">
              <wp:posOffset>476250</wp:posOffset>
            </wp:positionH>
            <wp:positionV relativeFrom="paragraph">
              <wp:posOffset>41910</wp:posOffset>
            </wp:positionV>
            <wp:extent cx="4262755" cy="2112010"/>
            <wp:effectExtent l="4445" t="4445" r="19050" b="1714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pPr>
    </w:p>
    <w:p>
      <w:pPr>
        <w:pStyle w:val="2"/>
      </w:pPr>
    </w:p>
    <w:p>
      <w:pPr>
        <w:pStyle w:val="2"/>
      </w:pPr>
    </w:p>
    <w:p>
      <w:pPr>
        <w:pStyle w:val="2"/>
      </w:pPr>
    </w:p>
    <w:p>
      <w:pPr>
        <w:pStyle w:val="2"/>
      </w:pPr>
    </w:p>
    <w:p>
      <w:pPr>
        <w:pStyle w:val="2"/>
      </w:pPr>
    </w:p>
    <w:p>
      <w:pPr>
        <w:spacing w:line="600" w:lineRule="exact"/>
        <w:ind w:firstLine="8031" w:firstLineChars="2500"/>
        <w:outlineLvl w:val="2"/>
        <w:rPr>
          <w:rFonts w:hint="eastAsia" w:ascii="仿宋" w:hAnsi="仿宋" w:eastAsia="仿宋"/>
          <w:b/>
          <w:color w:val="auto"/>
          <w:sz w:val="32"/>
          <w:szCs w:val="32"/>
          <w:highlight w:val="none"/>
          <w:lang w:val="en-US" w:eastAsia="zh-CN"/>
        </w:rPr>
      </w:pPr>
      <w:bookmarkStart w:id="33" w:name="_Toc15377211"/>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right="0" w:firstLine="643" w:firstLineChars="200"/>
        <w:jc w:val="both"/>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（二）一般公共预算财政拨款支出决算结构情况</w:t>
      </w:r>
      <w:bookmarkEnd w:id="33"/>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_GB2312" w:cs="Times New Roman"/>
          <w:kern w:val="2"/>
          <w:sz w:val="32"/>
          <w:szCs w:val="32"/>
          <w:lang w:val="en-US" w:eastAsia="zh-CN" w:bidi="ar"/>
        </w:rPr>
        <w:t>991.48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教育支出</w:t>
      </w:r>
      <w:r>
        <w:rPr>
          <w:rFonts w:hint="default" w:ascii="Times New Roman" w:hAnsi="Times New Roman" w:eastAsia="仿宋_GB2312" w:cs="Times New Roman"/>
          <w:kern w:val="2"/>
          <w:sz w:val="32"/>
          <w:szCs w:val="32"/>
          <w:lang w:val="en-US" w:eastAsia="zh-CN" w:bidi="ar"/>
        </w:rPr>
        <w:t>21.66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_GB2312" w:cs="Times New Roman"/>
          <w:kern w:val="2"/>
          <w:sz w:val="32"/>
          <w:szCs w:val="32"/>
          <w:lang w:val="en-US" w:eastAsia="zh-CN" w:bidi="ar"/>
        </w:rPr>
        <w:t>262.1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18.5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_GB2312" w:cs="Times New Roman"/>
          <w:kern w:val="2"/>
          <w:sz w:val="32"/>
          <w:szCs w:val="32"/>
          <w:lang w:val="en-US" w:eastAsia="zh-CN" w:bidi="ar"/>
        </w:rPr>
        <w:t>50.59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3.6</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_GB2312" w:cs="Times New Roman"/>
          <w:kern w:val="2"/>
          <w:sz w:val="32"/>
          <w:szCs w:val="32"/>
          <w:lang w:val="en-US" w:eastAsia="zh-CN" w:bidi="ar"/>
        </w:rPr>
        <w:t>91.03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6.4</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ascii="仿宋" w:hAnsi="仿宋" w:eastAsia="仿宋"/>
          <w:color w:val="auto"/>
          <w:sz w:val="32"/>
          <w:szCs w:val="32"/>
          <w:highlight w:val="none"/>
        </w:rPr>
      </w:pPr>
      <w:r>
        <w:drawing>
          <wp:anchor distT="0" distB="0" distL="114300" distR="114300" simplePos="0" relativeHeight="251664384" behindDoc="0" locked="0" layoutInCell="1" allowOverlap="1">
            <wp:simplePos x="0" y="0"/>
            <wp:positionH relativeFrom="column">
              <wp:posOffset>553085</wp:posOffset>
            </wp:positionH>
            <wp:positionV relativeFrom="paragraph">
              <wp:posOffset>11430</wp:posOffset>
            </wp:positionV>
            <wp:extent cx="4209415" cy="1696085"/>
            <wp:effectExtent l="4445" t="4445" r="15240" b="1397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b/>
          <w:color w:val="auto"/>
          <w:sz w:val="32"/>
          <w:szCs w:val="32"/>
          <w:highlight w:val="none"/>
        </w:rPr>
      </w:pPr>
      <w:bookmarkStart w:id="34" w:name="_Toc15377212"/>
      <w:r>
        <w:rPr>
          <w:rFonts w:hint="default" w:ascii="Times New Roman" w:hAnsi="Times New Roman" w:eastAsia="仿宋" w:cs="Times New Roman"/>
          <w:b/>
          <w:color w:val="auto"/>
          <w:sz w:val="32"/>
          <w:szCs w:val="32"/>
          <w:highlight w:val="none"/>
        </w:rPr>
        <w:t>（三）一般公共预算财政拨款支出决算具体情况</w:t>
      </w:r>
      <w:bookmarkEnd w:id="3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color w:val="auto"/>
          <w:sz w:val="32"/>
          <w:szCs w:val="32"/>
          <w:highlight w:val="none"/>
        </w:rPr>
      </w:pPr>
      <w:bookmarkStart w:id="35" w:name="_Toc15377213"/>
      <w:bookmarkStart w:id="36" w:name="_Toc15377444"/>
      <w:bookmarkStart w:id="37" w:name="_Toc15378460"/>
      <w:r>
        <w:rPr>
          <w:rFonts w:hint="default" w:ascii="Times New Roman" w:hAnsi="Times New Roman" w:eastAsia="仿宋" w:cs="Times New Roman"/>
          <w:b/>
          <w:color w:val="auto"/>
          <w:sz w:val="32"/>
          <w:szCs w:val="32"/>
          <w:highlight w:val="none"/>
          <w:lang w:eastAsia="zh-CN"/>
        </w:rPr>
        <w:t>2023</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度一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1416.86</w:t>
      </w:r>
      <w:r>
        <w:rPr>
          <w:rFonts w:hint="default" w:ascii="Times New Roman" w:hAnsi="Times New Roman" w:eastAsia="仿宋" w:cs="Times New Roman"/>
          <w:color w:val="auto"/>
          <w:sz w:val="32"/>
          <w:szCs w:val="32"/>
          <w:highlight w:val="none"/>
        </w:rPr>
        <w:t>，</w:t>
      </w:r>
      <w:r>
        <w:rPr>
          <w:rStyle w:val="17"/>
          <w:rFonts w:hint="default" w:ascii="Times New Roman" w:hAnsi="Times New Roman" w:eastAsia="仿宋" w:cs="Times New Roman"/>
          <w:bCs/>
          <w:color w:val="auto"/>
          <w:sz w:val="32"/>
          <w:szCs w:val="32"/>
          <w:highlight w:val="none"/>
        </w:rPr>
        <w:t>完成预算</w:t>
      </w:r>
      <w:r>
        <w:rPr>
          <w:rStyle w:val="17"/>
          <w:rFonts w:hint="default" w:ascii="Times New Roman" w:hAnsi="Times New Roman" w:eastAsia="仿宋" w:cs="Times New Roman"/>
          <w:bCs/>
          <w:color w:val="auto"/>
          <w:sz w:val="32"/>
          <w:szCs w:val="32"/>
          <w:highlight w:val="none"/>
          <w:lang w:val="en-US" w:eastAsia="zh-CN"/>
        </w:rPr>
        <w:t>93.7</w:t>
      </w:r>
      <w:r>
        <w:rPr>
          <w:rStyle w:val="17"/>
          <w:rFonts w:hint="default" w:ascii="Times New Roman" w:hAnsi="Times New Roman" w:eastAsia="仿宋" w:cs="Times New Roman"/>
          <w:bCs/>
          <w:color w:val="auto"/>
          <w:sz w:val="32"/>
          <w:szCs w:val="32"/>
          <w:highlight w:val="none"/>
        </w:rPr>
        <w:t>%。其中：</w:t>
      </w:r>
      <w:bookmarkEnd w:id="35"/>
      <w:bookmarkEnd w:id="36"/>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val="0"/>
          <w:bCs/>
          <w:color w:val="auto"/>
          <w:sz w:val="32"/>
          <w:szCs w:val="32"/>
          <w:highlight w:val="none"/>
        </w:rPr>
      </w:pPr>
      <w:r>
        <w:rPr>
          <w:rStyle w:val="17"/>
          <w:rFonts w:hint="default" w:ascii="Times New Roman" w:hAnsi="Times New Roman" w:eastAsia="仿宋" w:cs="Times New Roman"/>
          <w:bCs/>
          <w:color w:val="000000"/>
          <w:sz w:val="32"/>
          <w:szCs w:val="32"/>
          <w:lang w:val="en-US" w:eastAsia="zh-CN"/>
        </w:rPr>
        <w:t>1.</w:t>
      </w:r>
      <w:r>
        <w:rPr>
          <w:rStyle w:val="17"/>
          <w:rFonts w:hint="default" w:ascii="Times New Roman" w:hAnsi="Times New Roman" w:eastAsia="仿宋" w:cs="Times New Roman"/>
          <w:bCs/>
          <w:color w:val="000000"/>
          <w:sz w:val="32"/>
          <w:szCs w:val="32"/>
        </w:rPr>
        <w:t>一般公共服务（类）民主党派及工商联事务（款）行政运行（项）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801.58</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92.7</w:t>
      </w:r>
      <w:r>
        <w:rPr>
          <w:rStyle w:val="17"/>
          <w:rFonts w:hint="default" w:ascii="Times New Roman" w:hAnsi="Times New Roman" w:eastAsia="仿宋" w:cs="Times New Roman"/>
          <w:b w:val="0"/>
          <w:bCs/>
          <w:color w:val="auto"/>
          <w:sz w:val="32"/>
          <w:szCs w:val="32"/>
          <w:highlight w:val="none"/>
        </w:rPr>
        <w:t>%，决算数小于预算数的主要原因是</w:t>
      </w:r>
      <w:r>
        <w:rPr>
          <w:rStyle w:val="17"/>
          <w:rFonts w:hint="default" w:ascii="Times New Roman" w:hAnsi="Times New Roman" w:eastAsia="仿宋" w:cs="Times New Roman"/>
          <w:b w:val="0"/>
          <w:bCs/>
          <w:color w:val="auto"/>
          <w:sz w:val="32"/>
          <w:szCs w:val="32"/>
          <w:highlight w:val="none"/>
          <w:lang w:eastAsia="zh-CN"/>
        </w:rPr>
        <w:t>职工退休，工资奖金津补贴等工资性支出减少</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val="0"/>
          <w:bCs/>
          <w:color w:val="auto"/>
          <w:sz w:val="32"/>
          <w:szCs w:val="32"/>
          <w:highlight w:val="none"/>
        </w:rPr>
      </w:pPr>
      <w:r>
        <w:rPr>
          <w:rStyle w:val="17"/>
          <w:rFonts w:hint="default" w:ascii="Times New Roman" w:hAnsi="Times New Roman" w:eastAsia="仿宋" w:cs="Times New Roman"/>
          <w:bCs/>
          <w:color w:val="000000"/>
          <w:sz w:val="32"/>
          <w:szCs w:val="32"/>
          <w:lang w:val="en-US" w:eastAsia="zh-CN"/>
        </w:rPr>
        <w:t>2.</w:t>
      </w:r>
      <w:r>
        <w:rPr>
          <w:rStyle w:val="17"/>
          <w:rFonts w:hint="default" w:ascii="Times New Roman" w:hAnsi="Times New Roman" w:eastAsia="仿宋" w:cs="Times New Roman"/>
          <w:bCs/>
          <w:color w:val="000000"/>
          <w:sz w:val="32"/>
          <w:szCs w:val="32"/>
        </w:rPr>
        <w:t>一般公共服务（类）民主党派及工商联事务（款）</w:t>
      </w:r>
      <w:r>
        <w:rPr>
          <w:rStyle w:val="17"/>
          <w:rFonts w:hint="default" w:ascii="Times New Roman" w:hAnsi="Times New Roman" w:eastAsia="仿宋" w:cs="Times New Roman"/>
          <w:bCs/>
          <w:color w:val="000000"/>
          <w:sz w:val="32"/>
          <w:szCs w:val="32"/>
          <w:lang w:eastAsia="zh-CN"/>
        </w:rPr>
        <w:t>一般行政管理事务</w:t>
      </w:r>
      <w:r>
        <w:rPr>
          <w:rStyle w:val="17"/>
          <w:rFonts w:hint="default" w:ascii="Times New Roman" w:hAnsi="Times New Roman" w:eastAsia="仿宋" w:cs="Times New Roman"/>
          <w:bCs/>
          <w:color w:val="000000"/>
          <w:sz w:val="32"/>
          <w:szCs w:val="32"/>
        </w:rPr>
        <w:t>（项）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31.5</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val="0"/>
          <w:bCs/>
          <w:color w:val="auto"/>
          <w:sz w:val="32"/>
          <w:szCs w:val="32"/>
          <w:highlight w:val="none"/>
          <w:lang w:val="en-US" w:eastAsia="zh-CN"/>
        </w:rPr>
      </w:pPr>
      <w:r>
        <w:rPr>
          <w:rStyle w:val="17"/>
          <w:rFonts w:hint="default" w:ascii="Times New Roman" w:hAnsi="Times New Roman" w:eastAsia="仿宋" w:cs="Times New Roman"/>
          <w:bCs/>
          <w:color w:val="000000"/>
          <w:sz w:val="32"/>
          <w:szCs w:val="32"/>
        </w:rPr>
        <w:t>3.一般公共服务（类）民主党派及工商联事务（款）参政议政（项）:</w:t>
      </w:r>
      <w:r>
        <w:rPr>
          <w:rStyle w:val="17"/>
          <w:rFonts w:hint="default" w:ascii="Times New Roman" w:hAnsi="Times New Roman" w:eastAsia="仿宋" w:cs="Times New Roman"/>
          <w:b w:val="0"/>
          <w:bCs/>
          <w:color w:val="auto"/>
          <w:sz w:val="32"/>
          <w:szCs w:val="32"/>
          <w:highlight w:val="none"/>
        </w:rPr>
        <w:t>支出决算为</w:t>
      </w:r>
      <w:r>
        <w:rPr>
          <w:rStyle w:val="17"/>
          <w:rFonts w:hint="default" w:ascii="Times New Roman" w:hAnsi="Times New Roman" w:eastAsia="仿宋" w:cs="Times New Roman"/>
          <w:b w:val="0"/>
          <w:bCs/>
          <w:color w:val="auto"/>
          <w:sz w:val="32"/>
          <w:szCs w:val="32"/>
          <w:highlight w:val="none"/>
          <w:lang w:val="en-US" w:eastAsia="zh-CN"/>
        </w:rPr>
        <w:t>158.41</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99.9</w:t>
      </w:r>
      <w:r>
        <w:rPr>
          <w:rStyle w:val="17"/>
          <w:rFonts w:hint="default" w:ascii="Times New Roman" w:hAnsi="Times New Roman" w:eastAsia="仿宋" w:cs="Times New Roman"/>
          <w:b w:val="0"/>
          <w:bCs/>
          <w:color w:val="auto"/>
          <w:sz w:val="32"/>
          <w:szCs w:val="32"/>
          <w:highlight w:val="none"/>
        </w:rPr>
        <w:t>%，决算数小于预算数的主要原因是</w:t>
      </w:r>
      <w:r>
        <w:rPr>
          <w:rStyle w:val="17"/>
          <w:rFonts w:hint="default" w:ascii="Times New Roman" w:hAnsi="Times New Roman" w:eastAsia="仿宋" w:cs="Times New Roman"/>
          <w:b w:val="0"/>
          <w:bCs/>
          <w:color w:val="auto"/>
          <w:sz w:val="32"/>
          <w:szCs w:val="32"/>
          <w:highlight w:val="none"/>
          <w:lang w:eastAsia="zh-CN"/>
        </w:rPr>
        <w:t>设备购置费按标准预算，实际购买支出金额比标准金额少</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4</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Cs/>
          <w:color w:val="000000"/>
          <w:sz w:val="32"/>
          <w:szCs w:val="32"/>
        </w:rPr>
        <w:t>教育（类）进修及培训（款）培训支出（项）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21.66</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5</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Cs/>
          <w:color w:val="000000"/>
          <w:sz w:val="32"/>
          <w:szCs w:val="32"/>
        </w:rPr>
        <w:t>社会保障和就业（类）行政事业单位养老支出（款）行政单位离退休（项）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163.06</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96</w:t>
      </w:r>
      <w:r>
        <w:rPr>
          <w:rStyle w:val="17"/>
          <w:rFonts w:hint="default" w:ascii="Times New Roman" w:hAnsi="Times New Roman" w:eastAsia="仿宋" w:cs="Times New Roman"/>
          <w:b w:val="0"/>
          <w:bCs/>
          <w:color w:val="auto"/>
          <w:sz w:val="32"/>
          <w:szCs w:val="32"/>
          <w:highlight w:val="none"/>
        </w:rPr>
        <w:t>%，决算数小于预算数的主要原因是</w:t>
      </w:r>
      <w:r>
        <w:rPr>
          <w:rStyle w:val="17"/>
          <w:rFonts w:hint="default" w:ascii="Times New Roman" w:hAnsi="Times New Roman" w:eastAsia="仿宋" w:cs="Times New Roman"/>
          <w:b w:val="0"/>
          <w:bCs/>
          <w:color w:val="auto"/>
          <w:sz w:val="32"/>
          <w:szCs w:val="32"/>
          <w:highlight w:val="none"/>
          <w:lang w:eastAsia="zh-CN"/>
        </w:rPr>
        <w:t>退休人员一次性补贴按人社局核定金额支出，小于预算金额</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6</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Cs/>
          <w:color w:val="000000"/>
          <w:sz w:val="32"/>
          <w:szCs w:val="32"/>
        </w:rPr>
        <w:t>社会保障和就业（类）行政事业单位养老支出（款）机关事业单位基本养老保险缴费支出（项）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69.78</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88.58</w:t>
      </w:r>
      <w:r>
        <w:rPr>
          <w:rStyle w:val="17"/>
          <w:rFonts w:hint="default" w:ascii="Times New Roman" w:hAnsi="Times New Roman" w:eastAsia="仿宋" w:cs="Times New Roman"/>
          <w:b w:val="0"/>
          <w:bCs/>
          <w:color w:val="auto"/>
          <w:sz w:val="32"/>
          <w:szCs w:val="32"/>
          <w:highlight w:val="none"/>
        </w:rPr>
        <w:t>%，决算数小于预算数的主要原因是</w:t>
      </w:r>
      <w:r>
        <w:rPr>
          <w:rStyle w:val="17"/>
          <w:rFonts w:hint="default" w:ascii="Times New Roman" w:hAnsi="Times New Roman" w:eastAsia="仿宋" w:cs="Times New Roman"/>
          <w:b w:val="0"/>
          <w:bCs/>
          <w:color w:val="auto"/>
          <w:sz w:val="32"/>
          <w:szCs w:val="32"/>
          <w:highlight w:val="none"/>
          <w:lang w:val="en-US" w:eastAsia="zh-CN"/>
        </w:rPr>
        <w:t>1名职工退休</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val="0"/>
          <w:bCs/>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7</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Cs/>
          <w:color w:val="000000"/>
          <w:sz w:val="32"/>
          <w:szCs w:val="32"/>
        </w:rPr>
        <w:t>社会保障和就业（类）行政事业单位养老支出（款）机关事业单位</w:t>
      </w:r>
      <w:r>
        <w:rPr>
          <w:rStyle w:val="17"/>
          <w:rFonts w:hint="default" w:ascii="Times New Roman" w:hAnsi="Times New Roman" w:eastAsia="仿宋" w:cs="Times New Roman"/>
          <w:bCs/>
          <w:color w:val="000000"/>
          <w:sz w:val="32"/>
          <w:szCs w:val="32"/>
          <w:lang w:eastAsia="zh-CN"/>
        </w:rPr>
        <w:t>职业年金</w:t>
      </w:r>
      <w:r>
        <w:rPr>
          <w:rStyle w:val="17"/>
          <w:rFonts w:hint="default" w:ascii="Times New Roman" w:hAnsi="Times New Roman" w:eastAsia="仿宋" w:cs="Times New Roman"/>
          <w:bCs/>
          <w:color w:val="000000"/>
          <w:sz w:val="32"/>
          <w:szCs w:val="32"/>
        </w:rPr>
        <w:t>缴费支出（项）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 xml:space="preserve"> 支出决算为</w:t>
      </w:r>
      <w:r>
        <w:rPr>
          <w:rStyle w:val="17"/>
          <w:rFonts w:hint="default" w:ascii="Times New Roman" w:hAnsi="Times New Roman" w:eastAsia="仿宋" w:cs="Times New Roman"/>
          <w:b w:val="0"/>
          <w:bCs/>
          <w:color w:val="auto"/>
          <w:sz w:val="32"/>
          <w:szCs w:val="32"/>
          <w:highlight w:val="none"/>
          <w:lang w:val="en-US" w:eastAsia="zh-CN"/>
        </w:rPr>
        <w:t>29.26</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bCs w:val="0"/>
          <w:color w:val="auto"/>
          <w:sz w:val="32"/>
          <w:szCs w:val="32"/>
          <w:highlight w:val="none"/>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（类）行政事业单位医疗（款）行政单位医疗（项）:</w:t>
      </w:r>
      <w:r>
        <w:rPr>
          <w:rStyle w:val="17"/>
          <w:rFonts w:hint="default" w:ascii="Times New Roman" w:hAnsi="Times New Roman" w:eastAsia="仿宋" w:cs="Times New Roman"/>
          <w:b w:val="0"/>
          <w:bCs/>
          <w:color w:val="000000"/>
          <w:sz w:val="32"/>
          <w:szCs w:val="32"/>
        </w:rPr>
        <w:t>支出决算为</w:t>
      </w:r>
      <w:r>
        <w:rPr>
          <w:rStyle w:val="17"/>
          <w:rFonts w:hint="default" w:ascii="Times New Roman" w:hAnsi="Times New Roman" w:eastAsia="仿宋" w:cs="Times New Roman"/>
          <w:b w:val="0"/>
          <w:bCs/>
          <w:color w:val="000000"/>
          <w:sz w:val="32"/>
          <w:szCs w:val="32"/>
          <w:lang w:val="en-US" w:eastAsia="zh-CN"/>
        </w:rPr>
        <w:t>40.47</w:t>
      </w:r>
      <w:r>
        <w:rPr>
          <w:rStyle w:val="17"/>
          <w:rFonts w:hint="default" w:ascii="Times New Roman" w:hAnsi="Times New Roman" w:eastAsia="仿宋" w:cs="Times New Roman"/>
          <w:b w:val="0"/>
          <w:bCs/>
          <w:color w:val="000000"/>
          <w:sz w:val="32"/>
          <w:szCs w:val="32"/>
        </w:rPr>
        <w:t>万元，</w:t>
      </w:r>
      <w:r>
        <w:rPr>
          <w:rStyle w:val="17"/>
          <w:rFonts w:hint="default" w:ascii="Times New Roman" w:hAnsi="Times New Roman" w:eastAsia="仿宋" w:cs="Times New Roman"/>
          <w:b w:val="0"/>
          <w:bCs/>
          <w:color w:val="auto"/>
          <w:sz w:val="32"/>
          <w:szCs w:val="32"/>
          <w:highlight w:val="none"/>
        </w:rPr>
        <w:t>成预算</w:t>
      </w:r>
      <w:r>
        <w:rPr>
          <w:rStyle w:val="17"/>
          <w:rFonts w:hint="default" w:ascii="Times New Roman" w:hAnsi="Times New Roman" w:eastAsia="仿宋" w:cs="Times New Roman"/>
          <w:b w:val="0"/>
          <w:bCs/>
          <w:color w:val="auto"/>
          <w:sz w:val="32"/>
          <w:szCs w:val="32"/>
          <w:highlight w:val="none"/>
          <w:lang w:val="en-US" w:eastAsia="zh-CN"/>
        </w:rPr>
        <w:t>77.66</w:t>
      </w:r>
      <w:r>
        <w:rPr>
          <w:rStyle w:val="17"/>
          <w:rFonts w:hint="default" w:ascii="Times New Roman" w:hAnsi="Times New Roman" w:eastAsia="仿宋" w:cs="Times New Roman"/>
          <w:b w:val="0"/>
          <w:bCs/>
          <w:color w:val="auto"/>
          <w:sz w:val="32"/>
          <w:szCs w:val="32"/>
          <w:highlight w:val="none"/>
        </w:rPr>
        <w:t>%，决算数小于预算数的主要原因是</w:t>
      </w:r>
      <w:r>
        <w:rPr>
          <w:rStyle w:val="17"/>
          <w:rFonts w:hint="default" w:ascii="Times New Roman" w:hAnsi="Times New Roman" w:eastAsia="仿宋" w:cs="Times New Roman"/>
          <w:b w:val="0"/>
          <w:bCs/>
          <w:color w:val="auto"/>
          <w:sz w:val="32"/>
          <w:szCs w:val="32"/>
          <w:highlight w:val="none"/>
          <w:lang w:val="en-US" w:eastAsia="zh-CN"/>
        </w:rPr>
        <w:t>1名职工退休</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9</w:t>
      </w:r>
      <w:r>
        <w:rPr>
          <w:rStyle w:val="17"/>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Fonts w:hint="default" w:ascii="Times New Roman" w:hAnsi="Times New Roman" w:eastAsia="仿宋" w:cs="Times New Roman"/>
          <w:b/>
          <w:bCs/>
          <w:color w:val="000000"/>
          <w:sz w:val="32"/>
          <w:szCs w:val="32"/>
        </w:rPr>
        <w:t>（类）行政事业单位医疗（款）公务员医疗补助（项）</w:t>
      </w:r>
      <w:r>
        <w:rPr>
          <w:rStyle w:val="17"/>
          <w:rFonts w:hint="default" w:ascii="Times New Roman" w:hAnsi="Times New Roman" w:eastAsia="仿宋" w:cs="Times New Roman"/>
          <w:bCs/>
          <w:color w:val="auto"/>
          <w:sz w:val="32"/>
          <w:szCs w:val="32"/>
          <w:highlight w:val="none"/>
        </w:rPr>
        <w:t>:</w:t>
      </w:r>
      <w:r>
        <w:rPr>
          <w:rStyle w:val="17"/>
          <w:rFonts w:hint="default" w:ascii="Times New Roman" w:hAnsi="Times New Roman" w:eastAsia="仿宋" w:cs="Times New Roman"/>
          <w:b w:val="0"/>
          <w:bCs/>
          <w:color w:val="auto"/>
          <w:sz w:val="32"/>
          <w:szCs w:val="32"/>
          <w:highlight w:val="none"/>
        </w:rPr>
        <w:t>支出决算为</w:t>
      </w:r>
      <w:r>
        <w:rPr>
          <w:rStyle w:val="17"/>
          <w:rFonts w:hint="default" w:ascii="Times New Roman" w:hAnsi="Times New Roman" w:eastAsia="仿宋" w:cs="Times New Roman"/>
          <w:b w:val="0"/>
          <w:bCs/>
          <w:color w:val="auto"/>
          <w:sz w:val="32"/>
          <w:szCs w:val="32"/>
          <w:highlight w:val="none"/>
          <w:lang w:val="en-US" w:eastAsia="zh-CN"/>
        </w:rPr>
        <w:t>10.12</w:t>
      </w:r>
      <w:r>
        <w:rPr>
          <w:rStyle w:val="17"/>
          <w:rFonts w:hint="default" w:ascii="Times New Roman" w:hAnsi="Times New Roman" w:eastAsia="仿宋" w:cs="Times New Roman"/>
          <w:b w:val="0"/>
          <w:bCs/>
          <w:color w:val="auto"/>
          <w:sz w:val="32"/>
          <w:szCs w:val="32"/>
          <w:highlight w:val="none"/>
        </w:rPr>
        <w:t>万元，完成预算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hint="default" w:ascii="Times New Roman" w:hAnsi="Times New Roman" w:eastAsia="仿宋" w:cs="Times New Roman"/>
          <w:b w:val="0"/>
          <w:bCs/>
          <w:color w:val="auto"/>
          <w:sz w:val="32"/>
          <w:szCs w:val="32"/>
          <w:highlight w:val="none"/>
          <w:lang w:val="en-US" w:eastAsia="zh-CN"/>
        </w:rPr>
      </w:pPr>
      <w:r>
        <w:rPr>
          <w:rStyle w:val="17"/>
          <w:rFonts w:hint="default" w:ascii="Times New Roman" w:hAnsi="Times New Roman" w:eastAsia="仿宋" w:cs="Times New Roman"/>
          <w:bCs/>
          <w:color w:val="auto"/>
          <w:sz w:val="32"/>
          <w:szCs w:val="32"/>
          <w:highlight w:val="none"/>
          <w:lang w:val="en-US" w:eastAsia="zh-CN"/>
        </w:rPr>
        <w:t>10.住房保障（类）住房改革支出（款）住房公积金（项）：</w:t>
      </w:r>
      <w:r>
        <w:rPr>
          <w:rStyle w:val="17"/>
          <w:rFonts w:hint="default" w:ascii="Times New Roman" w:hAnsi="Times New Roman" w:eastAsia="仿宋" w:cs="Times New Roman"/>
          <w:b w:val="0"/>
          <w:bCs/>
          <w:color w:val="auto"/>
          <w:sz w:val="32"/>
          <w:szCs w:val="32"/>
          <w:highlight w:val="none"/>
          <w:lang w:val="en-US" w:eastAsia="zh-CN"/>
        </w:rPr>
        <w:t>支出决算为62.45万元，完成预算93.88%，决算数小于预算数的主要原因是1名职工退休。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color w:val="auto"/>
          <w:sz w:val="32"/>
          <w:szCs w:val="32"/>
          <w:highlight w:val="none"/>
        </w:rPr>
      </w:pPr>
      <w:r>
        <w:rPr>
          <w:rStyle w:val="17"/>
          <w:rFonts w:hint="default" w:ascii="Times New Roman" w:hAnsi="Times New Roman" w:eastAsia="仿宋" w:cs="Times New Roman"/>
          <w:bCs/>
          <w:color w:val="auto"/>
          <w:sz w:val="32"/>
          <w:szCs w:val="32"/>
          <w:highlight w:val="none"/>
          <w:lang w:val="en-US" w:eastAsia="zh-CN"/>
        </w:rPr>
        <w:t>11.住房保障（类）住房改革支出（款）购房补贴（项）:</w:t>
      </w:r>
      <w:r>
        <w:rPr>
          <w:rStyle w:val="17"/>
          <w:rFonts w:hint="default" w:ascii="Times New Roman" w:hAnsi="Times New Roman" w:eastAsia="仿宋" w:cs="Times New Roman"/>
          <w:b w:val="0"/>
          <w:bCs/>
          <w:color w:val="auto"/>
          <w:sz w:val="32"/>
          <w:szCs w:val="32"/>
          <w:highlight w:val="none"/>
          <w:lang w:val="en-US" w:eastAsia="zh-CN"/>
        </w:rPr>
        <w:t>支出决算为28.57万元，完成预算97.8%，决算数小于预算数的主要原因是1名职工退休。</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9"/>
          <w:color w:val="auto"/>
          <w:highlight w:val="none"/>
        </w:rPr>
      </w:pPr>
      <w:bookmarkStart w:id="38" w:name="_Toc15396608"/>
      <w:bookmarkStart w:id="39"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38"/>
      <w:bookmarkEnd w:id="39"/>
      <w:r>
        <w:rPr>
          <w:rStyle w:val="29"/>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一般公共预算财政拨款基本支出</w:t>
      </w:r>
      <w:r>
        <w:rPr>
          <w:rFonts w:hint="default" w:ascii="Times New Roman" w:hAnsi="Times New Roman" w:eastAsia="仿宋" w:cs="Times New Roman"/>
          <w:color w:val="auto"/>
          <w:sz w:val="32"/>
          <w:szCs w:val="32"/>
          <w:highlight w:val="none"/>
          <w:lang w:val="en-US" w:eastAsia="zh-CN"/>
        </w:rPr>
        <w:t>122</w:t>
      </w:r>
      <w:r>
        <w:rPr>
          <w:rFonts w:hint="eastAsia"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910.64</w:t>
      </w:r>
      <w:r>
        <w:rPr>
          <w:rFonts w:hint="default" w:ascii="Times New Roman" w:hAnsi="Times New Roman" w:eastAsia="仿宋" w:cs="Times New Roman"/>
          <w:color w:val="auto"/>
          <w:sz w:val="32"/>
          <w:szCs w:val="32"/>
          <w:highlight w:val="none"/>
        </w:rPr>
        <w:t>万元，主要包括：基本工资、津贴补贴、奖金、机关事业单位基本养老保险缴费、职业年金缴费、其他社会保障缴费、其他工资福利支出、离休费、退休费、生活补助、医疗费补助、奖励金、住房公积金、其他对个人和家庭的补助支出等。</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default" w:ascii="Times New Roman" w:hAnsi="Times New Roman" w:eastAsia="仿宋" w:cs="Times New Roman"/>
          <w:color w:val="auto"/>
          <w:sz w:val="32"/>
          <w:szCs w:val="32"/>
          <w:highlight w:val="none"/>
          <w:lang w:val="en-US" w:eastAsia="zh-CN"/>
        </w:rPr>
        <w:t>316.31</w:t>
      </w:r>
      <w:r>
        <w:rPr>
          <w:rFonts w:hint="default" w:ascii="Times New Roman" w:hAnsi="Times New Roman" w:eastAsia="仿宋" w:cs="Times New Roman"/>
          <w:color w:val="auto"/>
          <w:sz w:val="32"/>
          <w:szCs w:val="32"/>
          <w:highlight w:val="none"/>
        </w:rPr>
        <w:t>万元，主要包括：办公费、印刷费、水费、电费、邮电费、差旅费、维修（护）费、租赁费、会议费、培训费、公务接待费、劳务费、委托业务费、工会经费、福利费、公务用车运行维护费、其他交通费、其他商品和服务支出、办公设备购置等。</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9"/>
          <w:rFonts w:hint="default" w:ascii="Times New Roman" w:hAnsi="Times New Roman" w:eastAsia="黑体" w:cs="Times New Roman"/>
          <w:b w:val="0"/>
          <w:color w:val="auto"/>
          <w:highlight w:val="none"/>
        </w:rPr>
      </w:pPr>
      <w:bookmarkStart w:id="40" w:name="_Toc15377215"/>
      <w:bookmarkStart w:id="41" w:name="_Toc15396609"/>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2"/>
        <w:rPr>
          <w:rFonts w:hint="default" w:ascii="Times New Roman" w:hAnsi="Times New Roman" w:eastAsia="仿宋" w:cs="Times New Roman"/>
          <w:b/>
          <w:color w:val="auto"/>
          <w:sz w:val="32"/>
          <w:szCs w:val="32"/>
          <w:highlight w:val="none"/>
        </w:rPr>
      </w:pPr>
      <w:bookmarkStart w:id="42" w:name="_Toc15377216"/>
      <w:r>
        <w:rPr>
          <w:rFonts w:hint="default" w:ascii="Times New Roman" w:hAnsi="Times New Roman" w:eastAsia="仿宋" w:cs="Times New Roman"/>
          <w:b/>
          <w:color w:val="auto"/>
          <w:sz w:val="32"/>
          <w:szCs w:val="32"/>
          <w:highlight w:val="none"/>
        </w:rPr>
        <w:t>（一）“三公”经费财政拨款支出决算总体情况说明</w:t>
      </w:r>
      <w:bookmarkEnd w:id="42"/>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“三公”经费财政拨款支出决算为</w:t>
      </w:r>
      <w:r>
        <w:rPr>
          <w:rFonts w:hint="default" w:ascii="Times New Roman" w:hAnsi="Times New Roman" w:eastAsia="仿宋" w:cs="Times New Roman"/>
          <w:color w:val="auto"/>
          <w:sz w:val="32"/>
          <w:szCs w:val="32"/>
          <w:highlight w:val="none"/>
          <w:lang w:val="en-US" w:eastAsia="zh-CN"/>
        </w:rPr>
        <w:t>13.75</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91.67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较上年度增加</w:t>
      </w:r>
      <w:r>
        <w:rPr>
          <w:rFonts w:hint="default" w:ascii="Times New Roman" w:hAnsi="Times New Roman" w:eastAsia="仿宋" w:cs="Times New Roman"/>
          <w:color w:val="auto"/>
          <w:sz w:val="32"/>
          <w:szCs w:val="32"/>
          <w:highlight w:val="none"/>
          <w:lang w:val="en-US" w:eastAsia="zh-CN"/>
        </w:rPr>
        <w:t>5.02万元，增长57.5%。</w:t>
      </w:r>
      <w:r>
        <w:rPr>
          <w:rFonts w:hint="default" w:ascii="Times New Roman" w:hAnsi="Times New Roman" w:eastAsia="仿宋" w:cs="Times New Roman"/>
          <w:color w:val="auto"/>
          <w:sz w:val="32"/>
          <w:szCs w:val="32"/>
          <w:highlight w:val="none"/>
        </w:rPr>
        <w:t>决算数小于预算数的主要原因是</w:t>
      </w:r>
      <w:r>
        <w:rPr>
          <w:rFonts w:hint="default" w:ascii="Times New Roman" w:hAnsi="Times New Roman" w:eastAsia="仿宋" w:cs="Times New Roman"/>
          <w:color w:val="auto"/>
          <w:sz w:val="32"/>
          <w:szCs w:val="32"/>
          <w:highlight w:val="none"/>
          <w:lang w:eastAsia="zh-CN"/>
        </w:rPr>
        <w:t>厉行节约，公务接待费减少</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2"/>
        <w:rPr>
          <w:rFonts w:hint="default" w:ascii="Times New Roman" w:hAnsi="Times New Roman" w:eastAsia="仿宋" w:cs="Times New Roman"/>
          <w:b/>
          <w:color w:val="auto"/>
          <w:sz w:val="32"/>
          <w:szCs w:val="32"/>
          <w:highlight w:val="none"/>
        </w:rPr>
      </w:pPr>
      <w:bookmarkStart w:id="43" w:name="_Toc15377217"/>
      <w:r>
        <w:rPr>
          <w:rFonts w:hint="default" w:ascii="Times New Roman" w:hAnsi="Times New Roman" w:eastAsia="仿宋" w:cs="Times New Roman"/>
          <w:b/>
          <w:color w:val="auto"/>
          <w:sz w:val="32"/>
          <w:szCs w:val="32"/>
          <w:highlight w:val="none"/>
        </w:rPr>
        <w:t>（二）“三公”经费财政拨款支出决算具体情况说明</w:t>
      </w:r>
      <w:bookmarkEnd w:id="43"/>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9.92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72.15</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3.83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27.85</w:t>
      </w:r>
      <w:r>
        <w:rPr>
          <w:rFonts w:hint="default" w:ascii="Times New Roman" w:hAnsi="Times New Roman" w:eastAsia="仿宋" w:cs="Times New Roman"/>
          <w:color w:val="auto"/>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w:t>
      </w:r>
    </w:p>
    <w:p>
      <w:pPr>
        <w:keepNext w:val="0"/>
        <w:keepLines w:val="0"/>
        <w:pageBreakBefore w:val="0"/>
        <w:widowControl w:val="0"/>
        <w:kinsoku/>
        <w:wordWrap/>
        <w:overflowPunct/>
        <w:topLinePunct w:val="0"/>
        <w:autoSpaceDE/>
        <w:autoSpaceDN/>
        <w:bidi w:val="0"/>
        <w:adjustRightInd/>
        <w:snapToGrid/>
        <w:spacing w:line="720" w:lineRule="auto"/>
        <w:ind w:firstLine="641"/>
        <w:textAlignment w:val="auto"/>
        <w:rPr>
          <w:rFonts w:hint="eastAsia" w:ascii="仿宋" w:hAnsi="仿宋" w:eastAsia="仿宋"/>
          <w:color w:val="auto"/>
          <w:sz w:val="32"/>
          <w:szCs w:val="32"/>
          <w:highlight w:val="none"/>
        </w:rPr>
      </w:pPr>
      <w:r>
        <w:rPr>
          <w:rFonts w:hint="eastAsia" w:ascii="仿宋_GB2312" w:eastAsia="仿宋_GB2312"/>
          <w:color w:val="000000"/>
          <w:sz w:val="32"/>
          <w:szCs w:val="32"/>
        </w:rPr>
        <w:drawing>
          <wp:anchor distT="0" distB="0" distL="114300" distR="114300" simplePos="0" relativeHeight="251665408" behindDoc="0" locked="0" layoutInCell="1" allowOverlap="1">
            <wp:simplePos x="0" y="0"/>
            <wp:positionH relativeFrom="column">
              <wp:posOffset>575945</wp:posOffset>
            </wp:positionH>
            <wp:positionV relativeFrom="paragraph">
              <wp:posOffset>128270</wp:posOffset>
            </wp:positionV>
            <wp:extent cx="4326890" cy="1930400"/>
            <wp:effectExtent l="4445" t="4445" r="12065" b="825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keepNext w:val="0"/>
        <w:keepLines w:val="0"/>
        <w:pageBreakBefore w:val="0"/>
        <w:widowControl w:val="0"/>
        <w:kinsoku/>
        <w:wordWrap/>
        <w:overflowPunct/>
        <w:topLinePunct w:val="0"/>
        <w:autoSpaceDE/>
        <w:autoSpaceDN/>
        <w:bidi w:val="0"/>
        <w:adjustRightInd/>
        <w:snapToGrid/>
        <w:spacing w:line="720" w:lineRule="auto"/>
        <w:ind w:firstLine="641"/>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720" w:lineRule="auto"/>
        <w:ind w:firstLine="641"/>
        <w:textAlignment w:val="auto"/>
        <w:rPr>
          <w:rFonts w:hint="eastAsia" w:ascii="仿宋" w:hAnsi="仿宋" w:eastAsia="仿宋"/>
          <w:color w:val="auto"/>
          <w:sz w:val="32"/>
          <w:szCs w:val="32"/>
          <w:highlight w:val="none"/>
        </w:rPr>
      </w:pPr>
    </w:p>
    <w:p>
      <w:pPr>
        <w:spacing w:line="600" w:lineRule="exact"/>
        <w:ind w:firstLine="640"/>
        <w:rPr>
          <w:rFonts w:ascii="仿宋_GB2312" w:eastAsia="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9.92</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val="0"/>
          <w:bCs/>
          <w:color w:val="auto"/>
          <w:sz w:val="32"/>
          <w:szCs w:val="32"/>
          <w:highlight w:val="none"/>
          <w:lang w:val="en-US" w:eastAsia="zh-CN"/>
        </w:rPr>
        <w:t>99.2</w:t>
      </w:r>
      <w:r>
        <w:rPr>
          <w:rStyle w:val="17"/>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3.09</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45.24</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疫情放开，公务出行活动增加</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全年按规定更新购置公务用车</w:t>
      </w:r>
      <w:r>
        <w:rPr>
          <w:rFonts w:hint="default" w:ascii="Times New Roman" w:hAnsi="Times New Roman" w:eastAsia="仿宋_GB2312" w:cs="Times New Roman"/>
          <w:color w:val="auto"/>
          <w:sz w:val="32"/>
          <w:szCs w:val="32"/>
          <w:highlight w:val="none"/>
          <w:lang w:val="en-US"/>
        </w:rPr>
        <w:t>0</w:t>
      </w:r>
      <w:r>
        <w:rPr>
          <w:rFonts w:hint="default" w:ascii="Times New Roman" w:hAnsi="Times New Roman" w:eastAsia="仿宋_GB2312" w:cs="Times New Roman"/>
          <w:color w:val="auto"/>
          <w:sz w:val="32"/>
          <w:szCs w:val="32"/>
          <w:highlight w:val="none"/>
        </w:rPr>
        <w:t>辆。截至20</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年12月底，</w:t>
      </w:r>
      <w:r>
        <w:rPr>
          <w:rFonts w:hint="default" w:ascii="Times New Roman" w:hAnsi="Times New Roman" w:eastAsia="仿宋_GB2312" w:cs="Times New Roman"/>
          <w:color w:val="auto"/>
          <w:sz w:val="32"/>
          <w:szCs w:val="32"/>
          <w:highlight w:val="none"/>
          <w:lang w:eastAsia="zh-CN"/>
        </w:rPr>
        <w:t>民革四川省委会</w:t>
      </w:r>
      <w:r>
        <w:rPr>
          <w:rFonts w:hint="default" w:ascii="Times New Roman" w:hAnsi="Times New Roman" w:eastAsia="仿宋_GB2312" w:cs="Times New Roman"/>
          <w:color w:val="auto"/>
          <w:sz w:val="32"/>
          <w:szCs w:val="32"/>
          <w:highlight w:val="none"/>
        </w:rPr>
        <w:t>共有公务用车</w:t>
      </w:r>
      <w:r>
        <w:rPr>
          <w:rFonts w:hint="default" w:ascii="Times New Roman" w:hAnsi="Times New Roman" w:eastAsia="仿宋_GB2312" w:cs="Times New Roman"/>
          <w:color w:val="auto"/>
          <w:sz w:val="32"/>
          <w:szCs w:val="32"/>
          <w:highlight w:val="none"/>
          <w:lang w:val="en-US"/>
        </w:rPr>
        <w:t>3</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rPr>
        <w:t>2</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rPr>
        <w:t>1</w:t>
      </w:r>
      <w:r>
        <w:rPr>
          <w:rFonts w:hint="default" w:ascii="Times New Roman" w:hAnsi="Times New Roman" w:eastAsia="仿宋_GB2312" w:cs="Times New Roman"/>
          <w:color w:val="auto"/>
          <w:sz w:val="32"/>
          <w:szCs w:val="32"/>
          <w:highlight w:val="none"/>
        </w:rPr>
        <w:t>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9.92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000000"/>
          <w:sz w:val="32"/>
          <w:szCs w:val="32"/>
        </w:rPr>
        <w:t>主要用于</w:t>
      </w:r>
      <w:r>
        <w:rPr>
          <w:rFonts w:hint="default" w:ascii="Times New Roman" w:hAnsi="Times New Roman" w:eastAsia="仿宋" w:cs="Times New Roman"/>
          <w:sz w:val="32"/>
          <w:szCs w:val="32"/>
        </w:rPr>
        <w:t>民革四川省委</w:t>
      </w:r>
      <w:r>
        <w:rPr>
          <w:rFonts w:hint="default" w:ascii="Times New Roman" w:hAnsi="Times New Roman" w:eastAsia="仿宋" w:cs="Times New Roman"/>
          <w:sz w:val="32"/>
          <w:szCs w:val="32"/>
          <w:lang w:eastAsia="zh-CN"/>
        </w:rPr>
        <w:t>会</w:t>
      </w:r>
      <w:r>
        <w:rPr>
          <w:rFonts w:hint="default" w:ascii="Times New Roman" w:hAnsi="Times New Roman" w:eastAsia="仿宋" w:cs="Times New Roman"/>
          <w:sz w:val="32"/>
          <w:szCs w:val="32"/>
        </w:rPr>
        <w:t>与各地市州民革组织工作联系、课题调研、民革工作宣传报道、开会、培训及公务接待工作</w:t>
      </w:r>
      <w:r>
        <w:rPr>
          <w:rFonts w:hint="default" w:ascii="Times New Roman" w:hAnsi="Times New Roman" w:eastAsia="仿宋_GB2312" w:cs="Times New Roman"/>
          <w:color w:val="000000"/>
          <w:sz w:val="32"/>
          <w:szCs w:val="32"/>
        </w:rPr>
        <w:t>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3.83</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val="0"/>
          <w:bCs/>
          <w:color w:val="auto"/>
          <w:sz w:val="32"/>
          <w:szCs w:val="32"/>
          <w:highlight w:val="none"/>
          <w:lang w:val="en-US" w:eastAsia="zh-CN"/>
        </w:rPr>
        <w:t>76.6</w:t>
      </w:r>
      <w:r>
        <w:rPr>
          <w:rStyle w:val="17"/>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1.94</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102.6</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疫情放开，公务交流活动增加</w:t>
      </w:r>
      <w:r>
        <w:rPr>
          <w:rFonts w:hint="default" w:ascii="Times New Roman" w:hAnsi="Times New Roman" w:eastAsia="仿宋_GB2312" w:cs="Times New Roman"/>
          <w:color w:val="auto"/>
          <w:sz w:val="32"/>
          <w:szCs w:val="32"/>
          <w:highlight w:val="none"/>
        </w:rPr>
        <w:t>。其中：</w:t>
      </w:r>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3.83</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000000"/>
          <w:sz w:val="32"/>
          <w:szCs w:val="32"/>
        </w:rPr>
        <w:t>执行公务、开展业务活动开支的交通费、住宿费、用餐费等</w:t>
      </w:r>
      <w:r>
        <w:rPr>
          <w:rFonts w:hint="default" w:ascii="Times New Roman" w:hAnsi="Times New Roman" w:eastAsia="仿宋_GB2312" w:cs="Times New Roman"/>
          <w:color w:val="auto"/>
          <w:sz w:val="32"/>
          <w:szCs w:val="32"/>
          <w:highlight w:val="none"/>
        </w:rPr>
        <w:t>。国内公务接待</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194</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3.83</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sz w:val="32"/>
          <w:szCs w:val="32"/>
        </w:rPr>
        <w:t>接待民革中央领导及工作人员</w:t>
      </w:r>
      <w:r>
        <w:rPr>
          <w:rFonts w:hint="default" w:ascii="Times New Roman" w:hAnsi="Times New Roman" w:eastAsia="仿宋_GB2312" w:cs="Times New Roman"/>
          <w:sz w:val="32"/>
          <w:szCs w:val="32"/>
          <w:lang w:val="en-US" w:eastAsia="zh-CN"/>
        </w:rPr>
        <w:t>0.88</w:t>
      </w:r>
      <w:r>
        <w:rPr>
          <w:rFonts w:hint="default" w:ascii="Times New Roman" w:hAnsi="Times New Roman" w:eastAsia="仿宋_GB2312" w:cs="Times New Roman"/>
          <w:sz w:val="32"/>
          <w:szCs w:val="32"/>
        </w:rPr>
        <w:t>万元，接待省内民革组织及省级单位</w:t>
      </w:r>
      <w:r>
        <w:rPr>
          <w:rFonts w:hint="default" w:ascii="Times New Roman" w:hAnsi="Times New Roman" w:eastAsia="仿宋_GB2312" w:cs="Times New Roman"/>
          <w:sz w:val="32"/>
          <w:szCs w:val="32"/>
          <w:lang w:val="en-US" w:eastAsia="zh-CN"/>
        </w:rPr>
        <w:t>2.95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bookmarkStart w:id="44" w:name="_Toc15377218"/>
      <w:bookmarkStart w:id="45" w:name="_Toc15396610"/>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9"/>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44"/>
      <w:bookmarkEnd w:id="45"/>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outlineLvl w:val="1"/>
        <w:rPr>
          <w:rStyle w:val="29"/>
          <w:rFonts w:hint="default" w:ascii="Times New Roman" w:hAnsi="Times New Roman" w:eastAsia="黑体" w:cs="Times New Roman"/>
          <w:b w:val="0"/>
          <w:color w:val="auto"/>
          <w:highlight w:val="none"/>
        </w:rPr>
      </w:pPr>
      <w:bookmarkStart w:id="46" w:name="_Toc15396611"/>
      <w:bookmarkStart w:id="47" w:name="_Toc15377219"/>
      <w:r>
        <w:rPr>
          <w:rStyle w:val="29"/>
          <w:rFonts w:hint="default" w:ascii="Times New Roman" w:hAnsi="Times New Roman" w:eastAsia="黑体" w:cs="Times New Roman"/>
          <w:b w:val="0"/>
          <w:color w:val="auto"/>
          <w:highlight w:val="none"/>
        </w:rPr>
        <w:t>国有资本经营预算支出决算情况说明</w:t>
      </w:r>
      <w:bookmarkEnd w:id="46"/>
      <w:bookmarkEnd w:id="47"/>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outlineLvl w:val="1"/>
        <w:rPr>
          <w:rStyle w:val="29"/>
          <w:rFonts w:hint="default" w:ascii="Times New Roman" w:hAnsi="Times New Roman" w:eastAsia="黑体" w:cs="Times New Roman"/>
          <w:b w:val="0"/>
          <w:color w:val="auto"/>
          <w:highlight w:val="none"/>
        </w:rPr>
      </w:pPr>
      <w:bookmarkStart w:id="48" w:name="_Toc15377221"/>
      <w:bookmarkStart w:id="49" w:name="_Toc15396612"/>
      <w:r>
        <w:rPr>
          <w:rStyle w:val="29"/>
          <w:rFonts w:hint="default" w:ascii="Times New Roman" w:hAnsi="Times New Roman" w:eastAsia="黑体" w:cs="Times New Roman"/>
          <w:b w:val="0"/>
          <w:color w:val="auto"/>
          <w:highlight w:val="none"/>
        </w:rPr>
        <w:t>其他重要事项的情况说明</w:t>
      </w:r>
      <w:bookmarkEnd w:id="48"/>
      <w:bookmarkEnd w:id="4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color w:val="auto"/>
          <w:sz w:val="32"/>
          <w:szCs w:val="32"/>
          <w:highlight w:val="none"/>
        </w:rPr>
      </w:pPr>
      <w:bookmarkStart w:id="50" w:name="_Toc15377222"/>
      <w:r>
        <w:rPr>
          <w:rFonts w:hint="default" w:ascii="Times New Roman" w:hAnsi="Times New Roman" w:eastAsia="仿宋" w:cs="Times New Roman"/>
          <w:b/>
          <w:color w:val="auto"/>
          <w:sz w:val="32"/>
          <w:szCs w:val="32"/>
          <w:highlight w:val="none"/>
        </w:rPr>
        <w:t>（一）机关运行经费支出情况</w:t>
      </w:r>
      <w:bookmarkEnd w:id="5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民革四川省委会</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316.31</w:t>
      </w:r>
      <w:r>
        <w:rPr>
          <w:rFonts w:hint="default" w:ascii="Times New Roman" w:hAnsi="Times New Roman" w:eastAsia="仿宋_GB2312" w:cs="Times New Roman"/>
          <w:color w:val="auto"/>
          <w:sz w:val="32"/>
          <w:szCs w:val="32"/>
          <w:highlight w:val="none"/>
        </w:rPr>
        <w:t>万元，比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67.97</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27.4</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疫情放开，公务活动增多，</w:t>
      </w:r>
      <w:r>
        <w:rPr>
          <w:rFonts w:hint="default" w:ascii="Times New Roman" w:hAnsi="Times New Roman" w:eastAsia="仿宋_GB2312" w:cs="Times New Roman"/>
          <w:color w:val="auto"/>
          <w:sz w:val="32"/>
          <w:szCs w:val="32"/>
          <w:highlight w:val="none"/>
        </w:rPr>
        <w:t>机关运行经费</w:t>
      </w:r>
      <w:r>
        <w:rPr>
          <w:rFonts w:hint="default" w:ascii="Times New Roman" w:hAnsi="Times New Roman" w:eastAsia="仿宋_GB2312" w:cs="Times New Roman"/>
          <w:color w:val="auto"/>
          <w:sz w:val="32"/>
          <w:szCs w:val="32"/>
          <w:highlight w:val="none"/>
          <w:lang w:eastAsia="zh-CN"/>
        </w:rPr>
        <w:t>相应增多。</w:t>
      </w:r>
    </w:p>
    <w:p>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default" w:ascii="Times New Roman" w:hAnsi="Times New Roman" w:eastAsia="仿宋" w:cs="Times New Roman"/>
          <w:b/>
          <w:color w:val="auto"/>
          <w:sz w:val="32"/>
          <w:szCs w:val="32"/>
          <w:highlight w:val="none"/>
        </w:rPr>
      </w:pPr>
      <w:bookmarkStart w:id="51" w:name="_Toc15377223"/>
      <w:r>
        <w:rPr>
          <w:rFonts w:hint="default" w:ascii="Times New Roman" w:hAnsi="Times New Roman" w:eastAsia="仿宋" w:cs="Times New Roman"/>
          <w:b/>
          <w:color w:val="auto"/>
          <w:sz w:val="32"/>
          <w:szCs w:val="32"/>
          <w:highlight w:val="none"/>
        </w:rPr>
        <w:t>（二）政府采购支出情况</w:t>
      </w:r>
      <w:bookmarkEnd w:id="51"/>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民革四川省委会</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16.11</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7.59</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8.52</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val="en-US" w:eastAsia="zh-CN"/>
        </w:rPr>
        <w:t>购买机关办公设备、</w:t>
      </w:r>
      <w:r>
        <w:rPr>
          <w:rFonts w:hint="default" w:ascii="Times New Roman" w:hAnsi="Times New Roman" w:eastAsia="仿宋_GB2312" w:cs="Times New Roman"/>
          <w:bCs/>
          <w:color w:val="000000"/>
          <w:sz w:val="32"/>
          <w:szCs w:val="32"/>
        </w:rPr>
        <w:t>汽车保险、汽车加油、汽车维修</w:t>
      </w:r>
      <w:r>
        <w:rPr>
          <w:rFonts w:hint="default" w:ascii="Times New Roman" w:hAnsi="Times New Roman" w:eastAsia="仿宋_GB2312" w:cs="Times New Roman"/>
          <w:bCs/>
          <w:color w:val="000000"/>
          <w:sz w:val="32"/>
          <w:szCs w:val="32"/>
          <w:lang w:val="en-US" w:eastAsia="zh-CN"/>
        </w:rPr>
        <w:t>等</w:t>
      </w:r>
      <w:r>
        <w:rPr>
          <w:rFonts w:hint="default" w:ascii="Times New Roman" w:hAnsi="Times New Roman" w:eastAsia="仿宋_GB2312" w:cs="Times New Roman"/>
          <w:color w:val="auto"/>
          <w:sz w:val="32"/>
          <w:szCs w:val="32"/>
          <w:highlight w:val="none"/>
        </w:rPr>
        <w:t>。授予中小企业合同金额</w:t>
      </w:r>
      <w:r>
        <w:rPr>
          <w:rFonts w:hint="default" w:ascii="Times New Roman" w:hAnsi="Times New Roman" w:eastAsia="仿宋_GB2312" w:cs="Times New Roman"/>
          <w:color w:val="auto"/>
          <w:sz w:val="32"/>
          <w:szCs w:val="32"/>
          <w:highlight w:val="none"/>
          <w:lang w:val="en-US" w:eastAsia="zh-CN"/>
        </w:rPr>
        <w:t>10.36</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64.3</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10.36</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64.3</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default" w:ascii="Times New Roman" w:hAnsi="Times New Roman" w:eastAsia="仿宋" w:cs="Times New Roman"/>
          <w:b/>
          <w:color w:val="auto"/>
          <w:sz w:val="32"/>
          <w:szCs w:val="32"/>
          <w:highlight w:val="none"/>
        </w:rPr>
      </w:pPr>
      <w:bookmarkStart w:id="52" w:name="_Toc15377224"/>
      <w:r>
        <w:rPr>
          <w:rFonts w:hint="default" w:ascii="Times New Roman" w:hAnsi="Times New Roman" w:eastAsia="仿宋" w:cs="Times New Roman"/>
          <w:b/>
          <w:color w:val="auto"/>
          <w:sz w:val="32"/>
          <w:szCs w:val="32"/>
          <w:highlight w:val="none"/>
        </w:rPr>
        <w:t>（三）国有资产占有使用情况</w:t>
      </w:r>
      <w:bookmarkEnd w:id="52"/>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eastAsia="zh-CN"/>
        </w:rPr>
        <w:t>民革四川省委会</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辆，其中：</w:t>
      </w:r>
      <w:r>
        <w:rPr>
          <w:rFonts w:hint="default" w:ascii="Times New Roman" w:hAnsi="Times New Roman" w:eastAsia="仿宋_GB2312" w:cs="Times New Roman"/>
          <w:color w:val="auto"/>
          <w:sz w:val="32"/>
          <w:szCs w:val="32"/>
          <w:highlight w:val="none"/>
          <w:lang w:eastAsia="zh-CN"/>
        </w:rPr>
        <w:t>离退休</w:t>
      </w:r>
      <w:r>
        <w:rPr>
          <w:rFonts w:hint="default" w:ascii="Times New Roman" w:hAnsi="Times New Roman" w:eastAsia="仿宋_GB2312" w:cs="Times New Roman"/>
          <w:color w:val="auto"/>
          <w:sz w:val="32"/>
          <w:szCs w:val="32"/>
          <w:highlight w:val="none"/>
        </w:rPr>
        <w:t>干部用车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单价100万元以上设备</w:t>
      </w:r>
      <w:r>
        <w:rPr>
          <w:rFonts w:hint="default" w:ascii="Times New Roman" w:hAnsi="Times New Roman" w:eastAsia="仿宋_GB2312" w:cs="Times New Roman"/>
          <w:color w:val="auto"/>
          <w:sz w:val="32"/>
          <w:szCs w:val="32"/>
          <w:highlight w:val="none"/>
          <w:lang w:eastAsia="zh-CN"/>
        </w:rPr>
        <w:t>（不含车辆）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根据预算绩效管理要求，本部门在202</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年度预算编制阶段，</w:t>
      </w:r>
      <w:r>
        <w:rPr>
          <w:rFonts w:hint="default" w:ascii="Times New Roman" w:hAnsi="Times New Roman" w:eastAsia="仿宋_GB2312" w:cs="Times New Roman"/>
          <w:color w:val="auto"/>
          <w:sz w:val="32"/>
          <w:szCs w:val="32"/>
          <w:highlight w:val="none"/>
          <w:lang w:val="en-US" w:eastAsia="zh-CN"/>
        </w:rPr>
        <w:t>因项目未达到开展事前绩效评估要求，未对</w:t>
      </w:r>
      <w:r>
        <w:rPr>
          <w:rFonts w:hint="default" w:ascii="Times New Roman" w:hAnsi="Times New Roman" w:eastAsia="仿宋_GB2312" w:cs="Times New Roman"/>
          <w:color w:val="auto"/>
          <w:sz w:val="32"/>
          <w:szCs w:val="32"/>
          <w:highlight w:val="none"/>
        </w:rPr>
        <w:t>项目开展预算事前绩效评估，对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13</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个项目开展绩效监控。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b/>
          <w:color w:val="auto"/>
          <w:sz w:val="32"/>
          <w:szCs w:val="32"/>
          <w:highlight w:val="none"/>
        </w:rPr>
      </w:pPr>
      <w:r>
        <w:rPr>
          <w:rFonts w:hint="default" w:ascii="Times New Roman" w:hAnsi="Times New Roman"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2023年度一般公共预算、</w:t>
      </w:r>
      <w:r>
        <w:rPr>
          <w:rFonts w:hint="default" w:ascii="Times New Roman" w:hAnsi="Times New Roman" w:eastAsia="仿宋_GB2312" w:cs="Times New Roman"/>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color w:val="auto"/>
          <w:sz w:val="32"/>
          <w:szCs w:val="32"/>
          <w:highlight w:val="none"/>
          <w:lang w:val="en-US" w:eastAsia="zh-CN"/>
        </w:rPr>
        <w:t>全面开展绩效自评，形成民革四川省委会</w:t>
      </w:r>
      <w:r>
        <w:rPr>
          <w:rFonts w:hint="default" w:ascii="Times New Roman" w:hAnsi="Times New Roman" w:eastAsia="仿宋_GB2312" w:cs="Times New Roman"/>
          <w:color w:val="auto"/>
          <w:sz w:val="32"/>
          <w:szCs w:val="32"/>
          <w:highlight w:val="none"/>
          <w:lang w:eastAsia="zh-CN"/>
        </w:rPr>
        <w:t>部门整体（含部门预算项目）</w:t>
      </w:r>
      <w:r>
        <w:rPr>
          <w:rFonts w:hint="default" w:ascii="Times New Roman" w:hAnsi="Times New Roman" w:eastAsia="仿宋_GB2312" w:cs="Times New Roman"/>
          <w:color w:val="auto"/>
          <w:sz w:val="32"/>
          <w:szCs w:val="32"/>
          <w:highlight w:val="none"/>
          <w:lang w:val="en-US" w:eastAsia="zh-CN"/>
        </w:rPr>
        <w:t>绩效自评报告，其中，民革四川省委会部门整体</w:t>
      </w:r>
      <w:r>
        <w:rPr>
          <w:rFonts w:hint="default" w:ascii="Times New Roman" w:hAnsi="Times New Roman" w:eastAsia="仿宋_GB2312" w:cs="Times New Roman"/>
          <w:color w:val="auto"/>
          <w:sz w:val="32"/>
          <w:szCs w:val="32"/>
          <w:highlight w:val="none"/>
          <w:lang w:eastAsia="zh-CN"/>
        </w:rPr>
        <w:t>（含部门预算项目）</w:t>
      </w:r>
      <w:r>
        <w:rPr>
          <w:rFonts w:hint="default" w:ascii="Times New Roman" w:hAnsi="Times New Roman" w:eastAsia="仿宋_GB2312" w:cs="Times New Roman"/>
          <w:color w:val="auto"/>
          <w:sz w:val="32"/>
          <w:szCs w:val="32"/>
          <w:highlight w:val="none"/>
          <w:lang w:val="en-US" w:eastAsia="zh-CN"/>
        </w:rPr>
        <w:t>绩效自评得分为93.57分，绩效自评综述：民革四川省委会2023年度按要求编制了部门整体绩效目标，编制的绩效目标基本达到了要素完整、细化量化的要求，但部分目标编制还不够科学合理；省人大预算部门预算未提出绩效目标有关问题。2023年度，民革四川省委会认真贯彻《中共中央 国务院关于全面实施预算绩效管理的意见》</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中发〔</w:t>
      </w:r>
      <w:r>
        <w:rPr>
          <w:rFonts w:hint="default" w:ascii="Times New Roman" w:hAnsi="Times New Roman" w:eastAsia="仿宋_GB2312" w:cs="Times New Roman"/>
          <w:color w:val="auto"/>
          <w:kern w:val="0"/>
          <w:sz w:val="32"/>
          <w:szCs w:val="32"/>
          <w:highlight w:val="none"/>
          <w:lang w:val="en-US" w:eastAsia="zh-CN"/>
        </w:rPr>
        <w:t>2018</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34号）</w:t>
      </w:r>
      <w:r>
        <w:rPr>
          <w:rFonts w:hint="default" w:ascii="Times New Roman" w:hAnsi="Times New Roman" w:eastAsia="仿宋_GB2312" w:cs="Times New Roman"/>
          <w:color w:val="auto"/>
          <w:sz w:val="32"/>
          <w:szCs w:val="32"/>
          <w:highlight w:val="none"/>
          <w:lang w:val="en-US" w:eastAsia="zh-CN"/>
        </w:rPr>
        <w:t>文件精神，按照绩效管理与预算管理一体化的要求，努力将绩效管理融入预算编制、预算执行、预算监督全过程。通过开展事前绩效评估，严格绩效目标管理，强化绩效运行监控，完善绩效自评机制，拓宽结果应用范围等方式，结合组织建设、参政议政、社会服务和祖统等工作实际，聚焦构建以绩效为核心的财政资金管理机制，落实预算管理和绩效管理的主体责任，牢固树立“过紧日子”意识，增强预算刚性约束，提高资产配置效率，圆满完成了各项目标任务。</w:t>
      </w:r>
      <w:r>
        <w:rPr>
          <w:rFonts w:hint="default" w:ascii="Times New Roman" w:hAnsi="Times New Roman" w:eastAsia="仿宋_GB2312" w:cs="Times New Roman"/>
          <w:color w:val="auto"/>
          <w:sz w:val="32"/>
          <w:szCs w:val="32"/>
          <w:highlight w:val="none"/>
        </w:rPr>
        <w:t>绩效自评报告详见附件。</w:t>
      </w:r>
      <w:r>
        <w:rPr>
          <w:rFonts w:ascii="仿宋_GB2312" w:eastAsia="仿宋_GB2312"/>
          <w:b/>
          <w:color w:val="auto"/>
          <w:sz w:val="32"/>
          <w:szCs w:val="32"/>
          <w:highlight w:val="none"/>
        </w:rPr>
        <w:br w:type="page"/>
      </w:r>
    </w:p>
    <w:p/>
    <w:p>
      <w:pPr>
        <w:numPr>
          <w:ilvl w:val="0"/>
          <w:numId w:val="2"/>
        </w:numPr>
        <w:spacing w:line="600" w:lineRule="exact"/>
        <w:ind w:firstLine="660" w:firstLineChars="150"/>
        <w:jc w:val="center"/>
        <w:outlineLvl w:val="0"/>
        <w:rPr>
          <w:rStyle w:val="28"/>
          <w:rFonts w:ascii="黑体" w:hAnsi="黑体" w:eastAsia="黑体"/>
          <w:b w:val="0"/>
          <w:color w:val="auto"/>
          <w:highlight w:val="none"/>
        </w:rPr>
      </w:pPr>
      <w:bookmarkStart w:id="53" w:name="_Toc15396613"/>
      <w:bookmarkStart w:id="54" w:name="_Toc15377225"/>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53"/>
      <w:bookmarkEnd w:id="54"/>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2．一般公共服务（类）民主党派及工商联事务（款）行政运行（项）：反应行政单位（包括实行公务员管理的事业单位）的基本支出。</w:t>
      </w:r>
    </w:p>
    <w:p>
      <w:pPr>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US"/>
        </w:rPr>
        <w:t>3</w:t>
      </w:r>
      <w:r>
        <w:rPr>
          <w:rFonts w:hint="eastAsia" w:ascii="仿宋_GB2312" w:eastAsia="仿宋_GB2312"/>
          <w:color w:val="auto"/>
          <w:sz w:val="32"/>
          <w:szCs w:val="32"/>
          <w:highlight w:val="none"/>
        </w:rPr>
        <w:t>．一般公共服务（类）民主党派及工商联事务（款）</w:t>
      </w:r>
      <w:r>
        <w:rPr>
          <w:rFonts w:hint="eastAsia" w:ascii="仿宋_GB2312" w:eastAsia="仿宋_GB2312"/>
          <w:color w:val="auto"/>
          <w:sz w:val="32"/>
          <w:szCs w:val="32"/>
          <w:highlight w:val="none"/>
          <w:lang w:val="en-US" w:eastAsia="zh-CN"/>
        </w:rPr>
        <w:t>一般行政管理事务</w:t>
      </w:r>
      <w:r>
        <w:rPr>
          <w:rFonts w:hint="eastAsia" w:ascii="仿宋_GB2312" w:eastAsia="仿宋_GB2312"/>
          <w:color w:val="auto"/>
          <w:sz w:val="32"/>
          <w:szCs w:val="32"/>
          <w:highlight w:val="none"/>
        </w:rPr>
        <w:t>（项）：反应行政单位（包括实行公务员管理的事业单位）</w:t>
      </w:r>
      <w:r>
        <w:rPr>
          <w:rFonts w:hint="eastAsia" w:ascii="仿宋_GB2312" w:eastAsia="仿宋_GB2312"/>
          <w:color w:val="auto"/>
          <w:sz w:val="32"/>
          <w:szCs w:val="32"/>
          <w:highlight w:val="none"/>
          <w:lang w:val="en-US" w:eastAsia="zh-CN"/>
        </w:rPr>
        <w:t>未单独设置项级科目的其他项目支出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4.一般公共服务（类）民主党派及工商联事务（款）参政议政（项）：反映各民主党派为参政议政进行的调研、会议、检查等方面的支出。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5.教育（类）进修及培训（款）培训支出（项）:反映各部门安排的用于培训的支出。教育部门的师资培训，党校、行政学院等专业干部教育机构的支出，以及退役士兵、转业士官的培训支出，不在本科目反映。</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6.社会保障和就业（类）行政事业单位养老支出（款）行政单位离退休（项）：反映行政单位（包括实行公务员管理的事业单位）开支的离退休经费。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7.社会保障和就业（类）行政事业单位养老支出（款）机关事业单位基本养老保险缴费支出（项）：反映机关事业单位实施养老保险制度由单位缴纳的基本养老保险支出。</w:t>
      </w:r>
    </w:p>
    <w:p>
      <w:pPr>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US"/>
        </w:rPr>
        <w:t>8</w:t>
      </w:r>
      <w:r>
        <w:rPr>
          <w:rFonts w:hint="eastAsia" w:ascii="仿宋_GB2312" w:eastAsia="仿宋_GB2312"/>
          <w:color w:val="auto"/>
          <w:sz w:val="32"/>
          <w:szCs w:val="32"/>
          <w:highlight w:val="none"/>
        </w:rPr>
        <w:t>.卫生健康（类）行政事业单位医疗（款）行政单位医疗（项）：反映财政部门安排的行政单位基本医疗保险缴费经费，未参加医疗保险的行政单位的公费医疗经费，按国家规定享受离休人员、红军老战士待遇人员的医疗经费。</w:t>
      </w:r>
    </w:p>
    <w:p>
      <w:pPr>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US"/>
        </w:rPr>
        <w:t>9</w:t>
      </w:r>
      <w:r>
        <w:rPr>
          <w:rFonts w:hint="eastAsia" w:ascii="仿宋_GB2312" w:eastAsia="仿宋_GB2312"/>
          <w:color w:val="auto"/>
          <w:sz w:val="32"/>
          <w:szCs w:val="32"/>
          <w:highlight w:val="none"/>
        </w:rPr>
        <w:t>.卫生健康（类）行政事业单位医疗（款）公务员医疗补助（项）：反映财政部门安排的公务员医疗补助经费。</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.住房保障（类）住房改革支出（款）住房公积金（项）：反映行政事业单位按人力资源和社会保障部、财政部规定的基本工资和津贴补贴以及规定比例为职工缴纳的住房公积金。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default" w:ascii="仿宋_GB2312" w:eastAsia="仿宋_GB2312"/>
          <w:color w:val="auto"/>
          <w:sz w:val="32"/>
          <w:szCs w:val="32"/>
          <w:highlight w:val="none"/>
          <w:lang w:val="en-US"/>
        </w:rPr>
        <w:t>1</w:t>
      </w:r>
      <w:r>
        <w:rPr>
          <w:rFonts w:hint="eastAsia" w:ascii="仿宋_GB2312" w:eastAsia="仿宋_GB2312"/>
          <w:color w:val="auto"/>
          <w:sz w:val="32"/>
          <w:szCs w:val="32"/>
          <w:highlight w:val="none"/>
        </w:rPr>
        <w:t>.住房保障（类）住房改革支出（款）购房补贴（项）：反映按房改政策规定，行政事业单位向符合条件职工、军队向转役复员离退休人员发放的用于购买住房的补贴。</w:t>
      </w: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6"/>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auto"/>
          <w:sz w:val="44"/>
          <w:szCs w:val="44"/>
          <w:highlight w:val="none"/>
        </w:rPr>
      </w:pPr>
      <w:bookmarkStart w:id="55" w:name="_Toc15396614"/>
      <w:bookmarkStart w:id="56"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8"/>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5"/>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600" w:lineRule="exact"/>
        <w:ind w:leftChars="0"/>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600" w:lineRule="exact"/>
        <w:ind w:leftChars="0"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3"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（一）机构组成。</w:t>
      </w:r>
      <w:r>
        <w:rPr>
          <w:rFonts w:hint="default" w:ascii="Times New Roman" w:hAnsi="Times New Roman" w:eastAsia="仿宋_GB2312" w:cs="Times New Roman"/>
          <w:color w:val="000000"/>
          <w:kern w:val="0"/>
          <w:sz w:val="32"/>
          <w:szCs w:val="32"/>
          <w:highlight w:val="none"/>
          <w:shd w:val="clear" w:color="auto" w:fill="FFFFFF"/>
          <w:lang w:val="zh-CN"/>
        </w:rPr>
        <w:t>中国国民党革命委员会四川省委员会（以下简称“民革四川省委会”）是中国共产党领导的多党合作和政治协商制度中的参政党省级机关，其内设办公室、组织处、宣传处、联络处、社服处、参政议政处等六个职能处室，无下属二级预算单位。</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3"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default" w:ascii="Times New Roman" w:hAnsi="Times New Roman" w:eastAsia="仿宋_GB2312" w:cs="Times New Roman"/>
          <w:color w:val="000000"/>
          <w:kern w:val="0"/>
          <w:sz w:val="32"/>
          <w:szCs w:val="32"/>
          <w:highlight w:val="none"/>
          <w:shd w:val="clear" w:color="auto" w:fill="FFFFFF"/>
          <w:lang w:val="zh-CN" w:eastAsia="zh-CN"/>
        </w:rPr>
        <w:t>民革四川省委会的主要职责为：认真履行参政议政、民主监督的职责；坚持以经济建设为中心，鼓励党员和所联系人士为改革开放、为四化建设多做贡献；以促进祖国和平统一为工作重点，加强同台湾、港澳和国外的国民党爱国人士的联系和团结，宣传“一国两制”、和平统一的方针和政策，积极发挥民革所特有的作用；把加强自身建设放在重要地位，通过思想建设、组织建设、领导班子建设和机关建设，健全参政党机制，以适应形势发展和需要；承办中共四川省委与中共</w:t>
      </w:r>
      <w:bookmarkStart w:id="72" w:name="_GoBack"/>
      <w:bookmarkEnd w:id="72"/>
      <w:r>
        <w:rPr>
          <w:rFonts w:hint="default" w:ascii="Times New Roman" w:hAnsi="Times New Roman" w:eastAsia="仿宋_GB2312" w:cs="Times New Roman"/>
          <w:color w:val="000000"/>
          <w:kern w:val="0"/>
          <w:sz w:val="32"/>
          <w:szCs w:val="32"/>
          <w:highlight w:val="none"/>
          <w:shd w:val="clear" w:color="auto" w:fill="FFFFFF"/>
          <w:lang w:val="zh-CN" w:eastAsia="zh-CN"/>
        </w:rPr>
        <w:t>中央主管部门或省政府与国务院有关部门交办的其它事项。</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3"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r>
        <w:rPr>
          <w:rFonts w:hint="default" w:ascii="Times New Roman" w:hAnsi="Times New Roman" w:eastAsia="仿宋_GB2312" w:cs="Times New Roman"/>
          <w:color w:val="000000"/>
          <w:kern w:val="0"/>
          <w:sz w:val="32"/>
          <w:szCs w:val="32"/>
          <w:highlight w:val="none"/>
          <w:shd w:val="clear" w:color="auto" w:fill="FFFFFF"/>
          <w:lang w:val="zh-CN" w:eastAsia="zh-CN"/>
        </w:rPr>
        <w:t>民革四川省委会核定编制人数33人，其中：行政编制28人，机关工勤编制3人，计划单列编制2人。202</w:t>
      </w: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eastAsia="zh-CN"/>
        </w:rPr>
        <w:t>年末，实有在职人员</w:t>
      </w:r>
      <w:r>
        <w:rPr>
          <w:rFonts w:hint="default" w:ascii="Times New Roman" w:hAnsi="Times New Roman" w:eastAsia="仿宋_GB2312" w:cs="Times New Roman"/>
          <w:color w:val="000000"/>
          <w:kern w:val="0"/>
          <w:sz w:val="32"/>
          <w:szCs w:val="32"/>
          <w:highlight w:val="none"/>
          <w:shd w:val="clear" w:color="auto" w:fill="FFFFFF"/>
          <w:lang w:val="en-US" w:eastAsia="zh-CN"/>
        </w:rPr>
        <w:t>28</w:t>
      </w:r>
      <w:r>
        <w:rPr>
          <w:rFonts w:hint="default" w:ascii="Times New Roman" w:hAnsi="Times New Roman" w:eastAsia="仿宋_GB2312" w:cs="Times New Roman"/>
          <w:color w:val="000000"/>
          <w:kern w:val="0"/>
          <w:sz w:val="32"/>
          <w:szCs w:val="32"/>
          <w:highlight w:val="none"/>
          <w:shd w:val="clear" w:color="auto" w:fill="FFFFFF"/>
          <w:lang w:val="zh-CN" w:eastAsia="zh-CN"/>
        </w:rPr>
        <w:t>人（其中：公务员2</w:t>
      </w:r>
      <w:r>
        <w:rPr>
          <w:rFonts w:hint="default" w:ascii="Times New Roman" w:hAnsi="Times New Roman" w:eastAsia="仿宋_GB2312" w:cs="Times New Roman"/>
          <w:color w:val="000000"/>
          <w:kern w:val="0"/>
          <w:sz w:val="32"/>
          <w:szCs w:val="32"/>
          <w:highlight w:val="none"/>
          <w:shd w:val="clear" w:color="auto" w:fill="FFFFFF"/>
          <w:lang w:val="en-US" w:eastAsia="zh-CN"/>
        </w:rPr>
        <w:t>6人</w:t>
      </w:r>
      <w:r>
        <w:rPr>
          <w:rFonts w:hint="default" w:ascii="Times New Roman" w:hAnsi="Times New Roman" w:eastAsia="仿宋_GB2312" w:cs="Times New Roman"/>
          <w:color w:val="000000"/>
          <w:kern w:val="0"/>
          <w:sz w:val="32"/>
          <w:szCs w:val="32"/>
          <w:highlight w:val="none"/>
          <w:shd w:val="clear" w:color="auto" w:fill="FFFFFF"/>
          <w:lang w:val="zh-CN" w:eastAsia="zh-CN"/>
        </w:rPr>
        <w:t>、工勤人员2</w:t>
      </w:r>
      <w:r>
        <w:rPr>
          <w:rFonts w:hint="default" w:ascii="Times New Roman" w:hAnsi="Times New Roman" w:eastAsia="仿宋_GB2312" w:cs="Times New Roman"/>
          <w:color w:val="000000"/>
          <w:kern w:val="0"/>
          <w:sz w:val="32"/>
          <w:szCs w:val="32"/>
          <w:highlight w:val="none"/>
          <w:shd w:val="clear" w:color="auto" w:fill="FFFFFF"/>
          <w:lang w:val="en-US" w:eastAsia="zh-CN"/>
        </w:rPr>
        <w:t>人</w:t>
      </w:r>
      <w:r>
        <w:rPr>
          <w:rFonts w:hint="default" w:ascii="Times New Roman" w:hAnsi="Times New Roman" w:eastAsia="仿宋_GB2312" w:cs="Times New Roman"/>
          <w:color w:val="000000"/>
          <w:kern w:val="0"/>
          <w:sz w:val="32"/>
          <w:szCs w:val="32"/>
          <w:highlight w:val="none"/>
          <w:shd w:val="clear" w:color="auto" w:fill="FFFFFF"/>
          <w:lang w:val="zh-CN" w:eastAsia="zh-CN"/>
        </w:rPr>
        <w:t>），离休</w:t>
      </w:r>
      <w:r>
        <w:rPr>
          <w:rFonts w:hint="default" w:ascii="Times New Roman" w:hAnsi="Times New Roman" w:eastAsia="仿宋_GB2312" w:cs="Times New Roman"/>
          <w:color w:val="000000"/>
          <w:kern w:val="0"/>
          <w:sz w:val="32"/>
          <w:szCs w:val="32"/>
          <w:highlight w:val="none"/>
          <w:shd w:val="clear" w:color="auto" w:fill="FFFFFF"/>
          <w:lang w:val="en-US" w:eastAsia="zh-CN"/>
        </w:rPr>
        <w:t>干部</w:t>
      </w:r>
      <w:r>
        <w:rPr>
          <w:rFonts w:hint="default" w:ascii="Times New Roman" w:hAnsi="Times New Roman" w:eastAsia="仿宋_GB2312" w:cs="Times New Roman"/>
          <w:color w:val="000000"/>
          <w:kern w:val="0"/>
          <w:sz w:val="32"/>
          <w:szCs w:val="32"/>
          <w:highlight w:val="none"/>
          <w:shd w:val="clear" w:color="auto" w:fill="FFFFFF"/>
          <w:lang w:val="zh-CN" w:eastAsia="zh-CN"/>
        </w:rPr>
        <w:t>2</w:t>
      </w:r>
      <w:r>
        <w:rPr>
          <w:rFonts w:hint="default" w:ascii="Times New Roman" w:hAnsi="Times New Roman" w:eastAsia="仿宋_GB2312" w:cs="Times New Roman"/>
          <w:color w:val="000000"/>
          <w:kern w:val="0"/>
          <w:sz w:val="32"/>
          <w:szCs w:val="32"/>
          <w:highlight w:val="none"/>
          <w:shd w:val="clear" w:color="auto" w:fill="FFFFFF"/>
          <w:lang w:val="en-US" w:eastAsia="zh-CN"/>
        </w:rPr>
        <w:t>人，其他人员3人</w:t>
      </w:r>
      <w:r>
        <w:rPr>
          <w:rFonts w:hint="default" w:ascii="Times New Roman" w:hAnsi="Times New Roman" w:eastAsia="仿宋_GB2312" w:cs="Times New Roman"/>
          <w:color w:val="000000"/>
          <w:kern w:val="0"/>
          <w:sz w:val="32"/>
          <w:szCs w:val="32"/>
          <w:highlight w:val="none"/>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default" w:ascii="Times New Roman" w:hAnsi="Times New Roman" w:eastAsia="仿宋_GB2312" w:cs="Times New Roman"/>
          <w:color w:val="000000"/>
          <w:kern w:val="0"/>
          <w:sz w:val="32"/>
          <w:szCs w:val="32"/>
          <w:highlight w:val="none"/>
          <w:shd w:val="clear" w:color="auto" w:fill="FFFFFF"/>
          <w:lang w:val="zh-CN" w:eastAsia="zh-CN"/>
        </w:rPr>
        <w:t>民革四川省委会</w:t>
      </w:r>
      <w:r>
        <w:rPr>
          <w:rFonts w:hint="default" w:ascii="Times New Roman" w:hAnsi="Times New Roman" w:eastAsia="仿宋_GB2312" w:cs="Times New Roman"/>
          <w:sz w:val="32"/>
          <w:szCs w:val="32"/>
          <w:lang w:val="en-US" w:eastAsia="zh-CN"/>
        </w:rPr>
        <w:t>2023年年初预算收入1268.57万元，全年预算收入1511.6万元。</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3" w:firstLineChars="200"/>
        <w:contextualSpacing/>
        <w:jc w:val="both"/>
        <w:textAlignment w:val="auto"/>
        <w:outlineLvl w:val="9"/>
        <w:rPr>
          <w:rFonts w:hint="default" w:ascii="Times New Roman" w:hAnsi="Times New Roman" w:eastAsia="仿宋_GB2312" w:cs="Times New Roman"/>
          <w:kern w:val="2"/>
          <w:sz w:val="32"/>
          <w:szCs w:val="32"/>
          <w:highlight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default" w:ascii="Times New Roman" w:hAnsi="Times New Roman" w:eastAsia="仿宋_GB2312" w:cs="Times New Roman"/>
          <w:color w:val="000000"/>
          <w:kern w:val="0"/>
          <w:sz w:val="32"/>
          <w:szCs w:val="32"/>
          <w:highlight w:val="none"/>
          <w:shd w:val="clear" w:color="auto" w:fill="FFFFFF"/>
          <w:lang w:val="zh-CN" w:eastAsia="zh-CN"/>
        </w:rPr>
        <w:t>民革四川省委会</w:t>
      </w:r>
      <w:r>
        <w:rPr>
          <w:rFonts w:hint="default" w:ascii="Times New Roman" w:hAnsi="Times New Roman" w:eastAsia="仿宋_GB2312" w:cs="Times New Roman"/>
          <w:kern w:val="2"/>
          <w:sz w:val="32"/>
          <w:szCs w:val="32"/>
          <w:highlight w:val="none"/>
          <w:lang w:val="en-US" w:eastAsia="zh-CN" w:bidi="ar"/>
        </w:rPr>
        <w:t>2023年全年预算支出安排1511.6万元，决算数为1416.86万元，</w:t>
      </w:r>
      <w:r>
        <w:rPr>
          <w:rFonts w:hint="eastAsia" w:ascii="Times New Roman" w:hAnsi="Times New Roman" w:eastAsia="仿宋_GB2312" w:cs="Times New Roman"/>
          <w:kern w:val="2"/>
          <w:sz w:val="32"/>
          <w:szCs w:val="32"/>
          <w:highlight w:val="none"/>
          <w:lang w:val="en-US" w:eastAsia="zh-CN" w:bidi="ar"/>
        </w:rPr>
        <w:t>其中：</w:t>
      </w:r>
      <w:r>
        <w:rPr>
          <w:rFonts w:hint="default" w:ascii="Times New Roman" w:hAnsi="Times New Roman" w:eastAsia="仿宋_GB2312" w:cs="Times New Roman"/>
          <w:b w:val="0"/>
          <w:bCs w:val="0"/>
          <w:sz w:val="32"/>
          <w:szCs w:val="32"/>
        </w:rPr>
        <w:t>一般公共服务支出</w:t>
      </w:r>
      <w:r>
        <w:rPr>
          <w:rFonts w:hint="default" w:ascii="Times New Roman" w:hAnsi="Times New Roman" w:eastAsia="仿宋_GB2312" w:cs="Times New Roman"/>
          <w:b w:val="0"/>
          <w:bCs w:val="0"/>
          <w:sz w:val="32"/>
          <w:szCs w:val="32"/>
          <w:lang w:val="en-US" w:eastAsia="zh-CN"/>
        </w:rPr>
        <w:t>991.48</w:t>
      </w:r>
      <w:r>
        <w:rPr>
          <w:rFonts w:hint="eastAsia" w:ascii="Times New Roman" w:hAnsi="Times New Roman" w:eastAsia="仿宋_GB2312" w:cs="Times New Roman"/>
          <w:b w:val="0"/>
          <w:bCs w:val="0"/>
          <w:sz w:val="32"/>
          <w:szCs w:val="32"/>
          <w:lang w:val="en-US" w:eastAsia="zh-CN"/>
        </w:rPr>
        <w:t>万元</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教育支出21.66</w:t>
      </w:r>
      <w:r>
        <w:rPr>
          <w:rFonts w:hint="default" w:ascii="Times New Roman" w:hAnsi="Times New Roman" w:eastAsia="仿宋_GB2312" w:cs="Times New Roman"/>
          <w:b w:val="0"/>
          <w:bCs w:val="0"/>
          <w:sz w:val="32"/>
          <w:szCs w:val="32"/>
          <w:lang w:eastAsia="zh-CN"/>
        </w:rPr>
        <w:t>万元，</w:t>
      </w:r>
      <w:r>
        <w:rPr>
          <w:rFonts w:hint="default" w:ascii="Times New Roman" w:hAnsi="Times New Roman" w:eastAsia="仿宋_GB2312" w:cs="Times New Roman"/>
          <w:b w:val="0"/>
          <w:bCs w:val="0"/>
          <w:sz w:val="32"/>
          <w:szCs w:val="32"/>
        </w:rPr>
        <w:t>社会保</w:t>
      </w:r>
      <w:r>
        <w:rPr>
          <w:rFonts w:hint="default" w:ascii="Times New Roman" w:hAnsi="Times New Roman" w:eastAsia="仿宋_GB2312" w:cs="Times New Roman"/>
          <w:b w:val="0"/>
          <w:bCs w:val="0"/>
          <w:sz w:val="32"/>
          <w:szCs w:val="32"/>
          <w:lang w:eastAsia="zh-CN"/>
        </w:rPr>
        <w:t>障和就业支出</w:t>
      </w:r>
      <w:r>
        <w:rPr>
          <w:rFonts w:hint="default" w:ascii="Times New Roman" w:hAnsi="Times New Roman" w:eastAsia="仿宋_GB2312" w:cs="Times New Roman"/>
          <w:b w:val="0"/>
          <w:bCs w:val="0"/>
          <w:sz w:val="32"/>
          <w:szCs w:val="32"/>
          <w:lang w:val="en-US" w:eastAsia="zh-CN"/>
        </w:rPr>
        <w:t>262.1万元，</w:t>
      </w:r>
      <w:r>
        <w:rPr>
          <w:rFonts w:hint="default" w:ascii="Times New Roman" w:hAnsi="Times New Roman" w:eastAsia="仿宋_GB2312" w:cs="Times New Roman"/>
          <w:b w:val="0"/>
          <w:bCs w:val="0"/>
          <w:sz w:val="32"/>
          <w:szCs w:val="32"/>
          <w:lang w:eastAsia="zh-CN"/>
        </w:rPr>
        <w:t>卫生健康支出50.6万元，住房保障支出</w:t>
      </w:r>
      <w:r>
        <w:rPr>
          <w:rFonts w:hint="default" w:ascii="Times New Roman" w:hAnsi="Times New Roman" w:eastAsia="仿宋_GB2312" w:cs="Times New Roman"/>
          <w:b w:val="0"/>
          <w:bCs w:val="0"/>
          <w:sz w:val="32"/>
          <w:szCs w:val="32"/>
          <w:lang w:val="en-US" w:eastAsia="zh-CN"/>
        </w:rPr>
        <w:t>91.02万元</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3" w:firstLineChars="200"/>
        <w:contextualSpacing/>
        <w:jc w:val="both"/>
        <w:textAlignment w:val="auto"/>
        <w:outlineLvl w:val="9"/>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sz w:val="32"/>
          <w:szCs w:val="32"/>
        </w:rPr>
        <w:t>结余分配和结转结余情况</w:t>
      </w:r>
      <w:r>
        <w:rPr>
          <w:rFonts w:hint="default" w:ascii="Times New Roman" w:hAnsi="Times New Roman" w:eastAsia="楷体_GB2312" w:cs="Times New Roman"/>
          <w:b/>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民革四川省委会</w:t>
      </w:r>
      <w:r>
        <w:rPr>
          <w:rFonts w:hint="default" w:ascii="Times New Roman" w:hAnsi="Times New Roman" w:eastAsia="仿宋_GB2312" w:cs="Times New Roman"/>
          <w:sz w:val="32"/>
          <w:szCs w:val="32"/>
          <w:lang w:val="en-US" w:eastAsia="zh-CN"/>
        </w:rPr>
        <w:t>2023年度无</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结转结余。</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3"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履职效能。</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 xml:space="preserve">）组织建设履职效果。年初计划发展新党员中本科以上人数占比90%，年末实际完成占比90.2%。分值5分，得分5分。  </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eastAsia="zh-CN"/>
        </w:rPr>
        <w:t xml:space="preserve">）参政议政履职效果。参政议政全年完成调研报告数量不少于25篇，年末实际完成31篇。分值5分，得分5分。  </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eastAsia="zh-CN"/>
        </w:rPr>
        <w:t>）宣传履职效果。年初计划四川民革网站、微信公众号上传宣传稿件</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eastAsia" w:ascii="Times New Roman" w:hAnsi="Times New Roman" w:eastAsia="仿宋_GB2312" w:cs="Times New Roman"/>
          <w:color w:val="000000"/>
          <w:kern w:val="0"/>
          <w:sz w:val="32"/>
          <w:szCs w:val="32"/>
          <w:highlight w:val="none"/>
          <w:shd w:val="clear" w:color="auto" w:fill="FFFFFF"/>
          <w:lang w:val="en-US" w:eastAsia="zh-CN"/>
        </w:rPr>
        <w:t>不含转发</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eastAsia="zh-CN"/>
        </w:rPr>
        <w:t>数量不少于300条，年末实际完成</w:t>
      </w: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eastAsia" w:ascii="Times New Roman" w:hAnsi="Times New Roman" w:eastAsia="仿宋_GB2312" w:cs="Times New Roman"/>
          <w:color w:val="000000"/>
          <w:kern w:val="0"/>
          <w:sz w:val="32"/>
          <w:szCs w:val="32"/>
          <w:highlight w:val="none"/>
          <w:shd w:val="clear" w:color="auto" w:fill="FFFFFF"/>
          <w:lang w:val="en-US" w:eastAsia="zh-CN"/>
        </w:rPr>
        <w:t>11</w:t>
      </w:r>
      <w:r>
        <w:rPr>
          <w:rFonts w:hint="default" w:ascii="Times New Roman" w:hAnsi="Times New Roman" w:eastAsia="仿宋_GB2312" w:cs="Times New Roman"/>
          <w:color w:val="000000"/>
          <w:kern w:val="0"/>
          <w:sz w:val="32"/>
          <w:szCs w:val="32"/>
          <w:highlight w:val="none"/>
          <w:shd w:val="clear" w:color="auto" w:fill="FFFFFF"/>
          <w:lang w:val="zh-CN" w:eastAsia="zh-CN"/>
        </w:rPr>
        <w:t>条。分值5分，得分5分。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rPr>
        <w:t>预算管理。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rPr>
        <w:t>）预算编制质量。民革四川省委会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2023年度预算偏离度为12%，资产配置预算偏离度为100%，政府采购预算偏离度为0.7%。分值8分，得分5.</w:t>
      </w:r>
      <w:r>
        <w:rPr>
          <w:rFonts w:hint="eastAsia" w:ascii="Times New Roman" w:hAnsi="Times New Roman" w:eastAsia="仿宋_GB2312"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）单位收入统筹。民革四川省委会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w:t>
      </w:r>
      <w:r>
        <w:rPr>
          <w:rFonts w:hint="default" w:ascii="Times New Roman" w:hAnsi="Times New Roman" w:eastAsia="仿宋_GB2312" w:cs="Times New Roman"/>
          <w:color w:val="000000"/>
          <w:kern w:val="0"/>
          <w:sz w:val="32"/>
          <w:szCs w:val="32"/>
          <w:highlight w:val="none"/>
          <w:shd w:val="clear" w:color="auto" w:fill="FFFFFF"/>
          <w:lang w:val="zh-CN"/>
        </w:rPr>
        <w:t>无部门自有收入，均为</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t>一般公共预算财政拨款收入。分值4分，得分4分。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shd w:val="clear" w:fill="FFFFFF"/>
          <w:lang w:val="en-US" w:eastAsia="zh-CN" w:bidi="ar-SA"/>
        </w:rPr>
        <w:t>（3）</w:t>
      </w:r>
      <w:r>
        <w:rPr>
          <w:rFonts w:hint="default" w:ascii="Times New Roman" w:hAnsi="Times New Roman" w:eastAsia="仿宋_GB2312" w:cs="Times New Roman"/>
          <w:color w:val="000000"/>
          <w:kern w:val="0"/>
          <w:sz w:val="32"/>
          <w:szCs w:val="32"/>
          <w:highlight w:val="none"/>
          <w:shd w:val="clear" w:color="auto" w:fill="FFFFFF"/>
          <w:lang w:val="zh-CN"/>
        </w:rPr>
        <w:t>支出执行进度</w:t>
      </w:r>
      <w:r>
        <w:rPr>
          <w:rFonts w:hint="default" w:ascii="Times New Roman" w:hAnsi="Times New Roman" w:eastAsia="仿宋_GB2312"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zh-CN"/>
        </w:rPr>
        <w:t>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2023年度全年预算数1511.6万元，1-6月预算执行数为642.75万元，1-6月支出预警金额为17.1万元，1-10月预算执行数为1113.64万元，1-10月支出预警金额为11.85万元。分值6分，</w:t>
      </w:r>
      <w:r>
        <w:rPr>
          <w:rFonts w:hint="default" w:ascii="Times New Roman" w:hAnsi="Times New Roman" w:eastAsia="仿宋_GB2312" w:cs="Times New Roman"/>
          <w:color w:val="000000"/>
          <w:kern w:val="0"/>
          <w:sz w:val="32"/>
          <w:szCs w:val="32"/>
          <w:highlight w:val="none"/>
          <w:shd w:val="clear" w:color="auto" w:fill="FFFFFF"/>
          <w:lang w:val="zh-CN"/>
        </w:rPr>
        <w:t>得分</w:t>
      </w:r>
      <w:r>
        <w:rPr>
          <w:rFonts w:hint="default" w:ascii="Times New Roman" w:hAnsi="Times New Roman" w:eastAsia="仿宋_GB2312" w:cs="Times New Roman"/>
          <w:color w:val="000000"/>
          <w:kern w:val="0"/>
          <w:sz w:val="32"/>
          <w:szCs w:val="32"/>
          <w:highlight w:val="none"/>
          <w:shd w:val="clear" w:color="auto" w:fill="FFFFFF"/>
          <w:lang w:val="en-US" w:eastAsia="zh-CN"/>
        </w:rPr>
        <w:t>5.</w:t>
      </w:r>
      <w:r>
        <w:rPr>
          <w:rFonts w:hint="eastAsia" w:ascii="Times New Roman" w:hAnsi="Times New Roman" w:eastAsia="仿宋_GB2312" w:cs="Times New Roman"/>
          <w:color w:val="000000"/>
          <w:kern w:val="0"/>
          <w:sz w:val="32"/>
          <w:szCs w:val="32"/>
          <w:highlight w:val="none"/>
          <w:shd w:val="clear" w:color="auto" w:fill="FFFFFF"/>
          <w:lang w:val="en-US" w:eastAsia="zh-CN"/>
        </w:rPr>
        <w:t>5</w:t>
      </w:r>
      <w:r>
        <w:rPr>
          <w:rFonts w:hint="default" w:ascii="Times New Roman" w:hAnsi="Times New Roman" w:eastAsia="仿宋_GB2312" w:cs="Times New Roman"/>
          <w:color w:val="000000"/>
          <w:kern w:val="0"/>
          <w:sz w:val="32"/>
          <w:szCs w:val="32"/>
          <w:highlight w:val="none"/>
          <w:shd w:val="clear" w:color="auto" w:fill="FFFFFF"/>
          <w:lang w:val="en-US" w:eastAsia="zh-CN"/>
        </w:rPr>
        <w:t>分。</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预算年终结余。民革四川省委会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2023年度部门注销金额94.74万元，部门整体预算结余率为0.6%。</w:t>
      </w:r>
      <w:r>
        <w:rPr>
          <w:rFonts w:hint="default" w:ascii="Times New Roman" w:hAnsi="Times New Roman" w:eastAsia="仿宋_GB2312" w:cs="Times New Roman"/>
          <w:color w:val="000000"/>
          <w:kern w:val="0"/>
          <w:sz w:val="32"/>
          <w:szCs w:val="32"/>
          <w:highlight w:val="none"/>
          <w:shd w:val="clear" w:color="auto" w:fill="FFFFFF"/>
          <w:lang w:val="zh-CN"/>
        </w:rPr>
        <w:t>分值</w:t>
      </w:r>
      <w:r>
        <w:rPr>
          <w:rFonts w:hint="default" w:ascii="Times New Roman" w:hAnsi="Times New Roman" w:eastAsia="仿宋_GB2312" w:cs="Times New Roman"/>
          <w:color w:val="000000"/>
          <w:kern w:val="0"/>
          <w:sz w:val="32"/>
          <w:szCs w:val="32"/>
          <w:highlight w:val="none"/>
          <w:shd w:val="clear" w:color="auto" w:fill="FFFFFF"/>
          <w:lang w:val="en-US" w:eastAsia="zh-CN"/>
        </w:rPr>
        <w:t>2分，</w:t>
      </w:r>
      <w:r>
        <w:rPr>
          <w:rFonts w:hint="default" w:ascii="Times New Roman" w:hAnsi="Times New Roman" w:eastAsia="仿宋_GB2312" w:cs="Times New Roman"/>
          <w:color w:val="000000"/>
          <w:kern w:val="0"/>
          <w:sz w:val="32"/>
          <w:szCs w:val="32"/>
          <w:highlight w:val="none"/>
          <w:shd w:val="clear" w:color="auto" w:fill="FFFFFF"/>
          <w:lang w:val="zh-CN"/>
        </w:rPr>
        <w:t>得分</w:t>
      </w:r>
      <w:r>
        <w:rPr>
          <w:rFonts w:hint="default" w:ascii="Times New Roman" w:hAnsi="Times New Roman" w:eastAsia="仿宋_GB2312" w:cs="Times New Roman"/>
          <w:color w:val="000000"/>
          <w:kern w:val="0"/>
          <w:sz w:val="32"/>
          <w:szCs w:val="32"/>
          <w:highlight w:val="none"/>
          <w:shd w:val="clear" w:color="auto" w:fill="FFFFFF"/>
          <w:lang w:val="en-US" w:eastAsia="zh-CN"/>
        </w:rPr>
        <w:t>1.87分。</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严控一般性支出。民革四川省委会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w:t>
      </w:r>
      <w:r>
        <w:rPr>
          <w:rFonts w:hint="default" w:ascii="Times New Roman" w:hAnsi="Times New Roman" w:eastAsia="仿宋_GB2312" w:cs="Times New Roman"/>
          <w:color w:val="000000"/>
          <w:kern w:val="0"/>
          <w:sz w:val="32"/>
          <w:szCs w:val="32"/>
          <w:highlight w:val="none"/>
          <w:shd w:val="clear" w:color="auto" w:fill="FFFFFF"/>
          <w:lang w:val="zh-CN"/>
        </w:rPr>
        <w:t>一般性支出年初预算</w:t>
      </w:r>
      <w:r>
        <w:rPr>
          <w:rFonts w:hint="default" w:ascii="Times New Roman" w:hAnsi="Times New Roman" w:eastAsia="仿宋_GB2312" w:cs="Times New Roman"/>
          <w:color w:val="000000"/>
          <w:kern w:val="0"/>
          <w:sz w:val="32"/>
          <w:szCs w:val="32"/>
          <w:highlight w:val="none"/>
          <w:shd w:val="clear" w:color="auto" w:fill="FFFFFF"/>
          <w:lang w:val="en-US" w:eastAsia="zh-CN"/>
        </w:rPr>
        <w:t>151.39万元，较2022年度减少32.67万元，下降17.75%。</w:t>
      </w:r>
      <w:r>
        <w:rPr>
          <w:rFonts w:hint="default" w:ascii="Times New Roman" w:hAnsi="Times New Roman" w:eastAsia="仿宋_GB2312" w:cs="Times New Roman"/>
          <w:color w:val="000000"/>
          <w:kern w:val="0"/>
          <w:sz w:val="32"/>
          <w:szCs w:val="32"/>
          <w:highlight w:val="none"/>
          <w:shd w:val="clear" w:color="auto" w:fill="FFFFFF"/>
          <w:lang w:val="zh-CN"/>
        </w:rPr>
        <w:t>分值</w:t>
      </w:r>
      <w:r>
        <w:rPr>
          <w:rFonts w:hint="default" w:ascii="Times New Roman" w:hAnsi="Times New Roman" w:eastAsia="仿宋_GB2312" w:cs="Times New Roman"/>
          <w:color w:val="000000"/>
          <w:kern w:val="0"/>
          <w:sz w:val="32"/>
          <w:szCs w:val="32"/>
          <w:highlight w:val="none"/>
          <w:shd w:val="clear" w:color="auto" w:fill="FFFFFF"/>
          <w:lang w:val="en-US" w:eastAsia="zh-CN"/>
        </w:rPr>
        <w:t>5分，</w:t>
      </w:r>
      <w:r>
        <w:rPr>
          <w:rFonts w:hint="default" w:ascii="Times New Roman" w:hAnsi="Times New Roman" w:eastAsia="仿宋_GB2312" w:cs="Times New Roman"/>
          <w:color w:val="000000"/>
          <w:kern w:val="0"/>
          <w:sz w:val="32"/>
          <w:szCs w:val="32"/>
          <w:highlight w:val="none"/>
          <w:shd w:val="clear" w:color="auto" w:fill="FFFFFF"/>
          <w:lang w:val="zh-CN"/>
        </w:rPr>
        <w:t>得分</w:t>
      </w:r>
      <w:r>
        <w:rPr>
          <w:rFonts w:hint="default" w:ascii="Times New Roman" w:hAnsi="Times New Roman" w:eastAsia="仿宋_GB2312" w:cs="Times New Roman"/>
          <w:color w:val="000000"/>
          <w:kern w:val="0"/>
          <w:sz w:val="32"/>
          <w:szCs w:val="32"/>
          <w:highlight w:val="none"/>
          <w:shd w:val="clear" w:color="auto" w:fill="FFFFFF"/>
          <w:lang w:val="en-US" w:eastAsia="zh-CN"/>
        </w:rPr>
        <w:t>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财务管理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color w:val="000000"/>
          <w:kern w:val="0"/>
          <w:sz w:val="32"/>
          <w:szCs w:val="32"/>
          <w:shd w:val="clear" w:fill="FFFFFF"/>
          <w:lang w:val="zh-CN" w:eastAsia="zh-CN" w:bidi="ar-SA"/>
        </w:rPr>
        <w:t>（1）</w:t>
      </w:r>
      <w:r>
        <w:rPr>
          <w:rFonts w:hint="default" w:ascii="Times New Roman" w:hAnsi="Times New Roman" w:eastAsia="楷体_GB2312" w:cs="Times New Roman"/>
          <w:color w:val="000000"/>
          <w:kern w:val="0"/>
          <w:sz w:val="32"/>
          <w:szCs w:val="32"/>
          <w:highlight w:val="none"/>
          <w:shd w:val="clear" w:color="auto" w:fill="FFFFFF"/>
          <w:lang w:val="zh-CN"/>
        </w:rPr>
        <w:t>财务管理制度。</w:t>
      </w:r>
      <w:r>
        <w:rPr>
          <w:rFonts w:hint="default" w:ascii="Times New Roman" w:hAnsi="Times New Roman" w:eastAsia="仿宋_GB2312" w:cs="Times New Roman"/>
          <w:color w:val="000000"/>
          <w:kern w:val="0"/>
          <w:sz w:val="32"/>
          <w:szCs w:val="32"/>
          <w:highlight w:val="none"/>
          <w:shd w:val="clear" w:color="auto" w:fill="FFFFFF"/>
          <w:lang w:val="zh-CN"/>
        </w:rPr>
        <w:t>民革四川省委会已建立财政性资金管理决策程序规定（试行）、差旅费管理办法、会议费管理办法、培训费管理办法、财务管理办法等相关财务制度，在工作中，各处室严格落实财务制度，遵守财务规定。分值</w:t>
      </w:r>
      <w:r>
        <w:rPr>
          <w:rFonts w:hint="default" w:ascii="Times New Roman" w:hAnsi="Times New Roman" w:eastAsia="仿宋_GB2312" w:cs="Times New Roman"/>
          <w:color w:val="000000"/>
          <w:kern w:val="0"/>
          <w:sz w:val="32"/>
          <w:szCs w:val="32"/>
          <w:highlight w:val="none"/>
          <w:shd w:val="clear" w:color="auto" w:fill="FFFFFF"/>
          <w:lang w:val="en-US" w:eastAsia="zh-CN"/>
        </w:rPr>
        <w:t>4分，</w:t>
      </w:r>
      <w:r>
        <w:rPr>
          <w:rFonts w:hint="default" w:ascii="Times New Roman" w:hAnsi="Times New Roman" w:eastAsia="仿宋_GB2312" w:cs="Times New Roman"/>
          <w:color w:val="000000"/>
          <w:kern w:val="0"/>
          <w:sz w:val="32"/>
          <w:szCs w:val="32"/>
          <w:highlight w:val="none"/>
          <w:shd w:val="clear" w:color="auto" w:fill="FFFFFF"/>
          <w:lang w:val="zh-CN"/>
        </w:rPr>
        <w:t>得分</w:t>
      </w:r>
      <w:r>
        <w:rPr>
          <w:rFonts w:hint="default" w:ascii="Times New Roman" w:hAnsi="Times New Roman" w:eastAsia="仿宋_GB2312" w:cs="Times New Roman"/>
          <w:color w:val="000000"/>
          <w:kern w:val="0"/>
          <w:sz w:val="32"/>
          <w:szCs w:val="32"/>
          <w:highlight w:val="none"/>
          <w:shd w:val="clear" w:color="auto" w:fill="FFFFFF"/>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shd w:val="clear" w:fill="FFFFFF"/>
          <w:lang w:val="en-US" w:eastAsia="zh-CN" w:bidi="ar-SA"/>
        </w:rPr>
        <w:t>（2）财务岗位设置。</w:t>
      </w:r>
      <w:r>
        <w:rPr>
          <w:rFonts w:hint="default" w:ascii="Times New Roman" w:hAnsi="Times New Roman" w:eastAsia="仿宋_GB2312" w:cs="Times New Roman"/>
          <w:color w:val="000000"/>
          <w:kern w:val="0"/>
          <w:sz w:val="32"/>
          <w:szCs w:val="32"/>
          <w:highlight w:val="none"/>
          <w:shd w:val="clear" w:color="auto" w:fill="FFFFFF"/>
          <w:lang w:val="zh-CN"/>
        </w:rPr>
        <w:t>民革四川省委会合理设置财务工作岗位，对出纳、会计等不相容岗位进行分离，明确各种职责权限，分值</w:t>
      </w:r>
      <w:r>
        <w:rPr>
          <w:rFonts w:hint="default" w:ascii="Times New Roman" w:hAnsi="Times New Roman" w:eastAsia="仿宋_GB2312" w:cs="Times New Roman"/>
          <w:color w:val="000000"/>
          <w:kern w:val="0"/>
          <w:sz w:val="32"/>
          <w:szCs w:val="32"/>
          <w:highlight w:val="none"/>
          <w:shd w:val="clear" w:color="auto" w:fill="FFFFFF"/>
          <w:lang w:val="en-US" w:eastAsia="zh-CN"/>
        </w:rPr>
        <w:t>2分，</w:t>
      </w:r>
      <w:r>
        <w:rPr>
          <w:rFonts w:hint="default" w:ascii="Times New Roman" w:hAnsi="Times New Roman" w:eastAsia="仿宋_GB2312" w:cs="Times New Roman"/>
          <w:color w:val="000000"/>
          <w:kern w:val="0"/>
          <w:sz w:val="32"/>
          <w:szCs w:val="32"/>
          <w:highlight w:val="none"/>
          <w:shd w:val="clear" w:color="auto" w:fill="FFFFFF"/>
          <w:lang w:val="zh-CN"/>
        </w:rPr>
        <w:t>得分</w:t>
      </w:r>
      <w:r>
        <w:rPr>
          <w:rFonts w:hint="default" w:ascii="Times New Roman" w:hAnsi="Times New Roman" w:eastAsia="仿宋_GB2312" w:cs="Times New Roman"/>
          <w:color w:val="000000"/>
          <w:kern w:val="0"/>
          <w:sz w:val="32"/>
          <w:szCs w:val="32"/>
          <w:highlight w:val="none"/>
          <w:shd w:val="clear" w:color="auto" w:fill="FFFFFF"/>
          <w:lang w:val="en-US" w:eastAsia="zh-CN"/>
        </w:rPr>
        <w:t>2分。</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资金使用规范。</w:t>
      </w:r>
      <w:r>
        <w:rPr>
          <w:rFonts w:hint="default" w:ascii="Times New Roman" w:hAnsi="Times New Roman" w:eastAsia="仿宋_GB2312" w:cs="Times New Roman"/>
          <w:color w:val="000000"/>
          <w:kern w:val="0"/>
          <w:sz w:val="32"/>
          <w:szCs w:val="32"/>
          <w:highlight w:val="none"/>
          <w:shd w:val="clear" w:color="auto" w:fill="FFFFFF"/>
          <w:lang w:val="zh-CN"/>
        </w:rPr>
        <w:t>民革四川省委会资金使用严格按照全年预算编制执行，依据本单位财务制度进行审批和报销。分值</w:t>
      </w:r>
      <w:r>
        <w:rPr>
          <w:rFonts w:hint="default" w:ascii="Times New Roman" w:hAnsi="Times New Roman" w:eastAsia="仿宋_GB2312" w:cs="Times New Roman"/>
          <w:color w:val="000000"/>
          <w:kern w:val="0"/>
          <w:sz w:val="32"/>
          <w:szCs w:val="32"/>
          <w:highlight w:val="none"/>
          <w:shd w:val="clear" w:color="auto" w:fill="FFFFFF"/>
          <w:lang w:val="en-US" w:eastAsia="zh-CN"/>
        </w:rPr>
        <w:t>4分，</w:t>
      </w:r>
      <w:r>
        <w:rPr>
          <w:rFonts w:hint="default" w:ascii="Times New Roman" w:hAnsi="Times New Roman" w:eastAsia="仿宋_GB2312" w:cs="Times New Roman"/>
          <w:color w:val="000000"/>
          <w:kern w:val="0"/>
          <w:sz w:val="32"/>
          <w:szCs w:val="32"/>
          <w:highlight w:val="none"/>
          <w:shd w:val="clear" w:color="auto" w:fill="FFFFFF"/>
          <w:lang w:val="zh-CN"/>
        </w:rPr>
        <w:t>得分</w:t>
      </w:r>
      <w:r>
        <w:rPr>
          <w:rFonts w:hint="default" w:ascii="Times New Roman" w:hAnsi="Times New Roman" w:eastAsia="仿宋_GB2312" w:cs="Times New Roman"/>
          <w:color w:val="000000"/>
          <w:kern w:val="0"/>
          <w:sz w:val="32"/>
          <w:szCs w:val="32"/>
          <w:highlight w:val="none"/>
          <w:shd w:val="clear" w:color="auto" w:fill="FFFFFF"/>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4.</w:t>
      </w:r>
      <w:r>
        <w:rPr>
          <w:rFonts w:hint="default" w:ascii="Times New Roman" w:hAnsi="Times New Roman" w:eastAsia="楷体_GB2312" w:cs="Times New Roman"/>
          <w:color w:val="000000"/>
          <w:kern w:val="0"/>
          <w:sz w:val="32"/>
          <w:szCs w:val="32"/>
          <w:highlight w:val="none"/>
          <w:shd w:val="clear" w:color="auto" w:fill="FFFFFF"/>
          <w:lang w:val="zh-CN"/>
        </w:rPr>
        <w:t>资产管理。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262626" w:themeColor="text1" w:themeTint="D9"/>
          <w:kern w:val="0"/>
          <w:sz w:val="32"/>
          <w:szCs w:val="32"/>
          <w:highlight w:val="none"/>
          <w:shd w:val="clear" w:color="auto" w:fill="FFFFFF"/>
          <w:lang w:val="en-US" w:eastAsia="zh-CN"/>
          <w14:textFill>
            <w14:solidFill>
              <w14:schemeClr w14:val="tx1">
                <w14:lumMod w14:val="85000"/>
                <w14:lumOff w14:val="15000"/>
              </w14:schemeClr>
            </w14:solidFill>
          </w14:textFill>
        </w:rPr>
      </w:pPr>
      <w:r>
        <w:rPr>
          <w:rFonts w:hint="default" w:ascii="Times New Roman" w:hAnsi="Times New Roman" w:eastAsia="仿宋_GB2312" w:cs="Times New Roman"/>
          <w:color w:val="262626" w:themeColor="text1" w:themeTint="D9"/>
          <w:kern w:val="0"/>
          <w:sz w:val="32"/>
          <w:szCs w:val="32"/>
          <w:highlight w:val="none"/>
          <w:shd w:val="clear" w:color="auto" w:fill="FFFFFF"/>
          <w:lang w:val="zh-CN"/>
          <w14:textFill>
            <w14:solidFill>
              <w14:schemeClr w14:val="tx1">
                <w14:lumMod w14:val="85000"/>
                <w14:lumOff w14:val="15000"/>
              </w14:schemeClr>
            </w14:solidFill>
          </w14:textFill>
        </w:rPr>
        <w:t>（</w:t>
      </w:r>
      <w:r>
        <w:rPr>
          <w:rFonts w:hint="default" w:ascii="Times New Roman" w:hAnsi="Times New Roman" w:eastAsia="仿宋_GB2312" w:cs="Times New Roman"/>
          <w:color w:val="262626" w:themeColor="text1" w:themeTint="D9"/>
          <w:kern w:val="0"/>
          <w:sz w:val="32"/>
          <w:szCs w:val="32"/>
          <w:highlight w:val="none"/>
          <w:shd w:val="clear" w:color="auto" w:fill="FFFFFF"/>
          <w:lang w:val="en-US" w:eastAsia="zh-CN"/>
          <w14:textFill>
            <w14:solidFill>
              <w14:schemeClr w14:val="tx1">
                <w14:lumMod w14:val="85000"/>
                <w14:lumOff w14:val="15000"/>
              </w14:schemeClr>
            </w14:solidFill>
          </w14:textFill>
        </w:rPr>
        <w:t>1</w:t>
      </w:r>
      <w:r>
        <w:rPr>
          <w:rFonts w:hint="default" w:ascii="Times New Roman" w:hAnsi="Times New Roman" w:eastAsia="仿宋_GB2312" w:cs="Times New Roman"/>
          <w:color w:val="262626" w:themeColor="text1" w:themeTint="D9"/>
          <w:kern w:val="0"/>
          <w:sz w:val="32"/>
          <w:szCs w:val="32"/>
          <w:highlight w:val="none"/>
          <w:shd w:val="clear" w:color="auto" w:fill="FFFFFF"/>
          <w:lang w:val="zh-CN"/>
          <w14:textFill>
            <w14:solidFill>
              <w14:schemeClr w14:val="tx1">
                <w14:lumMod w14:val="85000"/>
                <w14:lumOff w14:val="15000"/>
              </w14:schemeClr>
            </w14:solidFill>
          </w14:textFill>
        </w:rPr>
        <w:t>）人均资产变化率</w:t>
      </w:r>
      <w:r>
        <w:rPr>
          <w:rFonts w:hint="default" w:ascii="Times New Roman" w:hAnsi="Times New Roman" w:eastAsia="仿宋_GB2312" w:cs="Times New Roman"/>
          <w:color w:val="262626" w:themeColor="text1" w:themeTint="D9"/>
          <w:kern w:val="0"/>
          <w:sz w:val="32"/>
          <w:szCs w:val="32"/>
          <w:highlight w:val="none"/>
          <w:shd w:val="clear" w:color="auto" w:fill="FFFFFF"/>
          <w:lang w:val="zh-CN" w:eastAsia="zh-CN"/>
          <w14:textFill>
            <w14:solidFill>
              <w14:schemeClr w14:val="tx1">
                <w14:lumMod w14:val="85000"/>
                <w14:lumOff w14:val="15000"/>
              </w14:schemeClr>
            </w14:solidFill>
          </w14:textFill>
        </w:rPr>
        <w:t>。民革四川省委会</w:t>
      </w:r>
      <w:r>
        <w:rPr>
          <w:rFonts w:hint="default" w:ascii="Times New Roman" w:hAnsi="Times New Roman" w:eastAsia="仿宋_GB2312" w:cs="Times New Roman"/>
          <w:color w:val="262626" w:themeColor="text1" w:themeTint="D9"/>
          <w:kern w:val="0"/>
          <w:sz w:val="32"/>
          <w:szCs w:val="32"/>
          <w:highlight w:val="none"/>
          <w:shd w:val="clear" w:color="auto" w:fill="FFFFFF"/>
          <w:lang w:val="en-US" w:eastAsia="zh-CN"/>
          <w14:textFill>
            <w14:solidFill>
              <w14:schemeClr w14:val="tx1">
                <w14:lumMod w14:val="85000"/>
                <w14:lumOff w14:val="15000"/>
              </w14:schemeClr>
            </w14:solidFill>
          </w14:textFill>
        </w:rPr>
        <w:t>2023年度人均资产变化率-1.21%，分值1.5分，得分1.5分，人均资产增长率-1%，分值1.5分，得分1.5分。共计3分。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262626" w:themeColor="text1" w:themeTint="D9"/>
          <w:kern w:val="0"/>
          <w:sz w:val="32"/>
          <w:szCs w:val="32"/>
          <w:highlight w:val="none"/>
          <w:shd w:val="clear" w:color="auto" w:fill="FFFFFF"/>
          <w:lang w:val="en-US" w:eastAsia="zh-CN"/>
          <w14:textFill>
            <w14:solidFill>
              <w14:schemeClr w14:val="tx1">
                <w14:lumMod w14:val="85000"/>
                <w14:lumOff w14:val="15000"/>
              </w14:schemeClr>
            </w14:solidFill>
          </w14:textFill>
        </w:rPr>
      </w:pP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）资产</w:t>
      </w:r>
      <w:r>
        <w:rPr>
          <w:rFonts w:hint="default" w:ascii="Times New Roman" w:hAnsi="Times New Roman" w:eastAsia="仿宋_GB2312" w:cs="Times New Roman"/>
          <w:color w:val="262626" w:themeColor="text1" w:themeTint="D9"/>
          <w:kern w:val="0"/>
          <w:sz w:val="32"/>
          <w:szCs w:val="32"/>
          <w:highlight w:val="none"/>
          <w:shd w:val="clear" w:color="auto" w:fill="FFFFFF"/>
          <w:lang w:val="zh-CN"/>
          <w14:textFill>
            <w14:solidFill>
              <w14:schemeClr w14:val="tx1">
                <w14:lumMod w14:val="85000"/>
                <w14:lumOff w14:val="15000"/>
              </w14:schemeClr>
            </w14:solidFill>
          </w14:textFill>
        </w:rPr>
        <w:t>利用率。民革四川省委会</w:t>
      </w:r>
      <w:r>
        <w:rPr>
          <w:rFonts w:hint="default" w:ascii="Times New Roman" w:hAnsi="Times New Roman" w:eastAsia="仿宋_GB2312" w:cs="Times New Roman"/>
          <w:color w:val="262626" w:themeColor="text1" w:themeTint="D9"/>
          <w:kern w:val="0"/>
          <w:sz w:val="32"/>
          <w:szCs w:val="32"/>
          <w:highlight w:val="none"/>
          <w:shd w:val="clear" w:color="auto" w:fill="FFFFFF"/>
          <w:lang w:val="en-US" w:eastAsia="zh-CN"/>
          <w14:textFill>
            <w14:solidFill>
              <w14:schemeClr w14:val="tx1">
                <w14:lumMod w14:val="85000"/>
                <w14:lumOff w14:val="15000"/>
              </w14:schemeClr>
            </w14:solidFill>
          </w14:textFill>
        </w:rPr>
        <w:t>2023年度</w:t>
      </w:r>
      <w:r>
        <w:rPr>
          <w:rFonts w:hint="default" w:ascii="Times New Roman" w:hAnsi="Times New Roman" w:eastAsia="仿宋_GB2312" w:cs="Times New Roman"/>
          <w:color w:val="262626" w:themeColor="text1" w:themeTint="D9"/>
          <w:kern w:val="0"/>
          <w:sz w:val="32"/>
          <w:szCs w:val="32"/>
          <w:highlight w:val="none"/>
          <w:shd w:val="clear" w:color="auto" w:fill="FFFFFF"/>
          <w:lang w:val="zh-CN"/>
          <w14:textFill>
            <w14:solidFill>
              <w14:schemeClr w14:val="tx1">
                <w14:lumMod w14:val="85000"/>
                <w14:lumOff w14:val="15000"/>
              </w14:schemeClr>
            </w14:solidFill>
          </w14:textFill>
        </w:rPr>
        <w:t>办公家具超最低使用年限资产利用率</w:t>
      </w:r>
      <w:r>
        <w:rPr>
          <w:rFonts w:hint="default" w:ascii="Times New Roman" w:hAnsi="Times New Roman" w:eastAsia="仿宋_GB2312" w:cs="Times New Roman"/>
          <w:color w:val="262626" w:themeColor="text1" w:themeTint="D9"/>
          <w:kern w:val="0"/>
          <w:sz w:val="32"/>
          <w:szCs w:val="32"/>
          <w:highlight w:val="none"/>
          <w:shd w:val="clear" w:color="auto" w:fill="FFFFFF"/>
          <w:lang w:val="en-US" w:eastAsia="zh-CN"/>
          <w14:textFill>
            <w14:solidFill>
              <w14:schemeClr w14:val="tx1">
                <w14:lumMod w14:val="85000"/>
                <w14:lumOff w14:val="15000"/>
              </w14:schemeClr>
            </w14:solidFill>
          </w14:textFill>
        </w:rPr>
        <w:t>7%，分值1.5分，得分0.3分，</w:t>
      </w:r>
      <w:r>
        <w:rPr>
          <w:rFonts w:hint="default" w:ascii="Times New Roman" w:hAnsi="Times New Roman" w:eastAsia="仿宋_GB2312" w:cs="Times New Roman"/>
          <w:color w:val="262626" w:themeColor="text1" w:themeTint="D9"/>
          <w:kern w:val="0"/>
          <w:sz w:val="32"/>
          <w:szCs w:val="32"/>
          <w:highlight w:val="none"/>
          <w:shd w:val="clear" w:color="auto" w:fill="FFFFFF"/>
          <w:lang w:val="zh-CN"/>
          <w14:textFill>
            <w14:solidFill>
              <w14:schemeClr w14:val="tx1">
                <w14:lumMod w14:val="85000"/>
                <w14:lumOff w14:val="15000"/>
              </w14:schemeClr>
            </w14:solidFill>
          </w14:textFill>
        </w:rPr>
        <w:t>办公设备超最低使用年限资产利用率</w:t>
      </w:r>
      <w:r>
        <w:rPr>
          <w:rFonts w:hint="default" w:ascii="Times New Roman" w:hAnsi="Times New Roman" w:eastAsia="仿宋_GB2312" w:cs="Times New Roman"/>
          <w:color w:val="262626" w:themeColor="text1" w:themeTint="D9"/>
          <w:kern w:val="0"/>
          <w:sz w:val="32"/>
          <w:szCs w:val="32"/>
          <w:highlight w:val="none"/>
          <w:shd w:val="clear" w:color="auto" w:fill="FFFFFF"/>
          <w:lang w:val="en-US" w:eastAsia="zh-CN"/>
          <w14:textFill>
            <w14:solidFill>
              <w14:schemeClr w14:val="tx1">
                <w14:lumMod w14:val="85000"/>
                <w14:lumOff w14:val="15000"/>
              </w14:schemeClr>
            </w14:solidFill>
          </w14:textFill>
        </w:rPr>
        <w:t>45%，分值1.5分，得分1.5分。共计1.8分。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）资产盘活率。民革四川省委会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无闲置资产。分值3分，得分3分。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5.</w:t>
      </w:r>
      <w:r>
        <w:rPr>
          <w:rFonts w:hint="default" w:ascii="Times New Roman" w:hAnsi="Times New Roman" w:eastAsia="楷体_GB2312" w:cs="Times New Roman"/>
          <w:color w:val="000000"/>
          <w:kern w:val="0"/>
          <w:sz w:val="32"/>
          <w:szCs w:val="32"/>
          <w:highlight w:val="none"/>
          <w:shd w:val="clear" w:color="auto" w:fill="FFFFFF"/>
          <w:lang w:val="zh-CN"/>
        </w:rPr>
        <w:t>采购管理。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rPr>
        <w:t>）支持中小企业发展。民革四川省委会严格执行政府采购促进中小企业发展相关管理办法，并在</w:t>
      </w:r>
      <w:r>
        <w:rPr>
          <w:rFonts w:hint="default" w:ascii="Times New Roman" w:hAnsi="Times New Roman" w:eastAsia="仿宋_GB2312" w:cs="Times New Roman"/>
          <w:color w:val="000000"/>
          <w:kern w:val="0"/>
          <w:sz w:val="32"/>
          <w:szCs w:val="32"/>
          <w:highlight w:val="none"/>
          <w:shd w:val="clear" w:color="auto" w:fill="FFFFFF"/>
          <w:lang w:val="en-US" w:eastAsia="zh-CN"/>
        </w:rPr>
        <w:t>2023年度</w:t>
      </w:r>
      <w:r>
        <w:rPr>
          <w:rFonts w:hint="default" w:ascii="Times New Roman" w:hAnsi="Times New Roman" w:eastAsia="仿宋_GB2312" w:cs="Times New Roman"/>
          <w:color w:val="000000"/>
          <w:kern w:val="0"/>
          <w:sz w:val="32"/>
          <w:szCs w:val="32"/>
          <w:highlight w:val="none"/>
          <w:shd w:val="clear" w:color="auto" w:fill="FFFFFF"/>
          <w:lang w:val="zh-CN"/>
        </w:rPr>
        <w:t>采购预算中单独列示。分值</w:t>
      </w:r>
      <w:r>
        <w:rPr>
          <w:rFonts w:hint="default" w:ascii="Times New Roman" w:hAnsi="Times New Roman" w:eastAsia="仿宋_GB2312" w:cs="Times New Roman"/>
          <w:color w:val="000000"/>
          <w:kern w:val="0"/>
          <w:sz w:val="32"/>
          <w:szCs w:val="32"/>
          <w:highlight w:val="none"/>
          <w:shd w:val="clear" w:color="auto" w:fill="FFFFFF"/>
          <w:lang w:val="en-US" w:eastAsia="zh-CN"/>
        </w:rPr>
        <w:t>3分，得分3分。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（2）采购执行率。民革四川省委会2023年度政府采购总预算16.22万元，实际支付总额16.11万元，已完成采购项目节约金额0.11万元。分值3分，得分3分。</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3"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158.5</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default" w:ascii="Times New Roman" w:hAnsi="Times New Roman" w:eastAsia="仿宋_GB2312" w:cs="Times New Roman"/>
          <w:color w:val="000000"/>
          <w:kern w:val="0"/>
          <w:sz w:val="32"/>
          <w:szCs w:val="32"/>
          <w:highlight w:val="none"/>
          <w:shd w:val="clear" w:color="auto" w:fill="FFFFFF"/>
          <w:lang w:val="en-US" w:eastAsia="zh-CN"/>
        </w:rPr>
        <w:t>9</w:t>
      </w:r>
      <w:r>
        <w:rPr>
          <w:rFonts w:hint="eastAsia" w:ascii="Times New Roman" w:hAnsi="Times New Roman" w:eastAsia="仿宋_GB2312" w:cs="Times New Roman"/>
          <w:color w:val="000000"/>
          <w:kern w:val="0"/>
          <w:sz w:val="32"/>
          <w:szCs w:val="32"/>
          <w:highlight w:val="none"/>
          <w:shd w:val="clear" w:color="auto" w:fill="FFFFFF"/>
          <w:lang w:val="en-US" w:eastAsia="zh-CN"/>
        </w:rPr>
        <w:t>9.94</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阶段（一次性）项目绩效分析。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default"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default"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项目决策。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rPr>
        <w:t>）决策程序。民革四川省委会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2023年度阶段项目（含一次性项目）1个，为离退休省级干部参观考察经费，金额2万元，不满足事前绩效评估条件，可不进行事前绩效评估。分值4分，得分4分。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目标设置</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2023年度部门预算项目绩效目标与计划内的任务量、预算安排的资金量相匹配，绩效目标设置科学合理、规范完整、量化细化、预算匹配。分值4分，得分4分。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项目入库。民革四川省委会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2023年度部门预算阶段项目（含一次性项目）按规定时间在2023年9月30日前入库。分值4分，得分4分。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default" w:ascii="Times New Roman" w:hAnsi="Times New Roman" w:eastAsia="楷体_GB2312" w:cs="Times New Roman"/>
          <w:color w:val="000000"/>
          <w:kern w:val="0"/>
          <w:sz w:val="32"/>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rPr>
        <w:t>）执行同向</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2023年度部门预算实际列支内容与绩效目标设置相符。分值4分，得分4分。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）项目调整</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民革四川省委会根据资金实际使用情况对</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2023年度预算进行年中调整调剂。分值4分，得分4分。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（3）执行结果。</w:t>
      </w:r>
      <w:r>
        <w:rPr>
          <w:rFonts w:hint="default" w:ascii="Times New Roman" w:hAnsi="Times New Roman" w:eastAsia="仿宋_GB2312" w:cs="Times New Roman"/>
          <w:color w:val="000000"/>
          <w:kern w:val="0"/>
          <w:sz w:val="32"/>
          <w:szCs w:val="32"/>
          <w:highlight w:val="none"/>
          <w:shd w:val="clear" w:color="auto" w:fill="FFFFFF"/>
          <w:lang w:val="zh-CN"/>
        </w:rPr>
        <w:t>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2023年度部门预算常年项目</w:t>
      </w: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个，预算结余率小于10%的项目</w:t>
      </w:r>
      <w:r>
        <w:rPr>
          <w:rFonts w:hint="eastAsia"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个，阶段项目（含一次性项目）1个，预算结余率小于10%的项目1个。分值4分，得分4分。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目标实现。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color w:val="000000"/>
          <w:kern w:val="0"/>
          <w:sz w:val="32"/>
          <w:szCs w:val="32"/>
          <w:highlight w:val="none"/>
          <w:shd w:val="clear" w:color="auto" w:fill="FFFFFF"/>
          <w:lang w:val="zh-CN"/>
        </w:rPr>
        <w:t>（</w:t>
      </w: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目标完成</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2023年度部门预算项目绩效目标</w:t>
      </w:r>
      <w:r>
        <w:rPr>
          <w:rFonts w:hint="eastAsia" w:ascii="Times New Roman" w:hAnsi="Times New Roman" w:eastAsia="仿宋_GB2312" w:cs="Times New Roman"/>
          <w:color w:val="000000"/>
          <w:kern w:val="0"/>
          <w:sz w:val="32"/>
          <w:szCs w:val="32"/>
          <w:highlight w:val="none"/>
          <w:shd w:val="clear" w:color="auto" w:fill="FFFFFF"/>
          <w:lang w:val="en-US" w:eastAsia="zh-CN"/>
        </w:rPr>
        <w:t>完成情况良好</w:t>
      </w:r>
      <w:r>
        <w:rPr>
          <w:rFonts w:hint="default" w:ascii="Times New Roman" w:hAnsi="Times New Roman" w:eastAsia="仿宋_GB2312" w:cs="Times New Roman"/>
          <w:color w:val="000000"/>
          <w:kern w:val="0"/>
          <w:sz w:val="32"/>
          <w:szCs w:val="32"/>
          <w:highlight w:val="none"/>
          <w:shd w:val="clear" w:color="auto" w:fill="FFFFFF"/>
          <w:lang w:val="en-US" w:eastAsia="zh-CN"/>
        </w:rPr>
        <w:t>。分值4分，得分4分。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）目标偏离</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2023年度部门预算项目绩效目标数量指标</w:t>
      </w:r>
      <w:r>
        <w:rPr>
          <w:rFonts w:hint="eastAsia" w:ascii="Times New Roman" w:hAnsi="Times New Roman" w:eastAsia="仿宋_GB2312" w:cs="Times New Roman"/>
          <w:color w:val="000000"/>
          <w:kern w:val="0"/>
          <w:sz w:val="32"/>
          <w:szCs w:val="32"/>
          <w:highlight w:val="none"/>
          <w:shd w:val="clear" w:color="auto" w:fill="FFFFFF"/>
          <w:lang w:val="en-US" w:eastAsia="zh-CN"/>
        </w:rPr>
        <w:t>4个，超过</w:t>
      </w:r>
      <w:r>
        <w:rPr>
          <w:rFonts w:hint="default" w:ascii="Times New Roman" w:hAnsi="Times New Roman" w:eastAsia="仿宋_GB2312" w:cs="Times New Roman"/>
          <w:color w:val="000000"/>
          <w:kern w:val="0"/>
          <w:sz w:val="32"/>
          <w:szCs w:val="32"/>
          <w:highlight w:val="none"/>
          <w:shd w:val="clear" w:color="auto" w:fill="FFFFFF"/>
          <w:lang w:val="en-US" w:eastAsia="zh-CN"/>
        </w:rPr>
        <w:t>预期目标偏离度30%</w:t>
      </w:r>
      <w:r>
        <w:rPr>
          <w:rFonts w:hint="eastAsia" w:ascii="Times New Roman" w:hAnsi="Times New Roman" w:eastAsia="仿宋_GB2312" w:cs="Times New Roman"/>
          <w:color w:val="000000"/>
          <w:kern w:val="0"/>
          <w:sz w:val="32"/>
          <w:szCs w:val="32"/>
          <w:highlight w:val="none"/>
          <w:shd w:val="clear" w:color="auto" w:fill="FFFFFF"/>
          <w:lang w:val="en-US" w:eastAsia="zh-CN"/>
        </w:rPr>
        <w:t>的2个</w:t>
      </w:r>
      <w:r>
        <w:rPr>
          <w:rFonts w:hint="default" w:ascii="Times New Roman" w:hAnsi="Times New Roman" w:eastAsia="仿宋_GB2312" w:cs="Times New Roman"/>
          <w:color w:val="000000"/>
          <w:kern w:val="0"/>
          <w:sz w:val="32"/>
          <w:szCs w:val="32"/>
          <w:highlight w:val="none"/>
          <w:shd w:val="clear" w:color="auto" w:fill="FFFFFF"/>
          <w:lang w:val="en-US" w:eastAsia="zh-CN"/>
        </w:rPr>
        <w:t>。分值4分，得分</w:t>
      </w:r>
      <w:r>
        <w:rPr>
          <w:rFonts w:hint="eastAsia"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sz w:val="32"/>
          <w:lang w:val="en-US"/>
        </w:rPr>
      </w:pPr>
      <w:r>
        <w:rPr>
          <w:rFonts w:hint="eastAsia" w:ascii="Times New Roman" w:hAnsi="Times New Roman" w:eastAsia="仿宋_GB2312" w:cs="Times New Roman"/>
          <w:color w:val="000000"/>
          <w:kern w:val="0"/>
          <w:sz w:val="32"/>
          <w:szCs w:val="32"/>
          <w:highlight w:val="none"/>
          <w:shd w:val="clear" w:color="auto" w:fill="FFFFFF"/>
          <w:lang w:val="en-US" w:eastAsia="zh-CN"/>
        </w:rPr>
        <w:t>（3）实现效果。</w:t>
      </w:r>
      <w:r>
        <w:rPr>
          <w:rFonts w:hint="default" w:ascii="Times New Roman" w:hAnsi="Times New Roman" w:eastAsia="仿宋_GB2312" w:cs="Times New Roman"/>
          <w:color w:val="000000"/>
          <w:kern w:val="0"/>
          <w:sz w:val="32"/>
          <w:szCs w:val="32"/>
          <w:highlight w:val="none"/>
          <w:shd w:val="clear" w:color="auto" w:fill="FFFFFF"/>
          <w:lang w:val="zh-CN"/>
        </w:rPr>
        <w:t>民革四川省委会</w:t>
      </w:r>
      <w:r>
        <w:rPr>
          <w:rFonts w:hint="default" w:ascii="Times New Roman" w:hAnsi="Times New Roman" w:eastAsia="仿宋_GB2312" w:cs="Times New Roman"/>
          <w:color w:val="000000"/>
          <w:kern w:val="0"/>
          <w:sz w:val="32"/>
          <w:szCs w:val="32"/>
          <w:highlight w:val="none"/>
          <w:shd w:val="clear" w:color="auto" w:fill="FFFFFF"/>
          <w:lang w:val="en-US" w:eastAsia="zh-CN"/>
        </w:rPr>
        <w:t>2023年度阶段项目（含一次性项目）</w:t>
      </w:r>
      <w:r>
        <w:rPr>
          <w:rFonts w:hint="eastAsia" w:ascii="Times New Roman" w:hAnsi="Times New Roman" w:eastAsia="仿宋_GB2312" w:cs="Times New Roman"/>
          <w:color w:val="000000"/>
          <w:kern w:val="0"/>
          <w:sz w:val="32"/>
          <w:szCs w:val="32"/>
          <w:highlight w:val="none"/>
          <w:shd w:val="clear" w:color="auto" w:fill="FFFFFF"/>
          <w:lang w:val="en-US" w:eastAsia="zh-CN"/>
        </w:rPr>
        <w:t>1个，完成绩效目标效益指标。</w:t>
      </w:r>
      <w:r>
        <w:rPr>
          <w:rFonts w:hint="default" w:ascii="Times New Roman" w:hAnsi="Times New Roman" w:eastAsia="仿宋_GB2312" w:cs="Times New Roman"/>
          <w:color w:val="000000"/>
          <w:kern w:val="0"/>
          <w:sz w:val="32"/>
          <w:szCs w:val="32"/>
          <w:highlight w:val="none"/>
          <w:shd w:val="clear" w:color="auto" w:fill="FFFFFF"/>
          <w:lang w:val="en-US" w:eastAsia="zh-CN"/>
        </w:rPr>
        <w:t>分值</w:t>
      </w:r>
      <w:r>
        <w:rPr>
          <w:rFonts w:hint="eastAsia"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en-US" w:eastAsia="zh-CN"/>
        </w:rPr>
        <w:t>分，得分</w:t>
      </w:r>
      <w:r>
        <w:rPr>
          <w:rFonts w:hint="eastAsia"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en-US" w:eastAsia="zh-CN"/>
        </w:rPr>
        <w:t>分。</w:t>
      </w:r>
    </w:p>
    <w:p>
      <w:pPr>
        <w:keepNext w:val="0"/>
        <w:keepLines w:val="0"/>
        <w:pageBreakBefore w:val="0"/>
        <w:numPr>
          <w:ilvl w:val="0"/>
          <w:numId w:val="5"/>
        </w:numPr>
        <w:kinsoku/>
        <w:wordWrap/>
        <w:overflowPunct/>
        <w:topLinePunct w:val="0"/>
        <w:autoSpaceDE/>
        <w:autoSpaceDN/>
        <w:bidi w:val="0"/>
        <w:spacing w:line="600" w:lineRule="exact"/>
        <w:ind w:leftChars="0" w:firstLine="643"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民革四川省委</w:t>
      </w:r>
      <w:r>
        <w:rPr>
          <w:rFonts w:hint="default" w:ascii="Times New Roman" w:hAnsi="Times New Roman" w:eastAsia="仿宋_GB2312" w:cs="Times New Roman"/>
          <w:color w:val="000000"/>
          <w:kern w:val="0"/>
          <w:sz w:val="32"/>
          <w:szCs w:val="32"/>
          <w:highlight w:val="none"/>
          <w:shd w:val="clear" w:color="auto" w:fill="FFFFFF"/>
          <w:lang w:val="zh-CN" w:eastAsia="zh-CN"/>
        </w:rPr>
        <w:t>会</w:t>
      </w: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年度政府采购全年预算数</w:t>
      </w:r>
      <w:r>
        <w:rPr>
          <w:rFonts w:hint="default" w:ascii="Times New Roman" w:hAnsi="Times New Roman" w:eastAsia="仿宋_GB2312" w:cs="Times New Roman"/>
          <w:color w:val="000000"/>
          <w:kern w:val="0"/>
          <w:sz w:val="32"/>
          <w:szCs w:val="32"/>
          <w:highlight w:val="none"/>
          <w:shd w:val="clear" w:color="auto" w:fill="FFFFFF"/>
          <w:lang w:val="en-US" w:eastAsia="zh-CN"/>
        </w:rPr>
        <w:t>16.22万元，</w:t>
      </w:r>
      <w:r>
        <w:rPr>
          <w:rFonts w:hint="default" w:ascii="Times New Roman" w:hAnsi="Times New Roman" w:eastAsia="仿宋_GB2312" w:cs="Times New Roman"/>
          <w:color w:val="000000"/>
          <w:kern w:val="0"/>
          <w:sz w:val="32"/>
          <w:szCs w:val="32"/>
          <w:highlight w:val="none"/>
          <w:shd w:val="clear" w:color="auto" w:fill="FFFFFF"/>
          <w:lang w:val="zh-CN"/>
        </w:rPr>
        <w:t>预算执行数</w:t>
      </w:r>
      <w:r>
        <w:rPr>
          <w:rFonts w:hint="default" w:ascii="Times New Roman" w:hAnsi="Times New Roman" w:eastAsia="仿宋_GB2312" w:cs="Times New Roman"/>
          <w:color w:val="000000"/>
          <w:kern w:val="0"/>
          <w:sz w:val="32"/>
          <w:szCs w:val="32"/>
          <w:highlight w:val="none"/>
          <w:shd w:val="clear" w:color="auto" w:fill="FFFFFF"/>
          <w:lang w:val="en-US" w:eastAsia="zh-CN"/>
        </w:rPr>
        <w:t>16.11</w:t>
      </w:r>
      <w:r>
        <w:rPr>
          <w:rFonts w:hint="default" w:ascii="Times New Roman" w:hAnsi="Times New Roman" w:eastAsia="仿宋_GB2312" w:cs="Times New Roman"/>
          <w:color w:val="000000"/>
          <w:kern w:val="0"/>
          <w:sz w:val="32"/>
          <w:szCs w:val="32"/>
          <w:highlight w:val="none"/>
          <w:shd w:val="clear" w:color="auto" w:fill="FFFFFF"/>
          <w:lang w:val="zh-CN"/>
        </w:rPr>
        <w:t>万元，其中：采购货物支出</w:t>
      </w:r>
      <w:r>
        <w:rPr>
          <w:rFonts w:hint="default" w:ascii="Times New Roman" w:hAnsi="Times New Roman" w:eastAsia="仿宋_GB2312" w:cs="Times New Roman"/>
          <w:color w:val="000000"/>
          <w:kern w:val="0"/>
          <w:sz w:val="32"/>
          <w:szCs w:val="32"/>
          <w:highlight w:val="none"/>
          <w:shd w:val="clear" w:color="auto" w:fill="FFFFFF"/>
          <w:lang w:val="en-US" w:eastAsia="zh-CN"/>
        </w:rPr>
        <w:t>7.59</w:t>
      </w:r>
      <w:r>
        <w:rPr>
          <w:rFonts w:hint="default" w:ascii="Times New Roman" w:hAnsi="Times New Roman" w:eastAsia="仿宋_GB2312" w:cs="Times New Roman"/>
          <w:color w:val="000000"/>
          <w:kern w:val="0"/>
          <w:sz w:val="32"/>
          <w:szCs w:val="32"/>
          <w:highlight w:val="none"/>
          <w:shd w:val="clear" w:color="auto" w:fill="FFFFFF"/>
          <w:lang w:val="zh-CN"/>
        </w:rPr>
        <w:t>万元、采购服务支出</w:t>
      </w:r>
      <w:r>
        <w:rPr>
          <w:rFonts w:hint="default" w:ascii="Times New Roman" w:hAnsi="Times New Roman" w:eastAsia="仿宋_GB2312" w:cs="Times New Roman"/>
          <w:color w:val="000000"/>
          <w:kern w:val="0"/>
          <w:sz w:val="32"/>
          <w:szCs w:val="32"/>
          <w:highlight w:val="none"/>
          <w:shd w:val="clear" w:color="auto" w:fill="FFFFFF"/>
          <w:lang w:val="en-US" w:eastAsia="zh-CN"/>
        </w:rPr>
        <w:t>8.52</w:t>
      </w:r>
      <w:r>
        <w:rPr>
          <w:rFonts w:hint="default" w:ascii="Times New Roman" w:hAnsi="Times New Roman" w:eastAsia="仿宋_GB2312" w:cs="Times New Roman"/>
          <w:color w:val="000000"/>
          <w:kern w:val="0"/>
          <w:sz w:val="32"/>
          <w:szCs w:val="32"/>
          <w:highlight w:val="none"/>
          <w:shd w:val="clear" w:color="auto" w:fill="FFFFFF"/>
          <w:lang w:val="zh-CN"/>
        </w:rPr>
        <w:t>万元，预算执行率</w:t>
      </w:r>
      <w:r>
        <w:rPr>
          <w:rFonts w:hint="default" w:ascii="Times New Roman" w:hAnsi="Times New Roman" w:eastAsia="仿宋_GB2312" w:cs="Times New Roman"/>
          <w:color w:val="000000"/>
          <w:kern w:val="0"/>
          <w:sz w:val="32"/>
          <w:szCs w:val="32"/>
          <w:highlight w:val="none"/>
          <w:shd w:val="clear" w:color="auto" w:fill="FFFFFF"/>
          <w:lang w:val="en-US" w:eastAsia="zh-CN"/>
        </w:rPr>
        <w:t>99.32%，完成情况良好。</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3" w:firstLineChars="200"/>
        <w:contextualSpacing/>
        <w:jc w:val="both"/>
        <w:textAlignment w:val="auto"/>
        <w:rPr>
          <w:rFonts w:hint="default" w:ascii="Times New Roman" w:hAnsi="Times New Roman" w:eastAsia="楷体_GB2312" w:cs="Times New Roman"/>
          <w:b/>
          <w:bCs/>
          <w:sz w:val="32"/>
          <w:szCs w:val="32"/>
          <w:lang w:val="zh-CN"/>
        </w:rPr>
      </w:pPr>
      <w:r>
        <w:rPr>
          <w:rFonts w:hint="default" w:ascii="Times New Roman" w:hAnsi="Times New Roman" w:eastAsia="楷体_GB2312" w:cs="Times New Roman"/>
          <w:b/>
          <w:bCs/>
          <w:sz w:val="32"/>
          <w:szCs w:val="32"/>
          <w:lang w:val="zh-CN"/>
        </w:rPr>
        <w:t>（四）绩效结果应用情况。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1.内部应用</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为确保部门绩效和预算目标的一致性，提高部门的工作效率和绩效水平，为</w:t>
      </w:r>
      <w:r>
        <w:rPr>
          <w:rFonts w:hint="default" w:ascii="Times New Roman" w:hAnsi="Times New Roman" w:eastAsia="仿宋_GB2312" w:cs="Times New Roman"/>
          <w:color w:val="000000"/>
          <w:kern w:val="0"/>
          <w:sz w:val="32"/>
          <w:szCs w:val="32"/>
          <w:highlight w:val="none"/>
          <w:shd w:val="clear" w:color="auto" w:fill="FFFFFF"/>
          <w:lang w:val="en-US" w:eastAsia="zh-CN"/>
        </w:rPr>
        <w:t>组织建设、</w:t>
      </w:r>
      <w:r>
        <w:rPr>
          <w:rFonts w:hint="default" w:ascii="Times New Roman" w:hAnsi="Times New Roman" w:eastAsia="仿宋_GB2312" w:cs="Times New Roman"/>
          <w:color w:val="000000"/>
          <w:kern w:val="0"/>
          <w:sz w:val="32"/>
          <w:szCs w:val="32"/>
          <w:highlight w:val="none"/>
          <w:shd w:val="clear" w:color="auto" w:fill="FFFFFF"/>
          <w:lang w:val="zh-CN"/>
        </w:rPr>
        <w:t>参政议政、</w:t>
      </w:r>
      <w:r>
        <w:rPr>
          <w:rFonts w:hint="default" w:ascii="Times New Roman" w:hAnsi="Times New Roman" w:eastAsia="仿宋_GB2312" w:cs="Times New Roman"/>
          <w:color w:val="000000"/>
          <w:kern w:val="0"/>
          <w:sz w:val="32"/>
          <w:szCs w:val="32"/>
          <w:highlight w:val="none"/>
          <w:shd w:val="clear" w:color="auto" w:fill="FFFFFF"/>
          <w:lang w:val="en-US" w:eastAsia="zh-CN"/>
        </w:rPr>
        <w:t>社会服务</w:t>
      </w:r>
      <w:r>
        <w:rPr>
          <w:rFonts w:hint="default" w:ascii="Times New Roman" w:hAnsi="Times New Roman" w:eastAsia="仿宋_GB2312" w:cs="Times New Roman"/>
          <w:color w:val="000000"/>
          <w:kern w:val="0"/>
          <w:sz w:val="32"/>
          <w:szCs w:val="32"/>
          <w:highlight w:val="none"/>
          <w:shd w:val="clear" w:color="auto" w:fill="FFFFFF"/>
          <w:lang w:val="zh-CN"/>
        </w:rPr>
        <w:t>和</w:t>
      </w:r>
      <w:r>
        <w:rPr>
          <w:rFonts w:hint="default" w:ascii="Times New Roman" w:hAnsi="Times New Roman" w:eastAsia="仿宋_GB2312" w:cs="Times New Roman"/>
          <w:color w:val="000000"/>
          <w:kern w:val="0"/>
          <w:sz w:val="32"/>
          <w:szCs w:val="32"/>
          <w:highlight w:val="none"/>
          <w:shd w:val="clear" w:color="auto" w:fill="FFFFFF"/>
          <w:lang w:val="en-US" w:eastAsia="zh-CN"/>
        </w:rPr>
        <w:t>祖统工作</w:t>
      </w:r>
      <w:r>
        <w:rPr>
          <w:rFonts w:hint="default" w:ascii="Times New Roman" w:hAnsi="Times New Roman" w:eastAsia="仿宋_GB2312" w:cs="Times New Roman"/>
          <w:color w:val="000000"/>
          <w:kern w:val="0"/>
          <w:sz w:val="32"/>
          <w:szCs w:val="32"/>
          <w:highlight w:val="none"/>
          <w:shd w:val="clear" w:color="auto" w:fill="FFFFFF"/>
          <w:lang w:val="zh-CN"/>
        </w:rPr>
        <w:t>提供有力支持。</w:t>
      </w:r>
      <w:r>
        <w:rPr>
          <w:rFonts w:hint="default" w:ascii="Times New Roman" w:hAnsi="Times New Roman" w:eastAsia="仿宋_GB2312" w:cs="Times New Roman"/>
          <w:color w:val="000000"/>
          <w:kern w:val="0"/>
          <w:sz w:val="32"/>
          <w:szCs w:val="32"/>
          <w:highlight w:val="none"/>
          <w:shd w:val="clear" w:color="auto" w:fill="FFFFFF"/>
          <w:lang w:val="en-US" w:eastAsia="zh-CN"/>
        </w:rPr>
        <w:t>民革</w:t>
      </w:r>
      <w:r>
        <w:rPr>
          <w:rFonts w:hint="default" w:ascii="Times New Roman" w:hAnsi="Times New Roman" w:eastAsia="仿宋_GB2312" w:cs="Times New Roman"/>
          <w:color w:val="000000"/>
          <w:kern w:val="0"/>
          <w:sz w:val="32"/>
          <w:szCs w:val="32"/>
          <w:highlight w:val="none"/>
          <w:shd w:val="clear" w:color="auto" w:fill="FFFFFF"/>
          <w:lang w:val="zh-CN"/>
        </w:rPr>
        <w:t>四川省委会根据《四川省省级财政预算绩效结果应用管理办法》（川财绩〔2019〕15号）和《四川省省级财政预算绩效结果与预算安排挂钩实施细则（试行）》（川财办〔2020〕53号）的相关要求，结合</w:t>
      </w:r>
      <w:r>
        <w:rPr>
          <w:rFonts w:hint="default" w:ascii="Times New Roman" w:hAnsi="Times New Roman" w:eastAsia="仿宋_GB2312" w:cs="Times New Roman"/>
          <w:color w:val="000000"/>
          <w:kern w:val="0"/>
          <w:sz w:val="32"/>
          <w:szCs w:val="32"/>
          <w:highlight w:val="none"/>
          <w:shd w:val="clear" w:color="auto" w:fill="FFFFFF"/>
          <w:lang w:val="en-US" w:eastAsia="zh-CN"/>
        </w:rPr>
        <w:t>民革</w:t>
      </w:r>
      <w:r>
        <w:rPr>
          <w:rFonts w:hint="default" w:ascii="Times New Roman" w:hAnsi="Times New Roman" w:eastAsia="仿宋_GB2312" w:cs="Times New Roman"/>
          <w:color w:val="000000"/>
          <w:kern w:val="0"/>
          <w:sz w:val="32"/>
          <w:szCs w:val="32"/>
          <w:highlight w:val="none"/>
          <w:shd w:val="clear" w:color="auto" w:fill="FFFFFF"/>
          <w:lang w:val="zh-CN"/>
        </w:rPr>
        <w:t>四川省委会工作实际，积极推动部门内部绩效考核与工作经费挂钩机制，探索将成本效益分析方法运用在部门预算编制和绩效考核工作中。</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2.自评公开</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年8月2</w:t>
      </w:r>
      <w:r>
        <w:rPr>
          <w:rFonts w:hint="default" w:ascii="Times New Roman" w:hAnsi="Times New Roman" w:eastAsia="仿宋_GB2312" w:cs="Times New Roman"/>
          <w:color w:val="000000"/>
          <w:kern w:val="0"/>
          <w:sz w:val="32"/>
          <w:szCs w:val="32"/>
          <w:highlight w:val="none"/>
          <w:shd w:val="clear" w:color="auto" w:fill="FFFFFF"/>
          <w:lang w:val="en-US" w:eastAsia="zh-CN"/>
        </w:rPr>
        <w:t>5</w:t>
      </w:r>
      <w:r>
        <w:rPr>
          <w:rFonts w:hint="default" w:ascii="Times New Roman" w:hAnsi="Times New Roman" w:eastAsia="仿宋_GB2312" w:cs="Times New Roman"/>
          <w:color w:val="000000"/>
          <w:kern w:val="0"/>
          <w:sz w:val="32"/>
          <w:szCs w:val="32"/>
          <w:highlight w:val="none"/>
          <w:shd w:val="clear" w:color="auto" w:fill="FFFFFF"/>
          <w:lang w:val="zh-CN"/>
        </w:rPr>
        <w:t>日，</w:t>
      </w:r>
      <w:r>
        <w:rPr>
          <w:rFonts w:hint="default" w:ascii="Times New Roman" w:hAnsi="Times New Roman" w:eastAsia="仿宋_GB2312" w:cs="Times New Roman"/>
          <w:color w:val="000000"/>
          <w:kern w:val="0"/>
          <w:sz w:val="32"/>
          <w:szCs w:val="32"/>
          <w:highlight w:val="none"/>
          <w:shd w:val="clear" w:color="auto" w:fill="FFFFFF"/>
          <w:lang w:val="en-US" w:eastAsia="zh-CN"/>
        </w:rPr>
        <w:t>民革</w:t>
      </w:r>
      <w:r>
        <w:rPr>
          <w:rFonts w:hint="default" w:ascii="Times New Roman" w:hAnsi="Times New Roman" w:eastAsia="仿宋_GB2312" w:cs="Times New Roman"/>
          <w:color w:val="000000"/>
          <w:kern w:val="0"/>
          <w:sz w:val="32"/>
          <w:szCs w:val="32"/>
          <w:highlight w:val="none"/>
          <w:shd w:val="clear" w:color="auto" w:fill="FFFFFF"/>
          <w:lang w:val="zh-CN"/>
        </w:rPr>
        <w:t>四川省委</w:t>
      </w:r>
      <w:r>
        <w:rPr>
          <w:rFonts w:hint="default" w:ascii="Times New Roman" w:hAnsi="Times New Roman" w:eastAsia="仿宋_GB2312" w:cs="Times New Roman"/>
          <w:color w:val="000000"/>
          <w:kern w:val="0"/>
          <w:sz w:val="32"/>
          <w:szCs w:val="32"/>
          <w:highlight w:val="none"/>
          <w:shd w:val="clear" w:color="auto" w:fill="FFFFFF"/>
          <w:lang w:val="en-US" w:eastAsia="zh-CN"/>
        </w:rPr>
        <w:t>会</w:t>
      </w:r>
      <w:r>
        <w:rPr>
          <w:rFonts w:hint="default" w:ascii="Times New Roman" w:hAnsi="Times New Roman" w:eastAsia="仿宋_GB2312" w:cs="Times New Roman"/>
          <w:color w:val="000000"/>
          <w:kern w:val="0"/>
          <w:sz w:val="32"/>
          <w:szCs w:val="32"/>
          <w:highlight w:val="none"/>
          <w:shd w:val="clear" w:color="auto" w:fill="FFFFFF"/>
          <w:lang w:val="zh-CN"/>
        </w:rPr>
        <w:t>已按照省财政厅的要求，将202</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年度部门整体支出自评报告同部门决算在财政厅预算决算公开板块和</w:t>
      </w:r>
      <w:r>
        <w:rPr>
          <w:rFonts w:hint="default" w:ascii="Times New Roman" w:hAnsi="Times New Roman" w:eastAsia="仿宋_GB2312" w:cs="Times New Roman"/>
          <w:color w:val="000000"/>
          <w:kern w:val="0"/>
          <w:sz w:val="32"/>
          <w:szCs w:val="32"/>
          <w:highlight w:val="none"/>
          <w:shd w:val="clear" w:color="auto" w:fill="FFFFFF"/>
          <w:lang w:val="en-US" w:eastAsia="zh-CN"/>
        </w:rPr>
        <w:t>民革</w:t>
      </w:r>
      <w:r>
        <w:rPr>
          <w:rFonts w:hint="default" w:ascii="Times New Roman" w:hAnsi="Times New Roman" w:eastAsia="仿宋_GB2312" w:cs="Times New Roman"/>
          <w:color w:val="000000"/>
          <w:kern w:val="0"/>
          <w:sz w:val="32"/>
          <w:szCs w:val="32"/>
          <w:highlight w:val="none"/>
          <w:shd w:val="clear" w:color="auto" w:fill="FFFFFF"/>
          <w:lang w:val="zh-CN"/>
        </w:rPr>
        <w:t>四川省委会门户网站向社会进行了公开。</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3.问题整改</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w:t>
      </w:r>
      <w:r>
        <w:rPr>
          <w:rFonts w:hint="default" w:ascii="Times New Roman" w:hAnsi="Times New Roman" w:eastAsia="仿宋_GB2312" w:cs="Times New Roman"/>
          <w:color w:val="000000"/>
          <w:kern w:val="0"/>
          <w:sz w:val="32"/>
          <w:szCs w:val="32"/>
          <w:highlight w:val="none"/>
          <w:shd w:val="clear" w:color="auto" w:fill="FFFFFF"/>
          <w:lang w:val="en-US" w:eastAsia="zh-CN"/>
        </w:rPr>
        <w:t>民革</w:t>
      </w:r>
      <w:r>
        <w:rPr>
          <w:rFonts w:hint="default" w:ascii="Times New Roman" w:hAnsi="Times New Roman" w:eastAsia="仿宋_GB2312" w:cs="Times New Roman"/>
          <w:color w:val="000000"/>
          <w:kern w:val="0"/>
          <w:sz w:val="32"/>
          <w:szCs w:val="32"/>
          <w:highlight w:val="none"/>
          <w:shd w:val="clear" w:color="auto" w:fill="FFFFFF"/>
          <w:lang w:val="zh-CN"/>
        </w:rPr>
        <w:t>四川省委会针对</w:t>
      </w:r>
      <w:r>
        <w:rPr>
          <w:rFonts w:hint="default" w:ascii="Times New Roman" w:hAnsi="Times New Roman" w:eastAsia="仿宋_GB2312" w:cs="Times New Roman"/>
          <w:color w:val="000000"/>
          <w:kern w:val="0"/>
          <w:sz w:val="32"/>
          <w:szCs w:val="32"/>
          <w:highlight w:val="none"/>
          <w:shd w:val="clear" w:color="auto" w:fill="FFFFFF"/>
          <w:lang w:val="en-US" w:eastAsia="zh-CN"/>
        </w:rPr>
        <w:t>财政厅</w:t>
      </w:r>
      <w:r>
        <w:rPr>
          <w:rFonts w:hint="default" w:ascii="Times New Roman" w:hAnsi="Times New Roman" w:eastAsia="仿宋_GB2312" w:cs="Times New Roman"/>
          <w:color w:val="000000"/>
          <w:kern w:val="0"/>
          <w:sz w:val="32"/>
          <w:szCs w:val="32"/>
          <w:highlight w:val="none"/>
          <w:shd w:val="clear" w:color="auto" w:fill="FFFFFF"/>
          <w:lang w:val="zh-CN"/>
        </w:rPr>
        <w:t>绩效目标核查、绩效监控核查提出的问题，已进行了整改，并及时将整改结果向财政厅进行了反馈。</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4.应用反馈</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w:t>
      </w:r>
      <w:r>
        <w:rPr>
          <w:rFonts w:hint="default" w:ascii="Times New Roman" w:hAnsi="Times New Roman" w:eastAsia="仿宋_GB2312" w:cs="Times New Roman"/>
          <w:color w:val="000000"/>
          <w:kern w:val="0"/>
          <w:sz w:val="32"/>
          <w:szCs w:val="32"/>
          <w:highlight w:val="none"/>
          <w:shd w:val="clear" w:color="auto" w:fill="FFFFFF"/>
          <w:lang w:val="en-US" w:eastAsia="zh-CN"/>
        </w:rPr>
        <w:t>民革</w:t>
      </w:r>
      <w:r>
        <w:rPr>
          <w:rFonts w:hint="default" w:ascii="Times New Roman" w:hAnsi="Times New Roman" w:eastAsia="仿宋_GB2312" w:cs="Times New Roman"/>
          <w:color w:val="000000"/>
          <w:kern w:val="0"/>
          <w:sz w:val="32"/>
          <w:szCs w:val="32"/>
          <w:highlight w:val="none"/>
          <w:shd w:val="clear" w:color="auto" w:fill="FFFFFF"/>
          <w:lang w:val="zh-CN"/>
        </w:rPr>
        <w:t>四川省委会针对绩效目标管理、事前绩效评估、绩效运行监控、事后绩效评价四个方面的绩效结果应用情况，按照财政厅的相关要求，及时向财政厅进行了反馈，按时报送了各项预算绩效管理资料。</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3"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（一）评价结论。</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民革四川省委</w:t>
      </w:r>
      <w:r>
        <w:rPr>
          <w:rFonts w:hint="default" w:ascii="Times New Roman" w:hAnsi="Times New Roman" w:eastAsia="仿宋_GB2312" w:cs="Times New Roman"/>
          <w:color w:val="000000"/>
          <w:kern w:val="0"/>
          <w:sz w:val="32"/>
          <w:szCs w:val="32"/>
          <w:highlight w:val="none"/>
          <w:shd w:val="clear" w:color="auto" w:fill="FFFFFF"/>
          <w:lang w:val="en-US" w:eastAsia="zh-CN" w:bidi="ar-SA"/>
        </w:rPr>
        <w:t>部门整体绩效评价指标体系自评得分9</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3</w:t>
      </w:r>
      <w:r>
        <w:rPr>
          <w:rFonts w:hint="default" w:ascii="Times New Roman" w:hAnsi="Times New Roman" w:eastAsia="仿宋_GB2312" w:cs="Times New Roman"/>
          <w:color w:val="000000"/>
          <w:kern w:val="0"/>
          <w:sz w:val="32"/>
          <w:szCs w:val="32"/>
          <w:highlight w:val="none"/>
          <w:shd w:val="clear" w:color="auto" w:fill="FFFFFF"/>
          <w:lang w:val="en-US" w:eastAsia="zh-CN" w:bidi="ar-SA"/>
        </w:rPr>
        <w:t>.</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57</w:t>
      </w:r>
      <w:r>
        <w:rPr>
          <w:rFonts w:hint="default" w:ascii="Times New Roman" w:hAnsi="Times New Roman" w:eastAsia="仿宋_GB2312" w:cs="Times New Roman"/>
          <w:color w:val="000000"/>
          <w:kern w:val="0"/>
          <w:sz w:val="32"/>
          <w:szCs w:val="32"/>
          <w:highlight w:val="none"/>
          <w:shd w:val="clear" w:color="auto" w:fill="FFFFFF"/>
          <w:lang w:val="en-US" w:eastAsia="zh-CN" w:bidi="ar-SA"/>
        </w:rPr>
        <w:t>分（满分为100分）。</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3"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_GB2312" w:cs="Times New Roman"/>
          <w:color w:val="000000"/>
          <w:kern w:val="0"/>
          <w:sz w:val="32"/>
          <w:szCs w:val="32"/>
          <w:highlight w:val="none"/>
          <w:shd w:val="clear" w:color="auto" w:fill="FFFFFF"/>
          <w:lang w:val="zh-CN" w:eastAsia="zh-CN" w:bidi="ar-SA"/>
        </w:rPr>
        <w:t>一是预算编制质量需进一步提高，二是预算执行进度较慢，三是年终支出缺乏统筹安排。</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7" w:name="_Hlk110546638"/>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 w:eastAsia="zh-CN" w:bidi="ar-SA"/>
        </w:rPr>
      </w:pPr>
      <w:r>
        <w:rPr>
          <w:rFonts w:hint="default" w:ascii="Times New Roman" w:hAnsi="Times New Roman" w:eastAsia="仿宋_GB2312" w:cs="Times New Roman"/>
          <w:color w:val="000000"/>
          <w:kern w:val="0"/>
          <w:sz w:val="32"/>
          <w:szCs w:val="32"/>
          <w:highlight w:val="none"/>
          <w:shd w:val="clear" w:color="auto" w:fill="FFFFFF"/>
          <w:lang w:val="en" w:eastAsia="zh-CN" w:bidi="ar-SA"/>
        </w:rPr>
        <w:t>（</w:t>
      </w:r>
      <w:r>
        <w:rPr>
          <w:rFonts w:hint="default" w:ascii="Times New Roman" w:hAnsi="Times New Roman" w:eastAsia="仿宋_GB2312" w:cs="Times New Roman"/>
          <w:color w:val="000000"/>
          <w:kern w:val="0"/>
          <w:sz w:val="32"/>
          <w:szCs w:val="32"/>
          <w:highlight w:val="none"/>
          <w:shd w:val="clear" w:color="auto" w:fill="FFFFFF"/>
          <w:lang w:val="en-US" w:eastAsia="zh-CN" w:bidi="ar-SA"/>
        </w:rPr>
        <w:t>1</w:t>
      </w:r>
      <w:r>
        <w:rPr>
          <w:rFonts w:hint="default" w:ascii="Times New Roman" w:hAnsi="Times New Roman" w:eastAsia="仿宋_GB2312" w:cs="Times New Roman"/>
          <w:color w:val="000000"/>
          <w:kern w:val="0"/>
          <w:sz w:val="32"/>
          <w:szCs w:val="32"/>
          <w:highlight w:val="none"/>
          <w:shd w:val="clear" w:color="auto" w:fill="FFFFFF"/>
          <w:lang w:val="en" w:eastAsia="zh-CN" w:bidi="ar-SA"/>
        </w:rPr>
        <w:t>）预算编制时，</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需</w:t>
      </w:r>
      <w:r>
        <w:rPr>
          <w:rFonts w:hint="default" w:ascii="Times New Roman" w:hAnsi="Times New Roman" w:eastAsia="仿宋_GB2312" w:cs="Times New Roman"/>
          <w:color w:val="000000"/>
          <w:kern w:val="0"/>
          <w:sz w:val="32"/>
          <w:szCs w:val="32"/>
          <w:highlight w:val="none"/>
          <w:shd w:val="clear" w:color="auto" w:fill="FFFFFF"/>
          <w:lang w:val="en" w:eastAsia="zh-CN" w:bidi="ar-SA"/>
        </w:rPr>
        <w:t>更加细致统计单位重大工作活动、各处室日常工作所需开支，更加科学合理分配预算，与绩效目标匹配，降低预算编制偏离度，提高预算编制质量。</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 w:eastAsia="zh-CN" w:bidi="ar-SA"/>
        </w:rPr>
      </w:pPr>
      <w:r>
        <w:rPr>
          <w:rFonts w:hint="default" w:ascii="Times New Roman" w:hAnsi="Times New Roman" w:eastAsia="仿宋_GB2312" w:cs="Times New Roman"/>
          <w:color w:val="000000"/>
          <w:kern w:val="0"/>
          <w:sz w:val="32"/>
          <w:szCs w:val="32"/>
          <w:highlight w:val="none"/>
          <w:shd w:val="clear" w:color="auto" w:fill="FFFFFF"/>
          <w:lang w:val="en" w:eastAsia="zh-CN" w:bidi="ar-SA"/>
        </w:rPr>
        <w:t>（</w:t>
      </w:r>
      <w:r>
        <w:rPr>
          <w:rFonts w:hint="default" w:ascii="Times New Roman" w:hAnsi="Times New Roman" w:eastAsia="仿宋_GB2312" w:cs="Times New Roman"/>
          <w:color w:val="000000"/>
          <w:kern w:val="0"/>
          <w:sz w:val="32"/>
          <w:szCs w:val="32"/>
          <w:highlight w:val="none"/>
          <w:shd w:val="clear" w:color="auto" w:fill="FFFFFF"/>
          <w:lang w:val="en-US" w:eastAsia="zh-CN" w:bidi="ar-SA"/>
        </w:rPr>
        <w:t>2</w:t>
      </w:r>
      <w:r>
        <w:rPr>
          <w:rFonts w:hint="default" w:ascii="Times New Roman" w:hAnsi="Times New Roman" w:eastAsia="仿宋_GB2312" w:cs="Times New Roman"/>
          <w:color w:val="000000"/>
          <w:kern w:val="0"/>
          <w:sz w:val="32"/>
          <w:szCs w:val="32"/>
          <w:highlight w:val="none"/>
          <w:shd w:val="clear" w:color="auto" w:fill="FFFFFF"/>
          <w:lang w:val="en" w:eastAsia="zh-CN" w:bidi="ar-SA"/>
        </w:rPr>
        <w:t>）召开预算绩效管理培训会，增强干部职工绩效管理意识。不定期督促各处室加快预算执行进度，科学合理统筹预算执行余额，减少年终结余。</w:t>
      </w:r>
    </w:p>
    <w:p>
      <w:pPr>
        <w:keepNext w:val="0"/>
        <w:keepLines w:val="0"/>
        <w:pageBreakBefore w:val="0"/>
        <w:widowControl/>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color w:val="000000"/>
          <w:kern w:val="0"/>
          <w:sz w:val="32"/>
          <w:szCs w:val="32"/>
          <w:highlight w:val="none"/>
          <w:shd w:val="clear" w:color="auto" w:fill="FFFFFF"/>
          <w:lang w:val="en" w:eastAsia="zh-CN" w:bidi="ar-SA"/>
        </w:rPr>
        <w:t>（</w:t>
      </w:r>
      <w:r>
        <w:rPr>
          <w:rFonts w:hint="default" w:ascii="Times New Roman" w:hAnsi="Times New Roman" w:eastAsia="仿宋_GB2312" w:cs="Times New Roman"/>
          <w:color w:val="000000"/>
          <w:kern w:val="0"/>
          <w:sz w:val="32"/>
          <w:szCs w:val="32"/>
          <w:highlight w:val="none"/>
          <w:shd w:val="clear" w:color="auto" w:fill="FFFFFF"/>
          <w:lang w:val="en-US" w:eastAsia="zh-CN" w:bidi="ar-SA"/>
        </w:rPr>
        <w:t>3</w:t>
      </w:r>
      <w:r>
        <w:rPr>
          <w:rFonts w:hint="default" w:ascii="Times New Roman" w:hAnsi="Times New Roman" w:eastAsia="仿宋_GB2312" w:cs="Times New Roman"/>
          <w:color w:val="000000"/>
          <w:kern w:val="0"/>
          <w:sz w:val="32"/>
          <w:szCs w:val="32"/>
          <w:highlight w:val="none"/>
          <w:shd w:val="clear" w:color="auto" w:fill="FFFFFF"/>
          <w:lang w:val="en" w:eastAsia="zh-CN" w:bidi="ar-SA"/>
        </w:rPr>
        <w:t>）进一步提高财务人员业务能力，积极参加财政厅组织的业务学习培训，加强与其他部门业务人员的沟通交流。</w:t>
      </w:r>
      <w:bookmarkEnd w:id="57"/>
    </w:p>
    <w:p>
      <w:pPr>
        <w:pStyle w:val="2"/>
        <w:keepNext w:val="0"/>
        <w:keepLines w:val="0"/>
        <w:pageBreakBefore w:val="0"/>
        <w:numPr>
          <w:ilvl w:val="0"/>
          <w:numId w:val="0"/>
        </w:numPr>
        <w:kinsoku/>
        <w:wordWrap/>
        <w:overflowPunct/>
        <w:topLinePunct w:val="0"/>
        <w:autoSpaceDE/>
        <w:autoSpaceDN/>
        <w:bidi w:val="0"/>
        <w:spacing w:after="0" w:line="600" w:lineRule="exact"/>
        <w:ind w:leftChars="0" w:firstLine="640" w:firstLineChars="200"/>
        <w:textAlignment w:val="auto"/>
        <w:rPr>
          <w:rFonts w:hint="eastAsia" w:hAnsi="Times New Roman" w:cs="Times New Roman"/>
          <w:color w:val="auto"/>
          <w:sz w:val="32"/>
          <w:szCs w:val="32"/>
          <w:highlight w:val="none"/>
          <w:lang w:val="zh-CN" w:eastAsia="zh-CN"/>
        </w:rPr>
      </w:pPr>
    </w:p>
    <w:p>
      <w:pPr>
        <w:pStyle w:val="2"/>
        <w:keepNext w:val="0"/>
        <w:keepLines w:val="0"/>
        <w:pageBreakBefore w:val="0"/>
        <w:numPr>
          <w:ilvl w:val="0"/>
          <w:numId w:val="0"/>
        </w:numPr>
        <w:kinsoku/>
        <w:wordWrap/>
        <w:overflowPunct/>
        <w:topLinePunct w:val="0"/>
        <w:autoSpaceDE/>
        <w:autoSpaceDN/>
        <w:bidi w:val="0"/>
        <w:spacing w:after="0" w:line="600" w:lineRule="exact"/>
        <w:ind w:leftChars="0" w:firstLine="640" w:firstLineChars="200"/>
        <w:textAlignment w:val="auto"/>
        <w:rPr>
          <w:rFonts w:hint="eastAsia" w:ascii="Times New Roman" w:hAnsi="Times New Roman" w:eastAsia="仿宋_GB2312" w:cs="Times New Roman"/>
          <w:color w:val="000000"/>
          <w:kern w:val="0"/>
          <w:sz w:val="32"/>
          <w:szCs w:val="32"/>
          <w:highlight w:val="none"/>
          <w:shd w:val="clear" w:color="auto" w:fill="FFFFFF"/>
          <w:lang w:val="zh-CN" w:eastAsia="zh-CN" w:bidi="ar-SA"/>
        </w:rPr>
      </w:pPr>
      <w:r>
        <w:rPr>
          <w:rFonts w:hint="eastAsia" w:ascii="Times New Roman" w:hAnsi="Times New Roman" w:eastAsia="仿宋_GB2312" w:cs="Times New Roman"/>
          <w:color w:val="000000"/>
          <w:kern w:val="0"/>
          <w:sz w:val="32"/>
          <w:szCs w:val="32"/>
          <w:highlight w:val="none"/>
          <w:shd w:val="clear" w:color="auto" w:fill="FFFFFF"/>
          <w:lang w:val="zh-CN" w:eastAsia="zh-CN" w:bidi="ar-SA"/>
        </w:rPr>
        <w:t>附表：</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部门预算项目支出绩效自评表（2023年度）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kern w:val="2"/>
          <w:sz w:val="32"/>
          <w:szCs w:val="24"/>
          <w:highlight w:val="none"/>
          <w:lang w:val="en-US" w:eastAsia="zh-CN" w:bidi="ar-SA"/>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kern w:val="2"/>
          <w:sz w:val="32"/>
          <w:szCs w:val="24"/>
          <w:highlight w:val="none"/>
          <w:lang w:val="en-US" w:eastAsia="zh-CN" w:bidi="ar-SA"/>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kern w:val="2"/>
          <w:sz w:val="32"/>
          <w:szCs w:val="24"/>
          <w:highlight w:val="none"/>
          <w:lang w:val="en-US" w:eastAsia="zh-CN" w:bidi="ar-SA"/>
        </w:rPr>
      </w:pPr>
    </w:p>
    <w:p>
      <w:pPr>
        <w:keepNext w:val="0"/>
        <w:keepLines w:val="0"/>
        <w:pageBreakBefore w:val="0"/>
        <w:kinsoku/>
        <w:wordWrap/>
        <w:overflowPunct/>
        <w:topLinePunct w:val="0"/>
        <w:autoSpaceDE/>
        <w:autoSpaceDN/>
        <w:bidi w:val="0"/>
        <w:spacing w:line="560" w:lineRule="exact"/>
        <w:jc w:val="both"/>
        <w:textAlignment w:val="auto"/>
        <w:rPr>
          <w:rFonts w:hint="default" w:ascii="黑体" w:hAnsi="黑体" w:eastAsia="黑体" w:cs="黑体"/>
          <w:kern w:val="2"/>
          <w:sz w:val="32"/>
          <w:szCs w:val="24"/>
          <w:highlight w:val="none"/>
          <w:lang w:val="en-US" w:eastAsia="zh-CN" w:bidi="ar-SA"/>
        </w:rPr>
      </w:pPr>
      <w:r>
        <w:rPr>
          <w:rFonts w:hint="eastAsia" w:ascii="黑体" w:hAnsi="黑体" w:eastAsia="黑体" w:cs="黑体"/>
          <w:kern w:val="2"/>
          <w:sz w:val="32"/>
          <w:szCs w:val="24"/>
          <w:highlight w:val="none"/>
          <w:lang w:val="en-US" w:eastAsia="zh-CN" w:bidi="ar-SA"/>
        </w:rPr>
        <w:t>附表</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66"/>
        <w:gridCol w:w="915"/>
        <w:gridCol w:w="1208"/>
        <w:gridCol w:w="396"/>
        <w:gridCol w:w="864"/>
        <w:gridCol w:w="396"/>
        <w:gridCol w:w="846"/>
        <w:gridCol w:w="486"/>
        <w:gridCol w:w="486"/>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51000023T000008506989-离退休省部级干部参观考察经费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0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中国国民党革命委员会四川省委员会部门</w:t>
            </w:r>
          </w:p>
        </w:tc>
        <w:tc>
          <w:tcPr>
            <w:tcW w:w="37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中国国民党革命委员会四川省委员会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保障省部级实职离退休干部到省外参观考察。</w:t>
            </w:r>
          </w:p>
        </w:tc>
        <w:tc>
          <w:tcPr>
            <w:tcW w:w="16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已完成对省部级实职离退休干部到省外参观考察的保障。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参观考察人数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自评得分100分，效果良好。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6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widowControl/>
        <w:jc w:val="both"/>
        <w:rPr>
          <w:rFonts w:hint="eastAsia" w:ascii="黑体" w:hAnsi="黑体" w:eastAsia="黑体"/>
          <w:color w:val="auto"/>
          <w:sz w:val="44"/>
          <w:szCs w:val="44"/>
          <w:highlight w:val="none"/>
        </w:rPr>
      </w:pPr>
      <w:bookmarkStart w:id="58" w:name="_Toc15396618"/>
    </w:p>
    <w:p>
      <w:pPr>
        <w:widowControl/>
        <w:jc w:val="center"/>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56"/>
      <w:bookmarkEnd w:id="58"/>
      <w:bookmarkStart w:id="59" w:name="_Toc15396619"/>
    </w:p>
    <w:p>
      <w:pPr>
        <w:pStyle w:val="6"/>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59"/>
    </w:p>
    <w:p>
      <w:pPr>
        <w:pStyle w:val="6"/>
        <w:rPr>
          <w:rFonts w:ascii="仿宋" w:hAnsi="仿宋" w:eastAsia="仿宋"/>
          <w:color w:val="auto"/>
          <w:highlight w:val="none"/>
        </w:rPr>
      </w:pPr>
      <w:bookmarkStart w:id="60"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60"/>
    </w:p>
    <w:p>
      <w:pPr>
        <w:pStyle w:val="6"/>
        <w:rPr>
          <w:rFonts w:ascii="仿宋" w:hAnsi="仿宋" w:eastAsia="仿宋"/>
          <w:color w:val="auto"/>
          <w:highlight w:val="none"/>
        </w:rPr>
      </w:pPr>
      <w:bookmarkStart w:id="61"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61"/>
    </w:p>
    <w:p>
      <w:pPr>
        <w:pStyle w:val="6"/>
        <w:rPr>
          <w:rFonts w:ascii="仿宋" w:hAnsi="仿宋" w:eastAsia="仿宋"/>
          <w:b w:val="0"/>
          <w:color w:val="auto"/>
          <w:highlight w:val="none"/>
        </w:rPr>
      </w:pPr>
      <w:bookmarkStart w:id="62"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62"/>
    </w:p>
    <w:p>
      <w:pPr>
        <w:pStyle w:val="6"/>
        <w:rPr>
          <w:rStyle w:val="29"/>
          <w:rFonts w:ascii="仿宋" w:hAnsi="仿宋" w:eastAsia="仿宋"/>
          <w:b w:val="0"/>
          <w:bCs w:val="0"/>
          <w:color w:val="auto"/>
          <w:highlight w:val="none"/>
        </w:rPr>
      </w:pPr>
      <w:bookmarkStart w:id="63"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63"/>
      <w:bookmarkStart w:id="64" w:name="_Toc15396624"/>
    </w:p>
    <w:p>
      <w:pPr>
        <w:pStyle w:val="6"/>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64"/>
    </w:p>
    <w:p>
      <w:pPr>
        <w:pStyle w:val="6"/>
        <w:rPr>
          <w:rFonts w:ascii="仿宋" w:hAnsi="仿宋" w:eastAsia="仿宋"/>
          <w:color w:val="auto"/>
          <w:highlight w:val="none"/>
        </w:rPr>
      </w:pPr>
      <w:bookmarkStart w:id="65"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65"/>
    </w:p>
    <w:p>
      <w:pPr>
        <w:pStyle w:val="6"/>
        <w:rPr>
          <w:rFonts w:ascii="仿宋" w:hAnsi="仿宋" w:eastAsia="仿宋"/>
          <w:color w:val="auto"/>
          <w:highlight w:val="none"/>
        </w:rPr>
      </w:pPr>
      <w:bookmarkStart w:id="66"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66"/>
    </w:p>
    <w:p>
      <w:pPr>
        <w:pStyle w:val="6"/>
        <w:rPr>
          <w:rFonts w:ascii="仿宋" w:hAnsi="仿宋" w:eastAsia="仿宋"/>
          <w:color w:val="auto"/>
          <w:highlight w:val="none"/>
        </w:rPr>
      </w:pPr>
      <w:bookmarkStart w:id="67"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67"/>
    </w:p>
    <w:p>
      <w:pPr>
        <w:pStyle w:val="6"/>
        <w:rPr>
          <w:rFonts w:ascii="仿宋" w:hAnsi="仿宋" w:eastAsia="仿宋"/>
          <w:color w:val="auto"/>
          <w:highlight w:val="none"/>
        </w:rPr>
      </w:pPr>
      <w:bookmarkStart w:id="68" w:name="_Toc15396628"/>
      <w:r>
        <w:rPr>
          <w:rStyle w:val="29"/>
          <w:rFonts w:hint="eastAsia" w:ascii="仿宋" w:hAnsi="仿宋" w:eastAsia="仿宋"/>
          <w:b w:val="0"/>
          <w:bCs w:val="0"/>
          <w:color w:val="auto"/>
          <w:highlight w:val="none"/>
        </w:rPr>
        <w:t>十、</w:t>
      </w:r>
      <w:bookmarkEnd w:id="68"/>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pPr>
        <w:pStyle w:val="6"/>
        <w:rPr>
          <w:rFonts w:ascii="仿宋" w:hAnsi="仿宋" w:eastAsia="仿宋"/>
          <w:color w:val="auto"/>
          <w:highlight w:val="none"/>
        </w:rPr>
      </w:pPr>
      <w:bookmarkStart w:id="69" w:name="_Toc15396629"/>
      <w:r>
        <w:rPr>
          <w:rStyle w:val="29"/>
          <w:rFonts w:hint="eastAsia" w:ascii="仿宋" w:hAnsi="仿宋" w:eastAsia="仿宋"/>
          <w:b w:val="0"/>
          <w:bCs w:val="0"/>
          <w:color w:val="auto"/>
          <w:highlight w:val="none"/>
        </w:rPr>
        <w:t>十一、</w:t>
      </w:r>
      <w:bookmarkEnd w:id="69"/>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pPr>
        <w:pStyle w:val="6"/>
        <w:rPr>
          <w:rFonts w:ascii="仿宋" w:hAnsi="仿宋" w:eastAsia="仿宋"/>
          <w:color w:val="auto"/>
          <w:highlight w:val="none"/>
        </w:rPr>
      </w:pPr>
      <w:bookmarkStart w:id="70" w:name="_Toc15396630"/>
      <w:r>
        <w:rPr>
          <w:rStyle w:val="29"/>
          <w:rFonts w:hint="eastAsia" w:ascii="仿宋" w:hAnsi="仿宋" w:eastAsia="仿宋"/>
          <w:b w:val="0"/>
          <w:bCs w:val="0"/>
          <w:color w:val="auto"/>
          <w:highlight w:val="none"/>
        </w:rPr>
        <w:t>十二、</w:t>
      </w:r>
      <w:bookmarkEnd w:id="70"/>
      <w:r>
        <w:rPr>
          <w:rStyle w:val="29"/>
          <w:rFonts w:hint="eastAsia" w:ascii="仿宋" w:hAnsi="仿宋" w:eastAsia="仿宋"/>
          <w:b w:val="0"/>
          <w:bCs w:val="0"/>
          <w:color w:val="auto"/>
          <w:highlight w:val="none"/>
          <w:lang w:eastAsia="zh-CN"/>
        </w:rPr>
        <w:t>国有资本经营预算财政拨款支出决算表</w:t>
      </w:r>
    </w:p>
    <w:p>
      <w:pPr>
        <w:pStyle w:val="6"/>
        <w:rPr>
          <w:rStyle w:val="29"/>
          <w:rFonts w:hint="eastAsia" w:ascii="仿宋" w:hAnsi="仿宋" w:eastAsia="仿宋"/>
          <w:b w:val="0"/>
          <w:bCs w:val="0"/>
          <w:color w:val="auto"/>
          <w:highlight w:val="none"/>
          <w:lang w:eastAsia="zh-CN"/>
        </w:rPr>
      </w:pPr>
      <w:bookmarkStart w:id="71" w:name="_Toc15396631"/>
      <w:r>
        <w:rPr>
          <w:rStyle w:val="29"/>
          <w:rFonts w:hint="eastAsia" w:ascii="仿宋" w:hAnsi="仿宋" w:eastAsia="仿宋"/>
          <w:b w:val="0"/>
          <w:bCs w:val="0"/>
          <w:color w:val="auto"/>
          <w:highlight w:val="none"/>
        </w:rPr>
        <w:t>十三、</w:t>
      </w:r>
      <w:bookmarkEnd w:id="71"/>
      <w:r>
        <w:rPr>
          <w:rStyle w:val="29"/>
          <w:rFonts w:hint="eastAsia" w:ascii="仿宋" w:hAnsi="仿宋" w:eastAsia="仿宋"/>
          <w:b w:val="0"/>
          <w:bCs w:val="0"/>
          <w:color w:val="auto"/>
          <w:highlight w:val="none"/>
          <w:lang w:eastAsia="zh-CN"/>
        </w:rPr>
        <w:t>财政拨款“三公”经费支出决算表</w:t>
      </w:r>
    </w:p>
    <w:p>
      <w:pPr>
        <w:rPr>
          <w:rFonts w:hint="eastAsia"/>
          <w:lang w:eastAsia="zh-CN"/>
        </w:rPr>
      </w:pPr>
    </w:p>
    <w:sectPr>
      <w:footerReference r:id="rId9" w:type="firs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tabs>
        <w:tab w:val="left" w:pos="4918"/>
        <w:tab w:val="clear" w:pos="4153"/>
      </w:tabs>
      <w:rPr>
        <w:rFonts w:hint="eastAsia" w:eastAsia="宋体"/>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tabs>
        <w:tab w:val="left" w:pos="4918"/>
        <w:tab w:val="clear" w:pos="4153"/>
      </w:tabs>
      <w:rPr>
        <w:rFonts w:hint="eastAsia" w:eastAsia="宋体"/>
        <w:lang w:eastAsia="zh-CN"/>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posOffset>2601595</wp:posOffset>
              </wp:positionH>
              <wp:positionV relativeFrom="paragraph">
                <wp:posOffset>-9525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85pt;margin-top:-0.75pt;height:144pt;width:144pt;mso-position-horizontal-relative:margin;mso-wrap-style:none;z-index:251661312;mso-width-relative:page;mso-height-relative:page;" filled="f" stroked="f" coordsize="21600,21600" o:gfxdata="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L0+7ZAAAACgEAAA8AAAAAAAAAAQAgAAAAIgAAAGRycy9kb3ducmV2Lnht&#10;bFBLAQIUABQAAAAIAIdO4kDrADh6MQIAAGMEAAAOAAAAAAAAAAEAIAAAACgBAABkcnMvZTJvRG9j&#10;LnhtbFBLBQYAAAAABgAGAFkBAADLBQAAAAA=&#10;">
              <v:fill on="f" focussize="0,0"/>
              <v:stroke on="f" weight="0.5pt"/>
              <v:imagedata o:title=""/>
              <o:lock v:ext="edit" aspectratio="f"/>
              <v:textbox inset="0mm,0mm,0mm,0mm" style="mso-fit-shape-to-text:t;">
                <w:txbxContent>
                  <w:p>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6C58D"/>
    <w:multiLevelType w:val="singleLevel"/>
    <w:tmpl w:val="9826C58D"/>
    <w:lvl w:ilvl="0" w:tentative="0">
      <w:start w:val="4"/>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3C84EEE4"/>
    <w:multiLevelType w:val="singleLevel"/>
    <w:tmpl w:val="3C84EEE4"/>
    <w:lvl w:ilvl="0" w:tentative="0">
      <w:start w:val="3"/>
      <w:numFmt w:val="chineseCounting"/>
      <w:suff w:val="nothing"/>
      <w:lvlText w:val="（%1）"/>
      <w:lvlJc w:val="left"/>
      <w:rPr>
        <w:rFonts w:hint="eastAsia"/>
      </w:rPr>
    </w:lvl>
  </w:abstractNum>
  <w:abstractNum w:abstractNumId="4">
    <w:nsid w:val="600086A4"/>
    <w:multiLevelType w:val="singleLevel"/>
    <w:tmpl w:val="600086A4"/>
    <w:lvl w:ilvl="0" w:tentative="0">
      <w:start w:val="3"/>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YzhhMmViMTIwZWZiYTRmOWYyNzM4ODg1Yzg1MDkifQ=="/>
    <w:docVar w:name="KSO_WPS_MARK_KEY" w:val="a489ba0c-8255-4083-9433-158b5a9812a6"/>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73D2"/>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E34F5"/>
    <w:rsid w:val="015975B8"/>
    <w:rsid w:val="028875D2"/>
    <w:rsid w:val="02FEBE30"/>
    <w:rsid w:val="040E27E3"/>
    <w:rsid w:val="061E35DE"/>
    <w:rsid w:val="066E0107"/>
    <w:rsid w:val="07491032"/>
    <w:rsid w:val="07996F6E"/>
    <w:rsid w:val="07C24F25"/>
    <w:rsid w:val="07DFD8BA"/>
    <w:rsid w:val="09012917"/>
    <w:rsid w:val="09137F54"/>
    <w:rsid w:val="0A2032A3"/>
    <w:rsid w:val="0BEB340A"/>
    <w:rsid w:val="0D35B1ED"/>
    <w:rsid w:val="0F98263C"/>
    <w:rsid w:val="101860EC"/>
    <w:rsid w:val="10C055FF"/>
    <w:rsid w:val="118107EC"/>
    <w:rsid w:val="11FC016B"/>
    <w:rsid w:val="1306440E"/>
    <w:rsid w:val="13385D06"/>
    <w:rsid w:val="13D50BC4"/>
    <w:rsid w:val="14D507B4"/>
    <w:rsid w:val="15115DD4"/>
    <w:rsid w:val="16BB723D"/>
    <w:rsid w:val="179D7CAF"/>
    <w:rsid w:val="186504BB"/>
    <w:rsid w:val="1BE8440E"/>
    <w:rsid w:val="1D155CEE"/>
    <w:rsid w:val="1D6E17A5"/>
    <w:rsid w:val="1E740ACF"/>
    <w:rsid w:val="1E7602DE"/>
    <w:rsid w:val="1FF35744"/>
    <w:rsid w:val="1FF6BC77"/>
    <w:rsid w:val="20C0056A"/>
    <w:rsid w:val="22916662"/>
    <w:rsid w:val="23860B96"/>
    <w:rsid w:val="240371BF"/>
    <w:rsid w:val="276E0D20"/>
    <w:rsid w:val="281408E2"/>
    <w:rsid w:val="283D6944"/>
    <w:rsid w:val="290C07F0"/>
    <w:rsid w:val="29FD04D3"/>
    <w:rsid w:val="2A5A4DB3"/>
    <w:rsid w:val="2AA80080"/>
    <w:rsid w:val="2BFF7BC6"/>
    <w:rsid w:val="2C8A61B5"/>
    <w:rsid w:val="2CA60F5C"/>
    <w:rsid w:val="2DF04E50"/>
    <w:rsid w:val="2DFE26D1"/>
    <w:rsid w:val="2F040D46"/>
    <w:rsid w:val="2FAE5751"/>
    <w:rsid w:val="2FB1A395"/>
    <w:rsid w:val="2FD9A7D8"/>
    <w:rsid w:val="319F7F4E"/>
    <w:rsid w:val="31E85B72"/>
    <w:rsid w:val="31EA7C43"/>
    <w:rsid w:val="3281224F"/>
    <w:rsid w:val="3304709D"/>
    <w:rsid w:val="331C0B79"/>
    <w:rsid w:val="349D6851"/>
    <w:rsid w:val="35474AB0"/>
    <w:rsid w:val="36352DC4"/>
    <w:rsid w:val="364F4412"/>
    <w:rsid w:val="36513CE6"/>
    <w:rsid w:val="36932551"/>
    <w:rsid w:val="36981915"/>
    <w:rsid w:val="36AA5135"/>
    <w:rsid w:val="36BE0DA7"/>
    <w:rsid w:val="376B6AA6"/>
    <w:rsid w:val="376D39B2"/>
    <w:rsid w:val="37CA01F4"/>
    <w:rsid w:val="37E16F03"/>
    <w:rsid w:val="37F53A3B"/>
    <w:rsid w:val="389B6C89"/>
    <w:rsid w:val="38D469F0"/>
    <w:rsid w:val="397BAF1F"/>
    <w:rsid w:val="39816807"/>
    <w:rsid w:val="3AB79AF3"/>
    <w:rsid w:val="3B7EF35A"/>
    <w:rsid w:val="3B8B1A48"/>
    <w:rsid w:val="3B9FDB6C"/>
    <w:rsid w:val="3BF5BC2F"/>
    <w:rsid w:val="3CEBA265"/>
    <w:rsid w:val="3D4F2F4A"/>
    <w:rsid w:val="3D954E00"/>
    <w:rsid w:val="3D98207C"/>
    <w:rsid w:val="3E5A1BA6"/>
    <w:rsid w:val="3E6B1C93"/>
    <w:rsid w:val="3E78745D"/>
    <w:rsid w:val="3FF4CAE0"/>
    <w:rsid w:val="3FF7B227"/>
    <w:rsid w:val="41594397"/>
    <w:rsid w:val="419E51AD"/>
    <w:rsid w:val="441A605F"/>
    <w:rsid w:val="443F172A"/>
    <w:rsid w:val="44E268DA"/>
    <w:rsid w:val="46050649"/>
    <w:rsid w:val="47090753"/>
    <w:rsid w:val="47995FDF"/>
    <w:rsid w:val="4A627F82"/>
    <w:rsid w:val="4AE515FF"/>
    <w:rsid w:val="4B0E749A"/>
    <w:rsid w:val="4B4F25DA"/>
    <w:rsid w:val="4BE068DB"/>
    <w:rsid w:val="4D577224"/>
    <w:rsid w:val="4D73619F"/>
    <w:rsid w:val="4DBF1CEB"/>
    <w:rsid w:val="4EAB630A"/>
    <w:rsid w:val="4ECE2238"/>
    <w:rsid w:val="4FCE41A2"/>
    <w:rsid w:val="4FE9BD67"/>
    <w:rsid w:val="4FFB052F"/>
    <w:rsid w:val="50715259"/>
    <w:rsid w:val="50BB0282"/>
    <w:rsid w:val="52B21B59"/>
    <w:rsid w:val="53267C20"/>
    <w:rsid w:val="536E3CD2"/>
    <w:rsid w:val="537E6D0A"/>
    <w:rsid w:val="53F74C96"/>
    <w:rsid w:val="55B059B2"/>
    <w:rsid w:val="56E47B74"/>
    <w:rsid w:val="57BD3DD4"/>
    <w:rsid w:val="58005114"/>
    <w:rsid w:val="5A783688"/>
    <w:rsid w:val="5AE623A0"/>
    <w:rsid w:val="5AF92295"/>
    <w:rsid w:val="5BDD79E6"/>
    <w:rsid w:val="5BFF5DFC"/>
    <w:rsid w:val="5CD71FC4"/>
    <w:rsid w:val="5D1F11B5"/>
    <w:rsid w:val="5DAE1B18"/>
    <w:rsid w:val="5DE7D9E5"/>
    <w:rsid w:val="5ECEC941"/>
    <w:rsid w:val="5FBF9FF3"/>
    <w:rsid w:val="5FCD4E2C"/>
    <w:rsid w:val="5FEF394A"/>
    <w:rsid w:val="5FF67715"/>
    <w:rsid w:val="60AC5E39"/>
    <w:rsid w:val="61C80A51"/>
    <w:rsid w:val="62BF3928"/>
    <w:rsid w:val="636B6AA9"/>
    <w:rsid w:val="646B1B68"/>
    <w:rsid w:val="647F5392"/>
    <w:rsid w:val="678B0C3C"/>
    <w:rsid w:val="67EE6D37"/>
    <w:rsid w:val="6A276531"/>
    <w:rsid w:val="6A7A48B2"/>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734D90"/>
    <w:rsid w:val="72AA61A6"/>
    <w:rsid w:val="7332FE48"/>
    <w:rsid w:val="73AB61DA"/>
    <w:rsid w:val="73AD73D5"/>
    <w:rsid w:val="73B6EB34"/>
    <w:rsid w:val="73FA497D"/>
    <w:rsid w:val="744731E5"/>
    <w:rsid w:val="74BBD01D"/>
    <w:rsid w:val="74ED5379"/>
    <w:rsid w:val="756252EE"/>
    <w:rsid w:val="758D7B90"/>
    <w:rsid w:val="75DEEEC2"/>
    <w:rsid w:val="76E3355F"/>
    <w:rsid w:val="76FF5125"/>
    <w:rsid w:val="77560455"/>
    <w:rsid w:val="776F6FFA"/>
    <w:rsid w:val="778769C8"/>
    <w:rsid w:val="778C5F09"/>
    <w:rsid w:val="77DC22F5"/>
    <w:rsid w:val="797709B7"/>
    <w:rsid w:val="79D0629D"/>
    <w:rsid w:val="79D7FD79"/>
    <w:rsid w:val="79EE5BA4"/>
    <w:rsid w:val="79FC627C"/>
    <w:rsid w:val="7A894339"/>
    <w:rsid w:val="7A911ED0"/>
    <w:rsid w:val="7AFF7572"/>
    <w:rsid w:val="7B6C7DFB"/>
    <w:rsid w:val="7BBFBED0"/>
    <w:rsid w:val="7BC3E394"/>
    <w:rsid w:val="7CBFC87B"/>
    <w:rsid w:val="7CF71559"/>
    <w:rsid w:val="7CFE0F48"/>
    <w:rsid w:val="7D7EC23E"/>
    <w:rsid w:val="7E8ADEBF"/>
    <w:rsid w:val="7E926217"/>
    <w:rsid w:val="7EEF11D3"/>
    <w:rsid w:val="7F3F679B"/>
    <w:rsid w:val="7F4FC4EF"/>
    <w:rsid w:val="7F5E4D54"/>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4">
    <w:name w:val="header"/>
    <w:basedOn w:val="1"/>
    <w:link w:val="2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4"/>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NormalIndent"/>
    <w:qFormat/>
    <w:uiPriority w:val="0"/>
    <w:pPr>
      <w:widowControl w:val="0"/>
      <w:ind w:firstLine="420" w:firstLine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收入支出与上年对比情况分析</a:t>
            </a:r>
            <a:endParaRPr lang="zh-CN" altLang="en-US"/>
          </a:p>
        </c:rich>
      </c:tx>
      <c:layout/>
      <c:overlay val="0"/>
    </c:title>
    <c:autoTitleDeleted val="0"/>
    <c:plotArea>
      <c:layout>
        <c:manualLayout>
          <c:layoutTarget val="inner"/>
          <c:xMode val="edge"/>
          <c:yMode val="edge"/>
          <c:x val="0.0285714285714286"/>
          <c:y val="0.308474576271186"/>
          <c:w val="0.946275946275946"/>
          <c:h val="0.595435028248588"/>
        </c:manualLayout>
      </c:layout>
      <c:barChart>
        <c:barDir val="col"/>
        <c:grouping val="clustered"/>
        <c:varyColors val="0"/>
        <c:ser>
          <c:idx val="0"/>
          <c:order val="0"/>
          <c:tx>
            <c:strRef>
              <c:f>Sheet1!$B$1</c:f>
              <c:strCache>
                <c:ptCount val="1"/>
                <c:pt idx="0">
                  <c:v>2023年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1416.86</c:v>
                </c:pt>
                <c:pt idx="1">
                  <c:v>1416.86</c:v>
                </c:pt>
              </c:numCache>
            </c:numRef>
          </c:val>
        </c:ser>
        <c:ser>
          <c:idx val="1"/>
          <c:order val="1"/>
          <c:tx>
            <c:strRef>
              <c:f>Sheet1!$C$1</c:f>
              <c:strCache>
                <c:ptCount val="1"/>
                <c:pt idx="0">
                  <c:v>2022年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1430.33</c:v>
                </c:pt>
                <c:pt idx="1">
                  <c:v>1430.33</c:v>
                </c:pt>
              </c:numCache>
            </c:numRef>
          </c:val>
        </c:ser>
        <c:dLbls>
          <c:showLegendKey val="0"/>
          <c:showVal val="1"/>
          <c:showCatName val="0"/>
          <c:showSerName val="0"/>
          <c:showPercent val="0"/>
          <c:showBubbleSize val="0"/>
        </c:dLbls>
        <c:gapWidth val="150"/>
        <c:overlap val="-25"/>
        <c:axId val="294081280"/>
        <c:axId val="294082816"/>
      </c:barChart>
      <c:catAx>
        <c:axId val="2940812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294082816"/>
        <c:crosses val="autoZero"/>
        <c:auto val="1"/>
        <c:lblAlgn val="ctr"/>
        <c:lblOffset val="100"/>
        <c:noMultiLvlLbl val="0"/>
      </c:catAx>
      <c:valAx>
        <c:axId val="294082816"/>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08128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各项收入占总收入的比重</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本年支出合计</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manualLayout>
                  <c:x val="-0.0746250993434981"/>
                  <c:y val="-0.200549334366822"/>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86.6%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13.4%</a:t>
                    </a:r>
                    <a:endParaRPr lang="en-US" altLang="zh-CN"/>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0.866</c:v>
                </c:pt>
                <c:pt idx="1">
                  <c:v>0.134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97865291145251"/>
          <c:y val="0.281292851551078"/>
          <c:w val="0.946275946275946"/>
          <c:h val="0.595435028248588"/>
        </c:manualLayout>
      </c:layout>
      <c:barChart>
        <c:barDir val="col"/>
        <c:grouping val="clustered"/>
        <c:varyColors val="0"/>
        <c:ser>
          <c:idx val="0"/>
          <c:order val="0"/>
          <c:tx>
            <c:strRef>
              <c:f>Sheet1!$B$1</c:f>
              <c:strCache>
                <c:ptCount val="1"/>
                <c:pt idx="0">
                  <c:v>2023年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1416.86</c:v>
                </c:pt>
                <c:pt idx="1">
                  <c:v>1416.86</c:v>
                </c:pt>
              </c:numCache>
            </c:numRef>
          </c:val>
        </c:ser>
        <c:ser>
          <c:idx val="1"/>
          <c:order val="1"/>
          <c:tx>
            <c:strRef>
              <c:f>Sheet1!$C$1</c:f>
              <c:strCache>
                <c:ptCount val="1"/>
                <c:pt idx="0">
                  <c:v>2022年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1430.33</c:v>
                </c:pt>
                <c:pt idx="1">
                  <c:v>1430.33</c:v>
                </c:pt>
              </c:numCache>
            </c:numRef>
          </c:val>
        </c:ser>
        <c:dLbls>
          <c:showLegendKey val="0"/>
          <c:showVal val="1"/>
          <c:showCatName val="0"/>
          <c:showSerName val="0"/>
          <c:showPercent val="0"/>
          <c:showBubbleSize val="0"/>
        </c:dLbls>
        <c:gapWidth val="150"/>
        <c:overlap val="-25"/>
        <c:axId val="294081280"/>
        <c:axId val="294082816"/>
      </c:barChart>
      <c:catAx>
        <c:axId val="2940812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294082816"/>
        <c:crosses val="autoZero"/>
        <c:auto val="1"/>
        <c:lblAlgn val="ctr"/>
        <c:lblOffset val="100"/>
        <c:noMultiLvlLbl val="0"/>
      </c:catAx>
      <c:valAx>
        <c:axId val="294082816"/>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08128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12411680644041"/>
          <c:y val="0.125194083941088"/>
          <c:w val="0.905175"/>
          <c:h val="0.7605"/>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Sheet1!$B$2</c:f>
              <c:numCache>
                <c:formatCode>General</c:formatCode>
                <c:ptCount val="1"/>
                <c:pt idx="0">
                  <c:v>1416.86</c:v>
                </c:pt>
              </c:numCache>
            </c:numRef>
          </c:val>
        </c:ser>
        <c:ser>
          <c:idx val="1"/>
          <c:order val="1"/>
          <c:tx>
            <c:strRef>
              <c:f>Sheet1!$C$1</c:f>
              <c:strCache>
                <c:ptCount val="1"/>
                <c:pt idx="0">
                  <c:v>2022年</c:v>
                </c:pt>
              </c:strCache>
            </c:strRef>
          </c:tx>
          <c:spPr>
            <a:solidFill>
              <a:schemeClr val="accent2"/>
            </a:solidFill>
            <a:ln>
              <a:noFill/>
            </a:ln>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Sheet1!$C$2</c:f>
              <c:numCache>
                <c:formatCode>General</c:formatCode>
                <c:ptCount val="1"/>
                <c:pt idx="0">
                  <c:v>1430.33</c:v>
                </c:pt>
              </c:numCache>
            </c:numRef>
          </c:val>
        </c:ser>
        <c:dLbls>
          <c:showLegendKey val="0"/>
          <c:showVal val="1"/>
          <c:showCatName val="0"/>
          <c:showSerName val="0"/>
          <c:showPercent val="0"/>
          <c:showBubbleSize val="0"/>
        </c:dLbls>
        <c:gapWidth val="219"/>
        <c:overlap val="-27"/>
        <c:axId val="294766848"/>
        <c:axId val="294768000"/>
      </c:barChart>
      <c:catAx>
        <c:axId val="294766848"/>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768000"/>
        <c:crosses val="autoZero"/>
        <c:auto val="1"/>
        <c:lblAlgn val="ctr"/>
        <c:lblOffset val="100"/>
        <c:noMultiLvlLbl val="0"/>
      </c:catAx>
      <c:valAx>
        <c:axId val="2947680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4766848"/>
        <c:crosses val="autoZero"/>
        <c:crossBetween val="between"/>
      </c:valAx>
      <c:spPr>
        <a:noFill/>
        <a:ln>
          <a:noFill/>
        </a:ln>
        <a:effectLst/>
      </c:spPr>
    </c:plotArea>
    <c:legend>
      <c:legendPos val="b"/>
      <c:layout>
        <c:manualLayout>
          <c:xMode val="edge"/>
          <c:yMode val="edge"/>
          <c:x val="0.298078355429763"/>
          <c:y val="0.863199037883343"/>
          <c:w val="0.469238790406674"/>
          <c:h val="0.10072158749248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各项支出占总支出的比重</c:v>
                </c:pt>
              </c:strCache>
            </c:strRef>
          </c:tx>
          <c:explosion val="0"/>
          <c:dPt>
            <c:idx val="0"/>
            <c:bubble3D val="0"/>
          </c:dPt>
          <c:dPt>
            <c:idx val="1"/>
            <c:bubble3D val="0"/>
          </c:dPt>
          <c:dPt>
            <c:idx val="2"/>
            <c:bubble3D val="0"/>
          </c:dPt>
          <c:dPt>
            <c:idx val="3"/>
            <c:bubble3D val="0"/>
          </c:dPt>
          <c:dPt>
            <c:idx val="4"/>
            <c:bubble3D val="0"/>
          </c:dPt>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a:t>
                    </a:r>
                    <a:r>
                      <a:rPr lang="en-US" altLang="zh-CN"/>
                      <a:t>.5</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a:t>
                    </a:r>
                    <a:r>
                      <a:rPr lang="en-US" altLang="zh-CN"/>
                      <a:t>8.5</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0.00236776563851235"/>
                  <c:y val="0.028646992019077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6.4</a:t>
                    </a:r>
                    <a:r>
                      <a:t>%</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教育支出</c:v>
                </c:pt>
                <c:pt idx="2">
                  <c:v>社会保障和就业支出</c:v>
                </c:pt>
                <c:pt idx="3">
                  <c:v>卫生健康支出</c:v>
                </c:pt>
                <c:pt idx="4">
                  <c:v>住房保障支出</c:v>
                </c:pt>
              </c:strCache>
            </c:strRef>
          </c:cat>
          <c:val>
            <c:numRef>
              <c:f>Sheet1!$B$2:$B$6</c:f>
              <c:numCache>
                <c:formatCode>General</c:formatCode>
                <c:ptCount val="5"/>
                <c:pt idx="0">
                  <c:v>70</c:v>
                </c:pt>
                <c:pt idx="1" c:formatCode="@">
                  <c:v>1.5</c:v>
                </c:pt>
                <c:pt idx="2" c:formatCode="0.00_ ">
                  <c:v>18.5</c:v>
                </c:pt>
                <c:pt idx="3">
                  <c:v>3.6</c:v>
                </c:pt>
                <c:pt idx="4">
                  <c:v>6.4</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manualLayout>
          <c:layoutTarget val="inner"/>
          <c:xMode val="edge"/>
          <c:yMode val="edge"/>
          <c:x val="0.330874228559268"/>
          <c:y val="0.22318839011103"/>
          <c:w val="0.338251755692701"/>
          <c:h val="0.573439402548908"/>
        </c:manualLayout>
      </c:layout>
      <c:pieChart>
        <c:varyColors val="1"/>
        <c:ser>
          <c:idx val="0"/>
          <c:order val="0"/>
          <c:tx>
            <c:strRef>
              <c:f>Sheet1!$B$1</c:f>
              <c:strCache>
                <c:ptCount val="1"/>
                <c:pt idx="0">
                  <c:v>“三公”经费财政拨款支出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公务用车购置及运行维护费</c:v>
                </c:pt>
                <c:pt idx="1">
                  <c:v>公务接待费</c:v>
                </c:pt>
              </c:strCache>
            </c:strRef>
          </c:cat>
          <c:val>
            <c:numRef>
              <c:f>Sheet1!$B$2:$B$3</c:f>
              <c:numCache>
                <c:formatCode>0.00%</c:formatCode>
                <c:ptCount val="2"/>
                <c:pt idx="0">
                  <c:v>0.7215</c:v>
                </c:pt>
                <c:pt idx="1">
                  <c:v>0.2785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9159</Words>
  <Characters>11974</Characters>
  <Lines>61</Lines>
  <Paragraphs>17</Paragraphs>
  <TotalTime>16</TotalTime>
  <ScaleCrop>false</ScaleCrop>
  <LinksUpToDate>false</LinksUpToDate>
  <CharactersWithSpaces>12066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cp:lastModifiedBy>
  <cp:lastPrinted>2024-08-05T01:44:00Z</cp:lastPrinted>
  <dcterms:modified xsi:type="dcterms:W3CDTF">2024-09-27T01:59:25Z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7EA4984E4A2E45F9871DBCC2BD6A3745_12</vt:lpwstr>
  </property>
</Properties>
</file>