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8441"/>
      <w:bookmarkStart w:id="2" w:name="_Toc15396475"/>
      <w:bookmarkStart w:id="3" w:name="_Toc15377193"/>
      <w:bookmarkStart w:id="4" w:name="_Toc15396597"/>
      <w:bookmarkStart w:id="5" w:name="_Toc1537742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7426"/>
      <w:bookmarkStart w:id="7" w:name="_Toc15396476"/>
      <w:bookmarkStart w:id="8" w:name="_Toc15396598"/>
      <w:bookmarkStart w:id="9" w:name="_Toc15377194"/>
      <w:bookmarkStart w:id="10" w:name="_Toc15378442"/>
      <w:r>
        <w:rPr>
          <w:rFonts w:hint="eastAsia" w:ascii="方正小标宋简体" w:hAnsi="方正小标宋简体" w:eastAsia="方正小标宋简体" w:cs="方正小标宋简体"/>
          <w:color w:val="auto"/>
          <w:sz w:val="72"/>
          <w:szCs w:val="72"/>
          <w:highlight w:val="none"/>
        </w:rPr>
        <w:t>四川省</w:t>
      </w:r>
      <w:bookmarkEnd w:id="0"/>
      <w:bookmarkStart w:id="11" w:name="_Toc15306268"/>
      <w:r>
        <w:rPr>
          <w:rFonts w:hint="eastAsia" w:ascii="方正小标宋简体" w:hAnsi="方正小标宋简体" w:eastAsia="方正小标宋简体" w:cs="方正小标宋简体"/>
          <w:color w:val="auto"/>
          <w:sz w:val="72"/>
          <w:szCs w:val="72"/>
          <w:highlight w:val="none"/>
          <w:lang w:val="en-US" w:eastAsia="zh-CN"/>
        </w:rPr>
        <w:t>审计厅政府投资审计中心</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6</w:t>
      </w:r>
      <w:r>
        <w:rPr>
          <w:rFonts w:hint="eastAsia"/>
          <w:color w:val="auto"/>
          <w:highlight w:val="none"/>
        </w:rPr>
        <w:t>日</w:t>
      </w:r>
    </w:p>
    <w:p>
      <w:pPr>
        <w:rPr>
          <w:color w:val="auto"/>
          <w:highlight w:val="none"/>
        </w:rPr>
      </w:pPr>
    </w:p>
    <w:p>
      <w:pPr>
        <w:pStyle w:val="10"/>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color w:val="auto"/>
          <w:sz w:val="24"/>
          <w:highlight w:val="none"/>
          <w:lang w:eastAsia="zh-CN"/>
        </w:rPr>
        <w:t>…………………………………………………………………</w:t>
      </w:r>
      <w:r>
        <w:rPr>
          <w:rFonts w:hint="eastAsia"/>
          <w:color w:val="auto"/>
          <w:sz w:val="24"/>
          <w:highlight w:val="none"/>
          <w:lang w:val="en-US" w:eastAsia="zh-CN"/>
        </w:rPr>
        <w:t>4</w:t>
      </w:r>
    </w:p>
    <w:p>
      <w:pPr>
        <w:pStyle w:val="11"/>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eastAsia="zh-CN"/>
        </w:rPr>
        <w:t>主要职责……………………………………………………………………</w:t>
      </w:r>
      <w:r>
        <w:rPr>
          <w:rFonts w:hint="eastAsia"/>
          <w:color w:val="auto"/>
          <w:sz w:val="24"/>
          <w:highlight w:val="none"/>
          <w:lang w:val="en-US" w:eastAsia="zh-CN"/>
        </w:rPr>
        <w:t>4</w:t>
      </w:r>
    </w:p>
    <w:p>
      <w:pPr>
        <w:pStyle w:val="11"/>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机构设置…………………</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4</w:t>
      </w:r>
    </w:p>
    <w:p>
      <w:pPr>
        <w:pStyle w:val="10"/>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eastAsia="zh-CN"/>
        </w:rPr>
        <w:t>……………………………………………</w:t>
      </w:r>
      <w:r>
        <w:rPr>
          <w:rFonts w:hint="eastAsia"/>
          <w:color w:val="auto"/>
          <w:sz w:val="24"/>
          <w:highlight w:val="none"/>
          <w:lang w:val="en-US" w:eastAsia="zh-CN"/>
        </w:rPr>
        <w:t>5</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eastAsia="zh-CN"/>
        </w:rPr>
        <w:t>………………………………………………</w:t>
      </w:r>
      <w:r>
        <w:rPr>
          <w:rFonts w:hint="eastAsia"/>
          <w:color w:val="auto"/>
          <w:sz w:val="24"/>
          <w:highlight w:val="none"/>
          <w:lang w:val="en-US" w:eastAsia="zh-CN"/>
        </w:rPr>
        <w:t>5</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eastAsia="zh-CN"/>
        </w:rPr>
        <w:t>…………………………………………………………</w:t>
      </w:r>
      <w:r>
        <w:rPr>
          <w:rFonts w:hint="eastAsia"/>
          <w:color w:val="auto"/>
          <w:sz w:val="24"/>
          <w:highlight w:val="none"/>
          <w:lang w:val="en-US" w:eastAsia="zh-CN"/>
        </w:rPr>
        <w:t>5</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eastAsia="zh-CN"/>
        </w:rPr>
        <w:t>…………………………………………………………</w:t>
      </w:r>
      <w:r>
        <w:rPr>
          <w:rFonts w:hint="eastAsia"/>
          <w:color w:val="auto"/>
          <w:sz w:val="24"/>
          <w:highlight w:val="none"/>
          <w:lang w:val="en-US" w:eastAsia="zh-CN"/>
        </w:rPr>
        <w:t>6</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eastAsia="zh-CN"/>
        </w:rPr>
        <w:t>……………………………………</w:t>
      </w:r>
      <w:r>
        <w:rPr>
          <w:rFonts w:hint="eastAsia"/>
          <w:color w:val="auto"/>
          <w:sz w:val="24"/>
          <w:highlight w:val="none"/>
          <w:lang w:val="en-US" w:eastAsia="zh-CN"/>
        </w:rPr>
        <w:t>7</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eastAsia="zh-CN"/>
        </w:rPr>
        <w:t>………………………………</w:t>
      </w:r>
      <w:r>
        <w:rPr>
          <w:rFonts w:hint="eastAsia"/>
          <w:color w:val="auto"/>
          <w:sz w:val="24"/>
          <w:highlight w:val="none"/>
          <w:lang w:val="en-US" w:eastAsia="zh-CN"/>
        </w:rPr>
        <w:t>7</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eastAsia="zh-CN"/>
        </w:rPr>
        <w:t>…………………………</w:t>
      </w:r>
      <w:r>
        <w:rPr>
          <w:rFonts w:hint="eastAsia"/>
          <w:color w:val="auto"/>
          <w:sz w:val="24"/>
          <w:highlight w:val="none"/>
          <w:lang w:val="en-US" w:eastAsia="zh-CN"/>
        </w:rPr>
        <w:t>9</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color w:val="auto"/>
          <w:sz w:val="24"/>
          <w:highlight w:val="none"/>
          <w:lang w:eastAsia="zh-CN"/>
        </w:rPr>
        <w:t>………………………………</w:t>
      </w:r>
      <w:r>
        <w:rPr>
          <w:rFonts w:hint="eastAsia"/>
          <w:color w:val="auto"/>
          <w:sz w:val="24"/>
          <w:highlight w:val="none"/>
          <w:lang w:val="en-US" w:eastAsia="zh-CN"/>
        </w:rPr>
        <w:t>10</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eastAsia="zh-CN"/>
        </w:rPr>
        <w:t>………………………………………</w:t>
      </w:r>
      <w:r>
        <w:rPr>
          <w:rFonts w:hint="eastAsia"/>
          <w:color w:val="auto"/>
          <w:sz w:val="24"/>
          <w:highlight w:val="none"/>
          <w:lang w:val="en-US" w:eastAsia="zh-CN"/>
        </w:rPr>
        <w:t>11</w:t>
      </w:r>
    </w:p>
    <w:p>
      <w:pPr>
        <w:pStyle w:val="11"/>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九、国有资本经营预算支出决算情况说明</w:t>
      </w:r>
      <w:r>
        <w:rPr>
          <w:rFonts w:hint="eastAsia"/>
          <w:color w:val="auto"/>
          <w:sz w:val="24"/>
          <w:highlight w:val="none"/>
          <w:lang w:eastAsia="zh-CN"/>
        </w:rPr>
        <w:t>……………………………………</w:t>
      </w:r>
      <w:r>
        <w:rPr>
          <w:rFonts w:hint="eastAsia"/>
          <w:color w:val="auto"/>
          <w:sz w:val="24"/>
          <w:highlight w:val="none"/>
          <w:lang w:val="en-US" w:eastAsia="zh-CN"/>
        </w:rPr>
        <w:t>11</w:t>
      </w:r>
      <w:r>
        <w:rPr>
          <w:rFonts w:hint="eastAsia"/>
          <w:color w:val="auto"/>
          <w:sz w:val="24"/>
          <w:highlight w:val="none"/>
        </w:rPr>
        <w:t>十、其他重要事项的情况说明</w:t>
      </w:r>
      <w:r>
        <w:rPr>
          <w:rFonts w:hint="eastAsia"/>
          <w:color w:val="auto"/>
          <w:sz w:val="24"/>
          <w:highlight w:val="none"/>
          <w:lang w:eastAsia="zh-CN"/>
        </w:rPr>
        <w:t>…………………………………………………</w:t>
      </w:r>
      <w:r>
        <w:rPr>
          <w:rFonts w:hint="eastAsia"/>
          <w:color w:val="auto"/>
          <w:sz w:val="24"/>
          <w:highlight w:val="none"/>
          <w:lang w:val="en-US" w:eastAsia="zh-CN"/>
        </w:rPr>
        <w:t>11</w:t>
      </w:r>
    </w:p>
    <w:p>
      <w:pPr>
        <w:pStyle w:val="10"/>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eastAsia="zh-CN"/>
        </w:rPr>
        <w:t>…………………………………………………………………</w:t>
      </w:r>
      <w:r>
        <w:rPr>
          <w:rFonts w:hint="eastAsia"/>
          <w:color w:val="auto"/>
          <w:sz w:val="24"/>
          <w:highlight w:val="none"/>
          <w:lang w:val="en-US" w:eastAsia="zh-CN"/>
        </w:rPr>
        <w:t>13</w:t>
      </w:r>
    </w:p>
    <w:p>
      <w:pPr>
        <w:pStyle w:val="10"/>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eastAsia="zh-CN"/>
        </w:rPr>
        <w:t>………………………………………………………………………</w:t>
      </w:r>
      <w:r>
        <w:rPr>
          <w:rFonts w:hint="eastAsia"/>
          <w:color w:val="auto"/>
          <w:sz w:val="24"/>
          <w:highlight w:val="none"/>
          <w:lang w:val="en-US" w:eastAsia="zh-CN"/>
        </w:rPr>
        <w:t>15</w:t>
      </w:r>
    </w:p>
    <w:p>
      <w:pPr>
        <w:pStyle w:val="10"/>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eastAsia="zh-CN"/>
        </w:rPr>
        <w:t>………………………………………………………………………</w:t>
      </w:r>
      <w:r>
        <w:rPr>
          <w:rFonts w:hint="eastAsia"/>
          <w:color w:val="auto"/>
          <w:sz w:val="24"/>
          <w:highlight w:val="none"/>
          <w:lang w:val="en-US" w:eastAsia="zh-CN"/>
        </w:rPr>
        <w:t>16</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十、一般公共预算财政拨款“三公”经费支出决算表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十一、政府性基金预算财政拨款收入支出决算表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十二、政府性基金预算财政拨款“三公”经费支出决算表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p>
    <w:p>
      <w:pPr>
        <w:pStyle w:val="11"/>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十四、国有资本经营预算财政拨款支出决算表</w:t>
      </w:r>
    </w:p>
    <w:p>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hint="eastAsia" w:ascii="仿宋" w:hAnsi="仿宋" w:eastAsia="仿宋"/>
          <w:color w:val="auto"/>
          <w:sz w:val="24"/>
          <w:highlight w:val="none"/>
          <w:lang w:val="en-US" w:eastAsia="zh-CN"/>
        </w:rPr>
        <w:t xml:space="preserve"> </w:t>
      </w:r>
      <w:r>
        <w:rPr>
          <w:rFonts w:ascii="仿宋" w:hAnsi="仿宋" w:eastAsia="仿宋"/>
          <w:b/>
          <w:color w:val="auto"/>
          <w:sz w:val="24"/>
          <w:highlight w:val="none"/>
        </w:rPr>
        <w:br w:type="page"/>
      </w:r>
    </w:p>
    <w:p>
      <w:pPr>
        <w:pStyle w:val="3"/>
        <w:jc w:val="center"/>
        <w:rPr>
          <w:rStyle w:val="24"/>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32"/>
        <w:ind w:firstLine="640" w:firstLineChars="200"/>
        <w:rPr>
          <w:rFonts w:hint="eastAsia" w:ascii="仿宋_GB2312" w:hAnsi="仿宋_GB2312" w:eastAsia="仿宋_GB2312" w:cs="仿宋_GB2312"/>
          <w:sz w:val="32"/>
          <w:szCs w:val="32"/>
          <w:lang w:eastAsia="zh-CN"/>
        </w:rPr>
      </w:pPr>
      <w:bookmarkStart w:id="14" w:name="_Toc15377197"/>
      <w:bookmarkStart w:id="15" w:name="_Toc15396600"/>
      <w:r>
        <w:rPr>
          <w:rFonts w:hint="eastAsia" w:ascii="黑体" w:hAnsi="黑体" w:eastAsia="黑体" w:cs="黑体"/>
          <w:sz w:val="32"/>
          <w:szCs w:val="32"/>
          <w:lang w:eastAsia="zh-CN"/>
        </w:rPr>
        <w:t>一、主要职责</w:t>
      </w:r>
    </w:p>
    <w:p>
      <w:pPr>
        <w:pStyle w:val="32"/>
        <w:ind w:firstLine="640" w:firstLineChars="200"/>
        <w:rPr>
          <w:rFonts w:ascii="仿宋" w:hAnsi="仿宋" w:eastAsia="仿宋"/>
          <w:color w:val="000000"/>
          <w:sz w:val="32"/>
          <w:szCs w:val="32"/>
        </w:rPr>
      </w:pPr>
      <w:r>
        <w:rPr>
          <w:rFonts w:hint="eastAsia" w:ascii="仿宋_GB2312" w:hAnsi="仿宋_GB2312" w:eastAsia="仿宋_GB2312" w:cs="仿宋_GB2312"/>
          <w:sz w:val="32"/>
          <w:szCs w:val="32"/>
          <w:lang w:eastAsia="zh-CN"/>
        </w:rPr>
        <w:t>四川省审计厅政府投资审计中心主要职责是承担政府投资项目执行情况审计评审等事务性工作。</w:t>
      </w:r>
    </w:p>
    <w:bookmarkEnd w:id="14"/>
    <w:bookmarkEnd w:id="15"/>
    <w:p>
      <w:pPr>
        <w:pStyle w:val="4"/>
        <w:numPr>
          <w:ilvl w:val="0"/>
          <w:numId w:val="1"/>
        </w:numPr>
        <w:ind w:firstLine="640" w:firstLineChars="200"/>
        <w:rPr>
          <w:rFonts w:hint="eastAsia"/>
        </w:rPr>
      </w:pPr>
      <w:r>
        <w:rPr>
          <w:rFonts w:hint="eastAsia" w:ascii="黑体" w:hAnsi="黑体" w:eastAsia="黑体"/>
          <w:b w:val="0"/>
          <w:color w:val="auto"/>
          <w:highlight w:val="none"/>
          <w:lang w:val="en-US" w:eastAsia="zh-CN"/>
        </w:rPr>
        <w:t>机构设置</w:t>
      </w:r>
    </w:p>
    <w:p>
      <w:pPr>
        <w:ind w:firstLine="640" w:firstLineChars="200"/>
        <w:rPr>
          <w:rFonts w:hint="eastAsia"/>
        </w:rPr>
      </w:pPr>
      <w:r>
        <w:rPr>
          <w:rFonts w:hint="eastAsia" w:ascii="仿宋_GB2312" w:hAnsi="仿宋_GB2312" w:eastAsia="仿宋_GB2312" w:cs="仿宋_GB2312"/>
          <w:sz w:val="32"/>
          <w:szCs w:val="32"/>
          <w:lang w:eastAsia="zh-CN"/>
        </w:rPr>
        <w:t>四川省审计厅政府投资审计中心为审计厅管理的正处级公益一类事业单位。</w:t>
      </w:r>
    </w:p>
    <w:p>
      <w:pPr>
        <w:widowControl/>
        <w:ind w:firstLine="640" w:firstLineChars="200"/>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16"/>
      <w:bookmarkEnd w:id="17"/>
    </w:p>
    <w:p>
      <w:pPr>
        <w:rPr>
          <w:color w:val="auto"/>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203.98万元</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0.22万元</w:t>
      </w:r>
      <w:r>
        <w:rPr>
          <w:rFonts w:hint="eastAsia" w:ascii="仿宋" w:hAnsi="仿宋" w:eastAsia="仿宋"/>
          <w:color w:val="auto"/>
          <w:sz w:val="32"/>
          <w:szCs w:val="32"/>
          <w:highlight w:val="none"/>
        </w:rPr>
        <w:t>，增长</w:t>
      </w:r>
      <w:r>
        <w:rPr>
          <w:rFonts w:hint="eastAsia" w:ascii="仿宋" w:hAnsi="仿宋" w:eastAsia="仿宋"/>
          <w:color w:val="auto"/>
          <w:sz w:val="32"/>
          <w:szCs w:val="32"/>
          <w:highlight w:val="none"/>
          <w:lang w:val="en-US" w:eastAsia="zh-CN"/>
        </w:rPr>
        <w:t>0.11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人员经费的微调。</w:t>
      </w:r>
    </w:p>
    <w:p>
      <w:pPr>
        <w:spacing w:line="24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581525" cy="2752725"/>
            <wp:effectExtent l="0" t="0" r="9525" b="9525"/>
            <wp:docPr id="1" name="图片 1"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true"/>
                    </pic:cNvPicPr>
                  </pic:nvPicPr>
                  <pic:blipFill>
                    <a:blip r:embed="rId6"/>
                    <a:stretch>
                      <a:fillRect/>
                    </a:stretch>
                  </pic:blipFill>
                  <pic:spPr>
                    <a:xfrm>
                      <a:off x="0" y="0"/>
                      <a:ext cx="4581525" cy="2752725"/>
                    </a:xfrm>
                    <a:prstGeom prst="rect">
                      <a:avLst/>
                    </a:prstGeom>
                  </pic:spPr>
                </pic:pic>
              </a:graphicData>
            </a:graphic>
          </wp:inline>
        </w:drawing>
      </w:r>
    </w:p>
    <w:p>
      <w:pPr>
        <w:spacing w:line="600" w:lineRule="exact"/>
        <w:ind w:firstLine="1280" w:firstLineChars="4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spacing w:line="600" w:lineRule="exact"/>
        <w:ind w:firstLine="640" w:firstLineChars="200"/>
        <w:jc w:val="left"/>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203.98</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203.98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outlineLvl w:val="1"/>
        <w:rPr>
          <w:rFonts w:ascii="仿宋" w:hAnsi="仿宋" w:eastAsia="仿宋"/>
          <w:color w:val="auto"/>
          <w:sz w:val="32"/>
          <w:szCs w:val="32"/>
          <w:highlight w:val="none"/>
        </w:rPr>
      </w:pPr>
    </w:p>
    <w:p>
      <w:pPr>
        <w:pStyle w:val="2"/>
        <w:rPr>
          <w:rFonts w:hint="eastAsia" w:ascii="仿宋" w:hAnsi="仿宋" w:eastAsia="仿宋"/>
          <w:color w:val="auto"/>
          <w:sz w:val="32"/>
          <w:szCs w:val="32"/>
          <w:highlight w:val="none"/>
          <w:lang w:eastAsia="zh-CN"/>
        </w:rPr>
      </w:pPr>
    </w:p>
    <w:p>
      <w:pPr>
        <w:pStyle w:val="2"/>
        <w:rPr>
          <w:rFonts w:ascii="仿宋" w:hAnsi="仿宋" w:eastAsia="仿宋"/>
          <w:color w:val="auto"/>
          <w:sz w:val="32"/>
          <w:szCs w:val="32"/>
          <w:highlight w:val="none"/>
        </w:rPr>
      </w:pPr>
    </w:p>
    <w:p>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935" distR="114935" simplePos="0" relativeHeight="251661312" behindDoc="0" locked="0" layoutInCell="1" allowOverlap="1">
            <wp:simplePos x="0" y="0"/>
            <wp:positionH relativeFrom="column">
              <wp:posOffset>285750</wp:posOffset>
            </wp:positionH>
            <wp:positionV relativeFrom="paragraph">
              <wp:posOffset>20320</wp:posOffset>
            </wp:positionV>
            <wp:extent cx="4587240" cy="2758440"/>
            <wp:effectExtent l="0" t="0" r="0" b="0"/>
            <wp:wrapSquare wrapText="bothSides"/>
            <wp:docPr id="9" name="图片 9" descr="图片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图片2"/>
                    <pic:cNvPicPr>
                      <a:picLocks noChangeAspect="true"/>
                    </pic:cNvPicPr>
                  </pic:nvPicPr>
                  <pic:blipFill>
                    <a:blip r:embed="rId7"/>
                    <a:stretch>
                      <a:fillRect/>
                    </a:stretch>
                  </pic:blipFill>
                  <pic:spPr>
                    <a:xfrm>
                      <a:off x="0" y="0"/>
                      <a:ext cx="4587240" cy="2758440"/>
                    </a:xfrm>
                    <a:prstGeom prst="rect">
                      <a:avLst/>
                    </a:prstGeom>
                  </pic:spPr>
                </pic:pic>
              </a:graphicData>
            </a:graphic>
          </wp:anchor>
        </w:drawing>
      </w: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spacing w:line="600" w:lineRule="exact"/>
        <w:ind w:firstLine="1920" w:firstLineChars="600"/>
        <w:rPr>
          <w:rFonts w:hint="eastAsia" w:ascii="仿宋" w:hAnsi="仿宋" w:eastAsia="仿宋"/>
          <w:color w:val="auto"/>
          <w:sz w:val="32"/>
          <w:szCs w:val="32"/>
          <w:highlight w:val="none"/>
        </w:rPr>
      </w:pPr>
    </w:p>
    <w:p>
      <w:pPr>
        <w:spacing w:line="600" w:lineRule="exact"/>
        <w:ind w:firstLine="1920" w:firstLineChars="600"/>
        <w:rPr>
          <w:rFonts w:hint="eastAsia" w:ascii="仿宋" w:hAnsi="仿宋" w:eastAsia="仿宋"/>
          <w:color w:val="auto"/>
          <w:sz w:val="32"/>
          <w:szCs w:val="32"/>
          <w:highlight w:val="none"/>
        </w:rPr>
      </w:pPr>
    </w:p>
    <w:p>
      <w:pPr>
        <w:spacing w:line="600" w:lineRule="exact"/>
        <w:ind w:firstLine="1920" w:firstLineChars="6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spacing w:line="600" w:lineRule="exact"/>
        <w:ind w:firstLine="640" w:firstLineChars="200"/>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203.98</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203.98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spacing w:line="240" w:lineRule="auto"/>
        <w:ind w:firstLine="640"/>
        <w:rPr>
          <w:rFonts w:hint="eastAsia" w:ascii="仿宋" w:hAnsi="仿宋" w:eastAsia="仿宋"/>
          <w:color w:val="auto"/>
          <w:sz w:val="32"/>
          <w:szCs w:val="32"/>
          <w:highlight w:val="none"/>
          <w:shd w:val="pct10" w:color="auto" w:fill="FFFFFF"/>
          <w:lang w:eastAsia="zh-CN"/>
        </w:rPr>
      </w:pPr>
      <w:r>
        <w:rPr>
          <w:rFonts w:hint="eastAsia" w:ascii="仿宋" w:hAnsi="仿宋" w:eastAsia="仿宋"/>
          <w:color w:val="auto"/>
          <w:sz w:val="32"/>
          <w:szCs w:val="32"/>
          <w:highlight w:val="none"/>
          <w:shd w:val="pct10" w:color="auto" w:fill="FFFFFF"/>
          <w:lang w:eastAsia="zh-CN"/>
        </w:rPr>
        <w:drawing>
          <wp:anchor distT="0" distB="0" distL="114935" distR="114935" simplePos="0" relativeHeight="251662336" behindDoc="0" locked="0" layoutInCell="1" allowOverlap="1">
            <wp:simplePos x="0" y="0"/>
            <wp:positionH relativeFrom="column">
              <wp:posOffset>457200</wp:posOffset>
            </wp:positionH>
            <wp:positionV relativeFrom="paragraph">
              <wp:posOffset>312420</wp:posOffset>
            </wp:positionV>
            <wp:extent cx="4587240" cy="2758440"/>
            <wp:effectExtent l="0" t="0" r="0" b="0"/>
            <wp:wrapSquare wrapText="bothSides"/>
            <wp:docPr id="10" name="图片 10" descr="图片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图片3"/>
                    <pic:cNvPicPr>
                      <a:picLocks noChangeAspect="true"/>
                    </pic:cNvPicPr>
                  </pic:nvPicPr>
                  <pic:blipFill>
                    <a:blip r:embed="rId8"/>
                    <a:stretch>
                      <a:fillRect/>
                    </a:stretch>
                  </pic:blipFill>
                  <pic:spPr>
                    <a:xfrm>
                      <a:off x="0" y="0"/>
                      <a:ext cx="4587240" cy="2758440"/>
                    </a:xfrm>
                    <a:prstGeom prst="rect">
                      <a:avLst/>
                    </a:prstGeom>
                  </pic:spPr>
                </pic:pic>
              </a:graphicData>
            </a:graphic>
          </wp:anchor>
        </w:drawing>
      </w:r>
    </w:p>
    <w:p>
      <w:pPr>
        <w:pStyle w:val="2"/>
        <w:rPr>
          <w:rFonts w:ascii="仿宋" w:hAnsi="仿宋" w:eastAsia="仿宋"/>
          <w:color w:val="auto"/>
          <w:sz w:val="32"/>
          <w:szCs w:val="32"/>
          <w:highlight w:val="none"/>
          <w:shd w:val="pct10" w:color="auto" w:fill="FFFFFF"/>
        </w:rPr>
      </w:pPr>
    </w:p>
    <w:p>
      <w:pPr>
        <w:pStyle w:val="2"/>
        <w:rPr>
          <w:rFonts w:ascii="仿宋" w:hAnsi="仿宋" w:eastAsia="仿宋"/>
          <w:color w:val="auto"/>
          <w:sz w:val="32"/>
          <w:szCs w:val="32"/>
          <w:highlight w:val="none"/>
          <w:shd w:val="pct10" w:color="auto" w:fill="FFFFFF"/>
        </w:rPr>
      </w:pPr>
    </w:p>
    <w:p>
      <w:pPr>
        <w:pStyle w:val="2"/>
        <w:rPr>
          <w:rFonts w:ascii="仿宋" w:hAnsi="仿宋" w:eastAsia="仿宋"/>
          <w:color w:val="auto"/>
          <w:sz w:val="32"/>
          <w:szCs w:val="32"/>
          <w:highlight w:val="none"/>
          <w:shd w:val="pct10" w:color="auto" w:fill="FFFFFF"/>
        </w:rPr>
      </w:pPr>
    </w:p>
    <w:p>
      <w:pPr>
        <w:pStyle w:val="2"/>
        <w:rPr>
          <w:rFonts w:ascii="仿宋" w:hAnsi="仿宋" w:eastAsia="仿宋"/>
          <w:color w:val="auto"/>
          <w:sz w:val="32"/>
          <w:szCs w:val="32"/>
          <w:highlight w:val="none"/>
          <w:shd w:val="pct10" w:color="auto" w:fill="FFFFFF"/>
        </w:rPr>
      </w:pPr>
    </w:p>
    <w:p>
      <w:pPr>
        <w:pStyle w:val="2"/>
        <w:rPr>
          <w:rFonts w:ascii="仿宋" w:hAnsi="仿宋" w:eastAsia="仿宋"/>
          <w:color w:val="auto"/>
          <w:sz w:val="32"/>
          <w:szCs w:val="32"/>
          <w:highlight w:val="none"/>
          <w:shd w:val="pct10" w:color="auto" w:fill="FFFFFF"/>
        </w:rPr>
      </w:pPr>
    </w:p>
    <w:p>
      <w:pPr>
        <w:pStyle w:val="2"/>
        <w:rPr>
          <w:rFonts w:ascii="仿宋" w:hAnsi="仿宋" w:eastAsia="仿宋"/>
          <w:color w:val="auto"/>
          <w:sz w:val="32"/>
          <w:szCs w:val="32"/>
          <w:highlight w:val="none"/>
          <w:shd w:val="pct10" w:color="auto" w:fill="FFFFFF"/>
        </w:rPr>
      </w:pPr>
    </w:p>
    <w:p>
      <w:pPr>
        <w:spacing w:line="600" w:lineRule="exact"/>
        <w:ind w:firstLine="2240" w:firstLineChars="7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203.98</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0.22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0.11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人员经费的微调。</w:t>
      </w:r>
    </w:p>
    <w:p>
      <w:pPr>
        <w:pStyle w:val="2"/>
        <w:rPr>
          <w:rFonts w:hint="default"/>
          <w:lang w:val="en-US" w:eastAsia="zh-CN"/>
        </w:rPr>
      </w:pPr>
    </w:p>
    <w:p>
      <w:pPr>
        <w:spacing w:line="240" w:lineRule="auto"/>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581525" cy="2752725"/>
            <wp:effectExtent l="0" t="0" r="9525" b="9525"/>
            <wp:docPr id="2" name="图片 2" descr="图片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图片4"/>
                    <pic:cNvPicPr>
                      <a:picLocks noChangeAspect="true"/>
                    </pic:cNvPicPr>
                  </pic:nvPicPr>
                  <pic:blipFill>
                    <a:blip r:embed="rId9"/>
                    <a:stretch>
                      <a:fillRect/>
                    </a:stretch>
                  </pic:blipFill>
                  <pic:spPr>
                    <a:xfrm>
                      <a:off x="0" y="0"/>
                      <a:ext cx="4581525" cy="2752725"/>
                    </a:xfrm>
                    <a:prstGeom prst="rect">
                      <a:avLst/>
                    </a:prstGeom>
                  </pic:spPr>
                </pic:pic>
              </a:graphicData>
            </a:graphic>
          </wp:inline>
        </w:drawing>
      </w:r>
    </w:p>
    <w:p>
      <w:pPr>
        <w:spacing w:line="600" w:lineRule="exact"/>
        <w:ind w:firstLine="960" w:firstLineChars="3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26"/>
      <w:bookmarkEnd w:id="27"/>
    </w:p>
    <w:p>
      <w:pPr>
        <w:spacing w:line="600" w:lineRule="exact"/>
        <w:ind w:firstLine="642"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203.98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0.22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0.11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人员经费的微调。</w:t>
      </w:r>
    </w:p>
    <w:p>
      <w:pPr>
        <w:spacing w:line="600" w:lineRule="exact"/>
        <w:ind w:firstLine="640" w:firstLineChars="200"/>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581525" cy="2752725"/>
            <wp:effectExtent l="0" t="0" r="9525" b="9525"/>
            <wp:docPr id="3" name="图片 3" descr="图片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图片5"/>
                    <pic:cNvPicPr>
                      <a:picLocks noChangeAspect="true"/>
                    </pic:cNvPicPr>
                  </pic:nvPicPr>
                  <pic:blipFill>
                    <a:blip r:embed="rId10"/>
                    <a:stretch>
                      <a:fillRect/>
                    </a:stretch>
                  </pic:blipFill>
                  <pic:spPr>
                    <a:xfrm>
                      <a:off x="0" y="0"/>
                      <a:ext cx="4581525" cy="2752725"/>
                    </a:xfrm>
                    <a:prstGeom prst="rect">
                      <a:avLst/>
                    </a:prstGeom>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图5：一般公共预算财政拨款支出决算变动情况）</w:t>
      </w:r>
    </w:p>
    <w:p>
      <w:pPr>
        <w:spacing w:line="600" w:lineRule="exact"/>
        <w:ind w:firstLine="642"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203.98</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154.49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20.49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15.06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13.94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rPr>
          <w:rFonts w:hint="eastAsia"/>
        </w:rPr>
      </w:pPr>
    </w:p>
    <w:p>
      <w:pPr>
        <w:spacing w:line="240" w:lineRule="auto"/>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581525" cy="2752725"/>
            <wp:effectExtent l="0" t="0" r="9525" b="9525"/>
            <wp:docPr id="4" name="图片 4" descr="图片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图片6"/>
                    <pic:cNvPicPr>
                      <a:picLocks noChangeAspect="true"/>
                    </pic:cNvPicPr>
                  </pic:nvPicPr>
                  <pic:blipFill>
                    <a:blip r:embed="rId11"/>
                    <a:stretch>
                      <a:fillRect/>
                    </a:stretch>
                  </pic:blipFill>
                  <pic:spPr>
                    <a:xfrm>
                      <a:off x="0" y="0"/>
                      <a:ext cx="4581525" cy="2752725"/>
                    </a:xfrm>
                    <a:prstGeom prst="rect">
                      <a:avLst/>
                    </a:prstGeom>
                  </pic:spPr>
                </pic:pic>
              </a:graphicData>
            </a:graphic>
          </wp:inline>
        </w:drawing>
      </w:r>
    </w:p>
    <w:p>
      <w:pPr>
        <w:spacing w:line="600" w:lineRule="exact"/>
        <w:ind w:firstLine="960" w:firstLineChars="300"/>
      </w:pPr>
      <w:r>
        <w:rPr>
          <w:rFonts w:hint="eastAsia" w:ascii="仿宋" w:hAnsi="仿宋" w:eastAsia="仿宋"/>
          <w:color w:val="auto"/>
          <w:sz w:val="32"/>
          <w:szCs w:val="32"/>
          <w:highlight w:val="none"/>
        </w:rPr>
        <w:t>（图6：一般公共预算财政拨款支出决算结构）</w:t>
      </w:r>
    </w:p>
    <w:p>
      <w:pPr>
        <w:spacing w:line="600" w:lineRule="exact"/>
        <w:ind w:firstLine="642"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2" w:firstLineChars="200"/>
        <w:outlineLvl w:val="2"/>
        <w:rPr>
          <w:rFonts w:ascii="仿宋" w:hAnsi="仿宋" w:eastAsia="仿宋"/>
          <w:color w:val="auto"/>
          <w:sz w:val="32"/>
          <w:szCs w:val="32"/>
          <w:highlight w:val="none"/>
        </w:rPr>
      </w:pPr>
      <w:bookmarkStart w:id="31" w:name="_Toc15377213"/>
      <w:bookmarkStart w:id="32" w:name="_Toc15378460"/>
      <w:bookmarkStart w:id="33"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lang w:val="en-US" w:eastAsia="zh-CN"/>
        </w:rPr>
        <w:t>203.98万元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74</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31"/>
      <w:bookmarkEnd w:id="32"/>
      <w:bookmarkEnd w:id="33"/>
    </w:p>
    <w:p>
      <w:pPr>
        <w:spacing w:line="56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一般公共服务（类）审计事务（款）</w:t>
      </w:r>
      <w:r>
        <w:rPr>
          <w:rStyle w:val="14"/>
          <w:rFonts w:hint="eastAsia" w:ascii="仿宋" w:hAnsi="仿宋" w:eastAsia="仿宋"/>
          <w:bCs/>
          <w:color w:val="000000"/>
          <w:sz w:val="32"/>
          <w:szCs w:val="32"/>
          <w:lang w:eastAsia="zh-CN"/>
        </w:rPr>
        <w:t>事业运行</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154.49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highlight w:val="none"/>
          <w:lang w:val="en-US" w:eastAsia="zh-CN"/>
        </w:rPr>
        <w:t>73</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r>
        <w:rPr>
          <w:rStyle w:val="14"/>
          <w:rFonts w:hint="eastAsia" w:ascii="仿宋" w:hAnsi="仿宋" w:eastAsia="仿宋"/>
          <w:b w:val="0"/>
          <w:bCs/>
          <w:color w:val="000000"/>
          <w:sz w:val="32"/>
          <w:szCs w:val="32"/>
          <w:lang w:eastAsia="zh-CN"/>
        </w:rPr>
        <w:t>决算数小于预算数的原因是人员变化导致</w:t>
      </w:r>
      <w:r>
        <w:rPr>
          <w:rStyle w:val="14"/>
          <w:rFonts w:hint="eastAsia" w:ascii="仿宋" w:hAnsi="仿宋" w:eastAsia="仿宋"/>
          <w:b w:val="0"/>
          <w:bCs/>
          <w:color w:val="000000"/>
          <w:sz w:val="32"/>
          <w:szCs w:val="32"/>
          <w:lang w:val="en-US" w:eastAsia="zh-CN"/>
        </w:rPr>
        <w:t>人员经费预算安排小于实际支出</w:t>
      </w:r>
      <w:r>
        <w:rPr>
          <w:rStyle w:val="14"/>
          <w:rFonts w:hint="eastAsia" w:ascii="仿宋" w:hAnsi="仿宋" w:eastAsia="仿宋"/>
          <w:b w:val="0"/>
          <w:bCs/>
          <w:color w:val="000000"/>
          <w:sz w:val="32"/>
          <w:szCs w:val="32"/>
          <w:lang w:eastAsia="zh-CN"/>
        </w:rPr>
        <w:t>。</w:t>
      </w:r>
    </w:p>
    <w:p>
      <w:pPr>
        <w:spacing w:line="560" w:lineRule="exact"/>
        <w:ind w:firstLine="642" w:firstLineChars="200"/>
        <w:rPr>
          <w:rFonts w:ascii="仿宋" w:hAnsi="仿宋" w:eastAsia="仿宋"/>
          <w:b/>
          <w:color w:val="000000"/>
          <w:sz w:val="32"/>
          <w:szCs w:val="32"/>
          <w:highlight w:val="none"/>
        </w:rPr>
      </w:pPr>
      <w:r>
        <w:rPr>
          <w:rStyle w:val="14"/>
          <w:rFonts w:hint="eastAsia" w:ascii="仿宋" w:hAnsi="仿宋" w:eastAsia="仿宋"/>
          <w:bCs/>
          <w:color w:val="000000"/>
          <w:sz w:val="32"/>
          <w:szCs w:val="32"/>
          <w:lang w:val="en-US" w:eastAsia="zh-CN"/>
        </w:rPr>
        <w:t>2</w:t>
      </w:r>
      <w:r>
        <w:rPr>
          <w:rStyle w:val="14"/>
          <w:rFonts w:ascii="仿宋" w:hAnsi="仿宋" w:eastAsia="仿宋"/>
          <w:bCs/>
          <w:color w:val="000000"/>
          <w:sz w:val="32"/>
          <w:szCs w:val="32"/>
        </w:rPr>
        <w:t>.</w:t>
      </w:r>
      <w:r>
        <w:rPr>
          <w:rFonts w:ascii="仿宋" w:hAnsi="仿宋" w:eastAsia="仿宋"/>
          <w:b/>
          <w:color w:val="000000"/>
          <w:sz w:val="32"/>
          <w:szCs w:val="32"/>
        </w:rPr>
        <w:t>社会保障和就业（类）行政事业单位养老支出（款）机关事业单位基本养老保险缴费支出（项）:</w:t>
      </w:r>
      <w:r>
        <w:rPr>
          <w:rFonts w:ascii="仿宋" w:hAnsi="仿宋" w:eastAsia="仿宋"/>
          <w:color w:val="000000"/>
          <w:sz w:val="32"/>
          <w:szCs w:val="32"/>
        </w:rPr>
        <w:t>支出决算为</w:t>
      </w:r>
      <w:r>
        <w:rPr>
          <w:rFonts w:hint="eastAsia" w:ascii="仿宋" w:hAnsi="仿宋" w:eastAsia="仿宋"/>
          <w:color w:val="000000"/>
          <w:sz w:val="32"/>
          <w:szCs w:val="32"/>
          <w:lang w:val="en-US" w:eastAsia="zh-CN"/>
        </w:rPr>
        <w:t>13.71</w:t>
      </w:r>
      <w:r>
        <w:rPr>
          <w:rFonts w:ascii="仿宋" w:hAnsi="仿宋" w:eastAsia="仿宋"/>
          <w:color w:val="000000"/>
          <w:sz w:val="32"/>
          <w:szCs w:val="32"/>
        </w:rPr>
        <w:t>万元，完成</w:t>
      </w:r>
      <w:r>
        <w:rPr>
          <w:rFonts w:ascii="仿宋" w:hAnsi="仿宋" w:eastAsia="仿宋"/>
          <w:color w:val="000000"/>
          <w:sz w:val="32"/>
          <w:szCs w:val="32"/>
          <w:highlight w:val="none"/>
        </w:rPr>
        <w:t>预算</w:t>
      </w:r>
      <w:r>
        <w:rPr>
          <w:rFonts w:hint="eastAsia" w:ascii="仿宋" w:hAnsi="仿宋" w:eastAsia="仿宋"/>
          <w:color w:val="000000"/>
          <w:sz w:val="32"/>
          <w:szCs w:val="32"/>
          <w:highlight w:val="none"/>
          <w:lang w:val="en-US" w:eastAsia="zh-CN"/>
        </w:rPr>
        <w:t>77</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r>
        <w:rPr>
          <w:rStyle w:val="14"/>
          <w:rFonts w:hint="eastAsia" w:ascii="仿宋" w:hAnsi="仿宋" w:eastAsia="仿宋"/>
          <w:b w:val="0"/>
          <w:bCs/>
          <w:color w:val="000000"/>
          <w:sz w:val="32"/>
          <w:szCs w:val="32"/>
          <w:lang w:eastAsia="zh-CN"/>
        </w:rPr>
        <w:t>决算数小于预算数的原因是人员变化导致</w:t>
      </w:r>
      <w:r>
        <w:rPr>
          <w:rStyle w:val="14"/>
          <w:rFonts w:hint="eastAsia" w:ascii="仿宋" w:hAnsi="仿宋" w:eastAsia="仿宋"/>
          <w:b w:val="0"/>
          <w:bCs/>
          <w:color w:val="000000"/>
          <w:sz w:val="32"/>
          <w:szCs w:val="32"/>
          <w:lang w:val="en-US" w:eastAsia="zh-CN"/>
        </w:rPr>
        <w:t>人员经费预算安排小于实际支出</w:t>
      </w:r>
      <w:r>
        <w:rPr>
          <w:rStyle w:val="14"/>
          <w:rFonts w:hint="eastAsia" w:ascii="仿宋" w:hAnsi="仿宋" w:eastAsia="仿宋"/>
          <w:b w:val="0"/>
          <w:bCs/>
          <w:color w:val="000000"/>
          <w:sz w:val="32"/>
          <w:szCs w:val="32"/>
          <w:lang w:eastAsia="zh-CN"/>
        </w:rPr>
        <w:t>。</w:t>
      </w:r>
    </w:p>
    <w:p>
      <w:pPr>
        <w:spacing w:line="560" w:lineRule="exact"/>
        <w:ind w:firstLine="642" w:firstLineChars="200"/>
        <w:rPr>
          <w:rFonts w:ascii="仿宋" w:hAnsi="仿宋" w:eastAsia="仿宋"/>
          <w:b/>
          <w:color w:val="000000"/>
          <w:sz w:val="32"/>
          <w:szCs w:val="32"/>
          <w:highlight w:val="none"/>
        </w:rPr>
      </w:pPr>
      <w:r>
        <w:rPr>
          <w:rFonts w:hint="eastAsia" w:ascii="仿宋" w:hAnsi="仿宋" w:eastAsia="仿宋"/>
          <w:b/>
          <w:color w:val="000000"/>
          <w:sz w:val="32"/>
          <w:szCs w:val="32"/>
          <w:lang w:val="en-US" w:eastAsia="zh-CN"/>
        </w:rPr>
        <w:t>3</w:t>
      </w:r>
      <w:r>
        <w:rPr>
          <w:rFonts w:hint="eastAsia" w:ascii="仿宋" w:hAnsi="仿宋" w:eastAsia="仿宋"/>
          <w:b/>
          <w:color w:val="000000"/>
          <w:sz w:val="32"/>
          <w:szCs w:val="32"/>
        </w:rPr>
        <w:t>.</w:t>
      </w:r>
      <w:r>
        <w:rPr>
          <w:rFonts w:ascii="仿宋" w:hAnsi="仿宋" w:eastAsia="仿宋"/>
          <w:b/>
          <w:color w:val="000000"/>
          <w:sz w:val="32"/>
          <w:szCs w:val="32"/>
        </w:rPr>
        <w:t>社会保障和就业（类）行政事业单位养老支出（款）机关事业单位职业年金缴费支出（项）:</w:t>
      </w:r>
      <w:r>
        <w:rPr>
          <w:rFonts w:ascii="仿宋" w:hAnsi="仿宋" w:eastAsia="仿宋"/>
          <w:color w:val="000000"/>
          <w:sz w:val="32"/>
          <w:szCs w:val="32"/>
        </w:rPr>
        <w:t>支出决算为</w:t>
      </w:r>
      <w:r>
        <w:rPr>
          <w:rFonts w:hint="eastAsia" w:ascii="仿宋" w:hAnsi="仿宋" w:eastAsia="仿宋"/>
          <w:color w:val="000000"/>
          <w:sz w:val="32"/>
          <w:szCs w:val="32"/>
          <w:lang w:val="en-US" w:eastAsia="zh-CN"/>
        </w:rPr>
        <w:t>6.79</w:t>
      </w:r>
      <w:r>
        <w:rPr>
          <w:rFonts w:ascii="仿宋" w:hAnsi="仿宋" w:eastAsia="仿宋"/>
          <w:color w:val="000000"/>
          <w:sz w:val="32"/>
          <w:szCs w:val="32"/>
        </w:rPr>
        <w:t>万元，完成预算</w:t>
      </w:r>
      <w:r>
        <w:rPr>
          <w:rFonts w:hint="eastAsia" w:ascii="仿宋" w:hAnsi="仿宋" w:eastAsia="仿宋"/>
          <w:color w:val="000000"/>
          <w:sz w:val="32"/>
          <w:szCs w:val="32"/>
          <w:highlight w:val="none"/>
          <w:lang w:val="en-US" w:eastAsia="zh-CN"/>
        </w:rPr>
        <w:t>82</w:t>
      </w:r>
      <w:r>
        <w:rPr>
          <w:rFonts w:ascii="仿宋" w:hAnsi="仿宋" w:eastAsia="仿宋"/>
          <w:color w:val="000000"/>
          <w:sz w:val="32"/>
          <w:szCs w:val="32"/>
          <w:highlight w:val="none"/>
        </w:rPr>
        <w:t>%。</w:t>
      </w:r>
      <w:r>
        <w:rPr>
          <w:rStyle w:val="14"/>
          <w:rFonts w:hint="eastAsia" w:ascii="仿宋" w:hAnsi="仿宋" w:eastAsia="仿宋"/>
          <w:b w:val="0"/>
          <w:bCs/>
          <w:color w:val="000000"/>
          <w:sz w:val="32"/>
          <w:szCs w:val="32"/>
          <w:lang w:eastAsia="zh-CN"/>
        </w:rPr>
        <w:t>决算数小于预算数的原因是人员变化导致</w:t>
      </w:r>
      <w:r>
        <w:rPr>
          <w:rStyle w:val="14"/>
          <w:rFonts w:hint="eastAsia" w:ascii="仿宋" w:hAnsi="仿宋" w:eastAsia="仿宋"/>
          <w:b w:val="0"/>
          <w:bCs/>
          <w:color w:val="000000"/>
          <w:sz w:val="32"/>
          <w:szCs w:val="32"/>
          <w:lang w:val="en-US" w:eastAsia="zh-CN"/>
        </w:rPr>
        <w:t>人员经费预算安排小于实际支出</w:t>
      </w:r>
      <w:r>
        <w:rPr>
          <w:rStyle w:val="14"/>
          <w:rFonts w:hint="eastAsia" w:ascii="仿宋" w:hAnsi="仿宋" w:eastAsia="仿宋"/>
          <w:b w:val="0"/>
          <w:bCs/>
          <w:color w:val="000000"/>
          <w:sz w:val="32"/>
          <w:szCs w:val="32"/>
          <w:lang w:eastAsia="zh-CN"/>
        </w:rPr>
        <w:t>。</w:t>
      </w:r>
    </w:p>
    <w:p>
      <w:pPr>
        <w:spacing w:line="560" w:lineRule="exact"/>
        <w:ind w:firstLine="642" w:firstLineChars="200"/>
        <w:rPr>
          <w:rFonts w:ascii="仿宋" w:hAnsi="仿宋" w:eastAsia="仿宋"/>
          <w:b/>
          <w:color w:val="000000"/>
          <w:sz w:val="32"/>
          <w:szCs w:val="32"/>
          <w:highlight w:val="none"/>
        </w:rPr>
      </w:pPr>
      <w:r>
        <w:rPr>
          <w:rStyle w:val="14"/>
          <w:rFonts w:hint="eastAsia" w:ascii="仿宋" w:hAnsi="仿宋" w:eastAsia="仿宋"/>
          <w:bCs/>
          <w:color w:val="000000"/>
          <w:sz w:val="32"/>
          <w:szCs w:val="32"/>
          <w:lang w:val="en-US" w:eastAsia="zh-CN"/>
        </w:rPr>
        <w:t>4</w:t>
      </w:r>
      <w:r>
        <w:rPr>
          <w:rStyle w:val="14"/>
          <w:rFonts w:ascii="仿宋" w:hAnsi="仿宋" w:eastAsia="仿宋"/>
          <w:bCs/>
          <w:color w:val="000000"/>
          <w:sz w:val="32"/>
          <w:szCs w:val="32"/>
        </w:rPr>
        <w:t>.</w:t>
      </w:r>
      <w:r>
        <w:rPr>
          <w:rFonts w:ascii="仿宋" w:hAnsi="仿宋" w:eastAsia="仿宋"/>
          <w:b/>
          <w:color w:val="000000"/>
          <w:sz w:val="32"/>
          <w:szCs w:val="32"/>
        </w:rPr>
        <w:t>卫生健康（类）行政事业单位医疗（款）事业单位医疗（项）:</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15.06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highlight w:val="none"/>
          <w:lang w:val="en-US" w:eastAsia="zh-CN"/>
        </w:rPr>
        <w:t>83</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r>
        <w:rPr>
          <w:rStyle w:val="14"/>
          <w:rFonts w:hint="eastAsia" w:ascii="仿宋" w:hAnsi="仿宋" w:eastAsia="仿宋"/>
          <w:b w:val="0"/>
          <w:bCs/>
          <w:color w:val="000000"/>
          <w:sz w:val="32"/>
          <w:szCs w:val="32"/>
          <w:lang w:eastAsia="zh-CN"/>
        </w:rPr>
        <w:t>决算数小于预算数的原因是人员变化导致</w:t>
      </w:r>
      <w:r>
        <w:rPr>
          <w:rStyle w:val="14"/>
          <w:rFonts w:hint="eastAsia" w:ascii="仿宋" w:hAnsi="仿宋" w:eastAsia="仿宋"/>
          <w:b w:val="0"/>
          <w:bCs/>
          <w:color w:val="000000"/>
          <w:sz w:val="32"/>
          <w:szCs w:val="32"/>
          <w:lang w:val="en-US" w:eastAsia="zh-CN"/>
        </w:rPr>
        <w:t>人员经费预算安排小于实际支出</w:t>
      </w:r>
      <w:r>
        <w:rPr>
          <w:rStyle w:val="14"/>
          <w:rFonts w:hint="eastAsia" w:ascii="仿宋" w:hAnsi="仿宋" w:eastAsia="仿宋"/>
          <w:b w:val="0"/>
          <w:bCs/>
          <w:color w:val="000000"/>
          <w:sz w:val="32"/>
          <w:szCs w:val="32"/>
          <w:lang w:eastAsia="zh-CN"/>
        </w:rPr>
        <w:t>。</w:t>
      </w:r>
    </w:p>
    <w:p>
      <w:pPr>
        <w:spacing w:line="560" w:lineRule="exact"/>
        <w:ind w:firstLine="642" w:firstLineChars="200"/>
        <w:rPr>
          <w:rFonts w:ascii="仿宋" w:hAnsi="仿宋" w:eastAsia="仿宋"/>
          <w:b/>
          <w:color w:val="000000"/>
          <w:sz w:val="32"/>
          <w:szCs w:val="32"/>
          <w:highlight w:val="none"/>
        </w:rPr>
      </w:pPr>
      <w:r>
        <w:rPr>
          <w:rFonts w:hint="eastAsia" w:ascii="仿宋" w:hAnsi="仿宋" w:eastAsia="仿宋"/>
          <w:b/>
          <w:color w:val="000000"/>
          <w:sz w:val="32"/>
          <w:szCs w:val="32"/>
          <w:lang w:val="en-US" w:eastAsia="zh-CN"/>
        </w:rPr>
        <w:t>5</w:t>
      </w:r>
      <w:r>
        <w:rPr>
          <w:rFonts w:hint="eastAsia" w:ascii="仿宋" w:hAnsi="仿宋" w:eastAsia="仿宋"/>
          <w:b/>
          <w:color w:val="000000"/>
          <w:sz w:val="32"/>
          <w:szCs w:val="32"/>
        </w:rPr>
        <w:t>.</w:t>
      </w:r>
      <w:r>
        <w:rPr>
          <w:rFonts w:ascii="仿宋" w:hAnsi="仿宋" w:eastAsia="仿宋"/>
          <w:b/>
          <w:color w:val="000000"/>
          <w:sz w:val="32"/>
          <w:szCs w:val="32"/>
        </w:rPr>
        <w:t>住房保障（类）住房改革支出（款）住房公积金（项）:</w:t>
      </w:r>
      <w:r>
        <w:rPr>
          <w:rFonts w:ascii="仿宋" w:hAnsi="仿宋" w:eastAsia="仿宋"/>
          <w:color w:val="000000"/>
          <w:sz w:val="32"/>
          <w:szCs w:val="32"/>
        </w:rPr>
        <w:t>支出决算为</w:t>
      </w:r>
      <w:r>
        <w:rPr>
          <w:rFonts w:hint="eastAsia" w:ascii="仿宋" w:hAnsi="仿宋" w:eastAsia="仿宋"/>
          <w:color w:val="000000"/>
          <w:sz w:val="32"/>
          <w:szCs w:val="32"/>
          <w:lang w:val="en-US" w:eastAsia="zh-CN"/>
        </w:rPr>
        <w:t>13.94</w:t>
      </w:r>
      <w:r>
        <w:rPr>
          <w:rFonts w:ascii="仿宋" w:hAnsi="仿宋" w:eastAsia="仿宋"/>
          <w:color w:val="000000"/>
          <w:sz w:val="32"/>
          <w:szCs w:val="32"/>
        </w:rPr>
        <w:t>万元，完成预算</w:t>
      </w:r>
      <w:r>
        <w:rPr>
          <w:rFonts w:hint="eastAsia" w:ascii="仿宋" w:hAnsi="仿宋" w:eastAsia="仿宋"/>
          <w:color w:val="000000"/>
          <w:sz w:val="32"/>
          <w:szCs w:val="32"/>
          <w:highlight w:val="none"/>
          <w:lang w:val="en-US" w:eastAsia="zh-CN"/>
        </w:rPr>
        <w:t>72</w:t>
      </w:r>
      <w:r>
        <w:rPr>
          <w:rFonts w:ascii="仿宋" w:hAnsi="仿宋" w:eastAsia="仿宋"/>
          <w:color w:val="000000"/>
          <w:sz w:val="32"/>
          <w:szCs w:val="32"/>
          <w:highlight w:val="none"/>
        </w:rPr>
        <w:t>%</w:t>
      </w:r>
      <w:r>
        <w:rPr>
          <w:rStyle w:val="14"/>
          <w:rFonts w:hint="eastAsia" w:ascii="仿宋" w:hAnsi="仿宋" w:eastAsia="仿宋"/>
          <w:b w:val="0"/>
          <w:bCs/>
          <w:color w:val="000000"/>
          <w:sz w:val="32"/>
          <w:szCs w:val="32"/>
          <w:lang w:eastAsia="zh-CN"/>
        </w:rPr>
        <w:t>。决算数小于预算数的原因是人员变化导致</w:t>
      </w:r>
      <w:r>
        <w:rPr>
          <w:rStyle w:val="14"/>
          <w:rFonts w:hint="eastAsia" w:ascii="仿宋" w:hAnsi="仿宋" w:eastAsia="仿宋"/>
          <w:b w:val="0"/>
          <w:bCs/>
          <w:color w:val="000000"/>
          <w:sz w:val="32"/>
          <w:szCs w:val="32"/>
          <w:lang w:val="en-US" w:eastAsia="zh-CN"/>
        </w:rPr>
        <w:t>人员经费预算安排小于实际支出</w:t>
      </w:r>
      <w:r>
        <w:rPr>
          <w:rStyle w:val="14"/>
          <w:rFonts w:hint="eastAsia" w:ascii="仿宋" w:hAnsi="仿宋" w:eastAsia="仿宋"/>
          <w:b w:val="0"/>
          <w:bCs/>
          <w:color w:val="000000"/>
          <w:sz w:val="32"/>
          <w:szCs w:val="32"/>
          <w:lang w:eastAsia="zh-CN"/>
        </w:rPr>
        <w:t>。</w:t>
      </w:r>
    </w:p>
    <w:p>
      <w:pPr>
        <w:tabs>
          <w:tab w:val="right" w:pos="8306"/>
        </w:tabs>
        <w:spacing w:line="600" w:lineRule="exact"/>
        <w:ind w:firstLine="640"/>
        <w:outlineLvl w:val="1"/>
        <w:rPr>
          <w:rStyle w:val="25"/>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34"/>
      <w:bookmarkEnd w:id="35"/>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203.98</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人员经费18</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.4</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万元，主要包括：基本工资、津贴补贴、绩效工资、机关事业单位基本养老保险缴费、职业年金缴费、其他社会保障缴费、其他工资福利支出、奖励金、住房公积金等。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公用经费1</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57</w:t>
      </w:r>
      <w:r>
        <w:rPr>
          <w:rFonts w:hint="eastAsia" w:ascii="仿宋" w:hAnsi="仿宋" w:eastAsia="仿宋"/>
          <w:color w:val="auto"/>
          <w:sz w:val="32"/>
          <w:szCs w:val="32"/>
          <w:highlight w:val="none"/>
        </w:rPr>
        <w:t>万元，主要包括：差旅费、工会经费、福利费、公务用车运行维护费等。</w:t>
      </w:r>
    </w:p>
    <w:p>
      <w:pPr>
        <w:spacing w:line="600" w:lineRule="exact"/>
        <w:ind w:firstLine="640"/>
        <w:outlineLvl w:val="1"/>
        <w:rPr>
          <w:rStyle w:val="25"/>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240" w:lineRule="auto"/>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935" distR="114935" simplePos="0" relativeHeight="251659264" behindDoc="0" locked="0" layoutInCell="1" allowOverlap="1">
            <wp:simplePos x="0" y="0"/>
            <wp:positionH relativeFrom="column">
              <wp:posOffset>977900</wp:posOffset>
            </wp:positionH>
            <wp:positionV relativeFrom="paragraph">
              <wp:posOffset>97790</wp:posOffset>
            </wp:positionV>
            <wp:extent cx="3502025" cy="2105660"/>
            <wp:effectExtent l="0" t="0" r="3175" b="12700"/>
            <wp:wrapSquare wrapText="bothSides"/>
            <wp:docPr id="7" name="图片 7" descr="图片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图片7"/>
                    <pic:cNvPicPr>
                      <a:picLocks noChangeAspect="true"/>
                    </pic:cNvPicPr>
                  </pic:nvPicPr>
                  <pic:blipFill>
                    <a:blip r:embed="rId12"/>
                    <a:stretch>
                      <a:fillRect/>
                    </a:stretch>
                  </pic:blipFill>
                  <pic:spPr>
                    <a:xfrm>
                      <a:off x="0" y="0"/>
                      <a:ext cx="3502025" cy="2105660"/>
                    </a:xfrm>
                    <a:prstGeom prst="rect">
                      <a:avLst/>
                    </a:prstGeom>
                  </pic:spPr>
                </pic:pic>
              </a:graphicData>
            </a:graphic>
          </wp:anchor>
        </w:drawing>
      </w: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1280" w:firstLineChars="4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0"/>
        <w:rPr>
          <w:rFonts w:hint="default" w:ascii="仿宋_GB2312" w:eastAsia="仿宋_GB2312"/>
          <w:color w:val="auto"/>
          <w:sz w:val="32"/>
          <w:szCs w:val="32"/>
          <w:highlight w:val="none"/>
          <w:lang w:val="en-US"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lang w:val="en-US" w:eastAsia="zh-CN"/>
        </w:rPr>
        <w:t>与预算一致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与2021年持平。</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持平</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000000"/>
          <w:sz w:val="32"/>
          <w:szCs w:val="32"/>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万元。</w:t>
      </w:r>
      <w:r>
        <w:rPr>
          <w:rFonts w:hint="eastAsia" w:ascii="仿宋_GB2312" w:eastAsia="仿宋_GB2312"/>
          <w:color w:val="000000"/>
          <w:sz w:val="32"/>
          <w:szCs w:val="32"/>
        </w:rPr>
        <w:t>主要用于中心日常工作所需的公务用车燃料费、维修费、过路过桥费、保险费等支出。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lang w:val="en-US" w:eastAsia="zh-CN"/>
        </w:rPr>
        <w:t>与预算一致</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持平</w:t>
      </w:r>
      <w:r>
        <w:rPr>
          <w:rFonts w:hint="eastAsia" w:ascii="仿宋_GB2312" w:eastAsia="仿宋_GB2312"/>
          <w:color w:val="auto"/>
          <w:sz w:val="32"/>
          <w:szCs w:val="32"/>
          <w:highlight w:val="none"/>
        </w:rPr>
        <w:t>。</w:t>
      </w:r>
    </w:p>
    <w:p>
      <w:pPr>
        <w:spacing w:line="600" w:lineRule="exact"/>
        <w:ind w:firstLine="640"/>
        <w:outlineLvl w:val="1"/>
        <w:rPr>
          <w:rStyle w:val="25"/>
          <w:rFonts w:ascii="黑体" w:hAnsi="黑体" w:eastAsia="黑体"/>
          <w:color w:val="auto"/>
          <w:highlight w:val="none"/>
        </w:rPr>
      </w:pPr>
      <w:bookmarkStart w:id="40" w:name="_Toc15396610"/>
      <w:bookmarkStart w:id="41" w:name="_Toc15377218"/>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5"/>
          <w:rFonts w:ascii="黑体" w:hAnsi="黑体" w:eastAsia="黑体"/>
          <w:b w:val="0"/>
          <w:color w:val="auto"/>
          <w:highlight w:val="none"/>
        </w:rPr>
      </w:pPr>
      <w:bookmarkStart w:id="42" w:name="_Toc15396611"/>
      <w:bookmarkStart w:id="43" w:name="_Toc15377219"/>
      <w:r>
        <w:rPr>
          <w:rStyle w:val="25"/>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5"/>
          <w:rFonts w:hint="eastAsia" w:ascii="黑体" w:hAnsi="黑体" w:eastAsia="黑体"/>
          <w:b w:val="0"/>
          <w:color w:val="auto"/>
          <w:highlight w:val="none"/>
        </w:rPr>
      </w:pPr>
      <w:bookmarkStart w:id="44" w:name="_Toc15377221"/>
      <w:bookmarkStart w:id="45" w:name="_Toc15396612"/>
      <w:r>
        <w:rPr>
          <w:rStyle w:val="25"/>
          <w:rFonts w:hint="eastAsia" w:ascii="黑体" w:hAnsi="黑体" w:eastAsia="黑体"/>
          <w:b w:val="0"/>
          <w:color w:val="auto"/>
          <w:highlight w:val="none"/>
        </w:rPr>
        <w:t>其他重要事项的情况说明</w:t>
      </w:r>
      <w:bookmarkEnd w:id="44"/>
      <w:bookmarkEnd w:id="45"/>
    </w:p>
    <w:p>
      <w:pPr>
        <w:spacing w:line="600" w:lineRule="exact"/>
        <w:ind w:firstLine="642"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政府投资审计中心</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年决算数持平。</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政府投资审计中心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政府投资审计中心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000000"/>
          <w:sz w:val="32"/>
          <w:szCs w:val="32"/>
          <w:lang w:eastAsia="zh-CN"/>
        </w:rPr>
        <w:t>业务工作</w:t>
      </w:r>
      <w:r>
        <w:rPr>
          <w:rFonts w:hint="eastAsia" w:ascii="仿宋_GB2312" w:eastAsia="仿宋_GB2312"/>
          <w:color w:val="000000"/>
          <w:sz w:val="32"/>
          <w:szCs w:val="32"/>
        </w:rPr>
        <w:t>用车。</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2"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根据预算绩效管理要求，本单位对</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个项目编制了绩效目标，预算执行过程中，选取</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个项目开展绩效监控，无绩效自评任务。</w:t>
      </w:r>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br w:type="page"/>
      </w:r>
      <w:bookmarkStart w:id="67" w:name="_GoBack"/>
      <w:bookmarkEnd w:id="67"/>
    </w:p>
    <w:p>
      <w:pPr>
        <w:numPr>
          <w:ilvl w:val="0"/>
          <w:numId w:val="4"/>
        </w:numPr>
        <w:spacing w:line="600" w:lineRule="exact"/>
        <w:ind w:firstLine="660" w:firstLineChars="150"/>
        <w:jc w:val="center"/>
        <w:outlineLvl w:val="0"/>
        <w:rPr>
          <w:rStyle w:val="24"/>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autoSpaceDN w:val="0"/>
        <w:spacing w:line="560" w:lineRule="exact"/>
        <w:ind w:firstLine="420"/>
        <w:rPr>
          <w:rFonts w:ascii="仿宋" w:hAnsi="仿宋" w:eastAsia="仿宋"/>
          <w:color w:val="000000"/>
          <w:sz w:val="32"/>
          <w:szCs w:val="32"/>
        </w:rPr>
      </w:pPr>
      <w:bookmarkStart w:id="51" w:name="_Toc15377226"/>
      <w:r>
        <w:rPr>
          <w:rFonts w:hint="eastAsia" w:ascii="仿宋" w:hAnsi="仿宋" w:eastAsia="仿宋"/>
          <w:b/>
          <w:color w:val="000000"/>
          <w:sz w:val="32"/>
          <w:szCs w:val="32"/>
          <w:lang w:val="en-US" w:eastAsia="zh-CN"/>
        </w:rPr>
        <w:t xml:space="preserve"> </w:t>
      </w:r>
      <w:r>
        <w:rPr>
          <w:rFonts w:ascii="仿宋" w:hAnsi="仿宋" w:eastAsia="仿宋"/>
          <w:b/>
          <w:color w:val="000000"/>
          <w:sz w:val="32"/>
          <w:szCs w:val="32"/>
        </w:rPr>
        <w:t>1</w:t>
      </w:r>
      <w:r>
        <w:rPr>
          <w:rFonts w:ascii="仿宋" w:hAnsi="仿宋" w:eastAsia="仿宋"/>
          <w:color w:val="000000"/>
          <w:sz w:val="32"/>
          <w:szCs w:val="32"/>
        </w:rPr>
        <w:t>.</w:t>
      </w:r>
      <w:r>
        <w:rPr>
          <w:rFonts w:ascii="仿宋" w:hAnsi="仿宋" w:eastAsia="仿宋"/>
          <w:b/>
          <w:color w:val="000000"/>
          <w:sz w:val="32"/>
          <w:szCs w:val="32"/>
        </w:rPr>
        <w:t>财政拨款收入</w:t>
      </w:r>
      <w:r>
        <w:rPr>
          <w:rFonts w:ascii="仿宋" w:hAnsi="仿宋" w:eastAsia="仿宋"/>
          <w:color w:val="000000"/>
          <w:sz w:val="32"/>
          <w:szCs w:val="32"/>
        </w:rPr>
        <w:t>：指单位从同级财政部门取得的财政预算资金。</w:t>
      </w:r>
    </w:p>
    <w:p>
      <w:pPr>
        <w:autoSpaceDN w:val="0"/>
        <w:spacing w:line="560" w:lineRule="exact"/>
        <w:ind w:firstLine="420"/>
        <w:rPr>
          <w:rFonts w:ascii="仿宋" w:hAnsi="仿宋" w:eastAsia="仿宋"/>
          <w:color w:val="000000"/>
          <w:sz w:val="32"/>
          <w:szCs w:val="32"/>
        </w:rPr>
      </w:pP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rPr>
        <w:t>2</w:t>
      </w:r>
      <w:r>
        <w:rPr>
          <w:rFonts w:ascii="仿宋" w:hAnsi="仿宋" w:eastAsia="仿宋"/>
          <w:b/>
          <w:color w:val="000000"/>
          <w:sz w:val="32"/>
          <w:szCs w:val="32"/>
        </w:rPr>
        <w:t>.其他收入</w:t>
      </w:r>
      <w:r>
        <w:rPr>
          <w:rFonts w:ascii="仿宋" w:hAnsi="仿宋" w:eastAsia="仿宋"/>
          <w:color w:val="000000"/>
          <w:sz w:val="32"/>
          <w:szCs w:val="32"/>
        </w:rPr>
        <w:t>：指单位取得的除上述收入以外的各项收入。</w:t>
      </w:r>
    </w:p>
    <w:p>
      <w:pPr>
        <w:autoSpaceDN w:val="0"/>
        <w:spacing w:line="560" w:lineRule="exact"/>
        <w:ind w:firstLine="420"/>
        <w:rPr>
          <w:rFonts w:ascii="仿宋" w:hAnsi="仿宋" w:eastAsia="仿宋"/>
          <w:color w:val="000000"/>
          <w:sz w:val="32"/>
          <w:szCs w:val="32"/>
        </w:rPr>
      </w:pP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rPr>
        <w:t>3</w:t>
      </w:r>
      <w:r>
        <w:rPr>
          <w:rFonts w:ascii="仿宋" w:hAnsi="仿宋" w:eastAsia="仿宋"/>
          <w:b/>
          <w:color w:val="000000"/>
          <w:sz w:val="32"/>
          <w:szCs w:val="32"/>
        </w:rPr>
        <w:t>.一般公共服务支出（类）</w:t>
      </w:r>
      <w:r>
        <w:rPr>
          <w:rFonts w:hint="eastAsia" w:ascii="仿宋" w:hAnsi="仿宋" w:eastAsia="仿宋"/>
          <w:b/>
          <w:color w:val="000000"/>
          <w:sz w:val="32"/>
          <w:szCs w:val="32"/>
        </w:rPr>
        <w:t>审计</w:t>
      </w:r>
      <w:r>
        <w:rPr>
          <w:rFonts w:ascii="仿宋" w:hAnsi="仿宋" w:eastAsia="仿宋"/>
          <w:b/>
          <w:color w:val="000000"/>
          <w:sz w:val="32"/>
          <w:szCs w:val="32"/>
        </w:rPr>
        <w:t>事务（款）</w:t>
      </w:r>
      <w:r>
        <w:rPr>
          <w:rFonts w:hint="eastAsia" w:ascii="仿宋" w:hAnsi="仿宋" w:eastAsia="仿宋"/>
          <w:b/>
          <w:color w:val="000000"/>
          <w:sz w:val="32"/>
          <w:szCs w:val="32"/>
        </w:rPr>
        <w:t>机关服务</w:t>
      </w:r>
      <w:r>
        <w:rPr>
          <w:rFonts w:ascii="仿宋" w:hAnsi="仿宋" w:eastAsia="仿宋"/>
          <w:b/>
          <w:color w:val="000000"/>
          <w:sz w:val="32"/>
          <w:szCs w:val="32"/>
        </w:rPr>
        <w:t>（项）</w:t>
      </w:r>
      <w:r>
        <w:rPr>
          <w:rFonts w:ascii="仿宋" w:hAnsi="仿宋" w:eastAsia="仿宋"/>
          <w:color w:val="000000"/>
          <w:sz w:val="32"/>
          <w:szCs w:val="32"/>
        </w:rPr>
        <w:t>：</w:t>
      </w:r>
      <w:r>
        <w:rPr>
          <w:rFonts w:hint="eastAsia" w:ascii="仿宋" w:hAnsi="仿宋" w:eastAsia="仿宋"/>
          <w:color w:val="000000"/>
          <w:sz w:val="32"/>
          <w:szCs w:val="32"/>
        </w:rPr>
        <w:t>反映为行政单位（包括实行公务员管理的事业单位）提供后勤服务的各类后勤服务中心、医务室等附属事业单位的支出。</w:t>
      </w:r>
    </w:p>
    <w:p>
      <w:pPr>
        <w:autoSpaceDN w:val="0"/>
        <w:spacing w:line="560" w:lineRule="exact"/>
        <w:ind w:firstLine="420"/>
        <w:rPr>
          <w:rFonts w:ascii="仿宋" w:hAnsi="仿宋" w:eastAsia="仿宋"/>
          <w:color w:val="000000"/>
          <w:sz w:val="32"/>
          <w:szCs w:val="32"/>
        </w:rPr>
      </w:pPr>
      <w:r>
        <w:rPr>
          <w:rFonts w:hint="eastAsia" w:ascii="仿宋" w:hAnsi="仿宋" w:eastAsia="仿宋"/>
          <w:b/>
          <w:color w:val="000000"/>
          <w:sz w:val="32"/>
          <w:szCs w:val="32"/>
          <w:lang w:val="en-US" w:eastAsia="zh-CN"/>
        </w:rPr>
        <w:t xml:space="preserve"> </w:t>
      </w:r>
      <w:r>
        <w:rPr>
          <w:rFonts w:ascii="仿宋" w:hAnsi="仿宋" w:eastAsia="仿宋"/>
          <w:b/>
          <w:color w:val="000000"/>
          <w:sz w:val="32"/>
          <w:szCs w:val="32"/>
        </w:rPr>
        <w:t>4.教育支出（类）进修及培训（款）培训支出（项）</w:t>
      </w:r>
      <w:r>
        <w:rPr>
          <w:rFonts w:ascii="仿宋" w:hAnsi="仿宋" w:eastAsia="仿宋"/>
          <w:color w:val="000000"/>
          <w:sz w:val="32"/>
          <w:szCs w:val="32"/>
        </w:rPr>
        <w:t>：指反映各部门安排的用于培训的支出。教育部门的师资培训，党校、行政学院等专业干部教育机构的支出，以及退役士兵、转业士官的培训支出，不在本科目反映。</w:t>
      </w:r>
    </w:p>
    <w:p>
      <w:pPr>
        <w:autoSpaceDN w:val="0"/>
        <w:spacing w:line="560" w:lineRule="exact"/>
        <w:ind w:firstLine="420"/>
        <w:rPr>
          <w:rFonts w:ascii="仿宋" w:hAnsi="仿宋" w:eastAsia="仿宋"/>
          <w:color w:val="000000"/>
          <w:sz w:val="32"/>
          <w:szCs w:val="32"/>
        </w:rPr>
      </w:pP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rPr>
        <w:t>5</w:t>
      </w:r>
      <w:r>
        <w:rPr>
          <w:rFonts w:ascii="仿宋" w:hAnsi="仿宋" w:eastAsia="仿宋"/>
          <w:b/>
          <w:color w:val="000000"/>
          <w:sz w:val="32"/>
          <w:szCs w:val="32"/>
        </w:rPr>
        <w:t>.社会保障和就业支出（类）行政事业单位离退休（款）事业单位离退休（项）</w:t>
      </w:r>
      <w:r>
        <w:rPr>
          <w:rFonts w:ascii="仿宋" w:hAnsi="仿宋" w:eastAsia="仿宋"/>
          <w:color w:val="000000"/>
          <w:sz w:val="32"/>
          <w:szCs w:val="32"/>
        </w:rPr>
        <w:t>：指反映实行归口管理的事业单位开支的离退休经费。</w:t>
      </w:r>
    </w:p>
    <w:p>
      <w:pPr>
        <w:autoSpaceDN w:val="0"/>
        <w:spacing w:line="560" w:lineRule="exact"/>
        <w:ind w:firstLine="420"/>
        <w:rPr>
          <w:rFonts w:ascii="仿宋" w:hAnsi="仿宋" w:eastAsia="仿宋"/>
          <w:color w:val="000000"/>
          <w:sz w:val="32"/>
          <w:szCs w:val="32"/>
        </w:rPr>
      </w:pP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rPr>
        <w:t>6</w:t>
      </w:r>
      <w:r>
        <w:rPr>
          <w:rFonts w:ascii="仿宋" w:hAnsi="仿宋" w:eastAsia="仿宋"/>
          <w:b/>
          <w:color w:val="000000"/>
          <w:sz w:val="32"/>
          <w:szCs w:val="32"/>
        </w:rPr>
        <w:t>.社会保障和就业支出（类）行政事业单位离退休（款）机关事业单位基本养老保险缴费支出（项）：</w:t>
      </w:r>
      <w:r>
        <w:rPr>
          <w:rFonts w:ascii="仿宋" w:hAnsi="仿宋" w:eastAsia="仿宋"/>
          <w:color w:val="000000"/>
          <w:sz w:val="32"/>
          <w:szCs w:val="32"/>
        </w:rPr>
        <w:t>指反映机关事业单位实施养老保险制度由单位缴纳的基本养老保险费支出。</w:t>
      </w:r>
    </w:p>
    <w:p>
      <w:pPr>
        <w:autoSpaceDN w:val="0"/>
        <w:spacing w:line="560" w:lineRule="exact"/>
        <w:ind w:firstLine="420"/>
        <w:rPr>
          <w:rFonts w:ascii="仿宋" w:hAnsi="仿宋" w:eastAsia="仿宋"/>
          <w:color w:val="000000"/>
          <w:sz w:val="32"/>
          <w:szCs w:val="32"/>
        </w:rPr>
      </w:pP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rPr>
        <w:t>7</w:t>
      </w:r>
      <w:r>
        <w:rPr>
          <w:rFonts w:ascii="仿宋" w:hAnsi="仿宋" w:eastAsia="仿宋"/>
          <w:b/>
          <w:color w:val="000000"/>
          <w:sz w:val="32"/>
          <w:szCs w:val="32"/>
        </w:rPr>
        <w:t>.社会保障和就业支出（类）行政事业单位离退休（款）机关事业单位职业年金缴费支出（项）</w:t>
      </w:r>
      <w:r>
        <w:rPr>
          <w:rFonts w:ascii="仿宋" w:hAnsi="仿宋" w:eastAsia="仿宋"/>
          <w:color w:val="000000"/>
          <w:sz w:val="32"/>
          <w:szCs w:val="32"/>
        </w:rPr>
        <w:t>：指反映机关事业单位实施养老保险制度由单位实际缴纳的职业年金支出。</w:t>
      </w:r>
    </w:p>
    <w:p>
      <w:pPr>
        <w:autoSpaceDN w:val="0"/>
        <w:spacing w:line="560" w:lineRule="exact"/>
        <w:ind w:firstLine="420"/>
        <w:rPr>
          <w:rFonts w:ascii="仿宋" w:hAnsi="仿宋" w:eastAsia="仿宋"/>
          <w:color w:val="000000"/>
          <w:sz w:val="32"/>
          <w:szCs w:val="32"/>
        </w:rPr>
      </w:pP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rPr>
        <w:t>8</w:t>
      </w:r>
      <w:r>
        <w:rPr>
          <w:rFonts w:ascii="仿宋" w:hAnsi="仿宋" w:eastAsia="仿宋"/>
          <w:b/>
          <w:color w:val="000000"/>
          <w:sz w:val="32"/>
          <w:szCs w:val="32"/>
        </w:rPr>
        <w:t>.卫生健康支出（类）行政事业单位医疗（款）事业单位医疗（项）</w:t>
      </w:r>
      <w:r>
        <w:rPr>
          <w:rFonts w:ascii="仿宋" w:hAnsi="仿宋" w:eastAsia="仿宋"/>
          <w:color w:val="000000"/>
          <w:sz w:val="32"/>
          <w:szCs w:val="32"/>
        </w:rPr>
        <w:t>：指反映财政部门安排的事业单位基本医疗保险缴费经费，未参加医疗保险的事业单位的公费医疗经费，按国家规定享受离休人员待遇的医疗经费。</w:t>
      </w:r>
    </w:p>
    <w:p>
      <w:pPr>
        <w:autoSpaceDN w:val="0"/>
        <w:spacing w:line="560" w:lineRule="exact"/>
        <w:ind w:firstLine="420"/>
        <w:rPr>
          <w:rFonts w:ascii="仿宋" w:hAnsi="仿宋" w:eastAsia="仿宋"/>
          <w:color w:val="000000"/>
          <w:sz w:val="32"/>
          <w:szCs w:val="32"/>
        </w:rPr>
      </w:pP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rPr>
        <w:t>9</w:t>
      </w:r>
      <w:r>
        <w:rPr>
          <w:rFonts w:ascii="仿宋" w:hAnsi="仿宋" w:eastAsia="仿宋"/>
          <w:b/>
          <w:color w:val="000000"/>
          <w:sz w:val="32"/>
          <w:szCs w:val="32"/>
        </w:rPr>
        <w:t>.住房保障支出（类）住房改革支出（款）住房公积金（项）</w:t>
      </w:r>
      <w:r>
        <w:rPr>
          <w:rFonts w:ascii="仿宋" w:hAnsi="仿宋" w:eastAsia="仿宋"/>
          <w:color w:val="000000"/>
          <w:sz w:val="32"/>
          <w:szCs w:val="32"/>
        </w:rPr>
        <w:t>：指反映行政事业单位按人力资源和社会保障部、财政部规定的基本工资和津贴补贴以及规定比例为职工缴纳的住房公积金。</w:t>
      </w:r>
    </w:p>
    <w:p>
      <w:pPr>
        <w:autoSpaceDN w:val="0"/>
        <w:spacing w:line="560" w:lineRule="exact"/>
        <w:ind w:firstLine="420"/>
        <w:rPr>
          <w:rFonts w:ascii="仿宋" w:hAnsi="仿宋" w:eastAsia="仿宋"/>
          <w:color w:val="000000"/>
          <w:sz w:val="32"/>
          <w:szCs w:val="32"/>
        </w:rPr>
      </w:pP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rPr>
        <w:t>1</w:t>
      </w:r>
      <w:r>
        <w:rPr>
          <w:rFonts w:hint="eastAsia" w:ascii="仿宋" w:hAnsi="仿宋" w:eastAsia="仿宋"/>
          <w:b/>
          <w:color w:val="000000"/>
          <w:sz w:val="32"/>
          <w:szCs w:val="32"/>
          <w:lang w:val="en-US" w:eastAsia="zh-CN"/>
        </w:rPr>
        <w:t>0</w:t>
      </w:r>
      <w:r>
        <w:rPr>
          <w:rFonts w:ascii="仿宋" w:hAnsi="仿宋" w:eastAsia="仿宋"/>
          <w:b/>
          <w:color w:val="000000"/>
          <w:sz w:val="32"/>
          <w:szCs w:val="32"/>
        </w:rPr>
        <w:t>.基本支出</w:t>
      </w:r>
      <w:r>
        <w:rPr>
          <w:rFonts w:ascii="仿宋" w:hAnsi="仿宋" w:eastAsia="仿宋"/>
          <w:color w:val="000000"/>
          <w:sz w:val="32"/>
          <w:szCs w:val="32"/>
        </w:rPr>
        <w:t>：指为保障机构正常运转、完成日常工作任务而发生的人员支出和公用支出。</w:t>
      </w:r>
    </w:p>
    <w:p>
      <w:pPr>
        <w:autoSpaceDN w:val="0"/>
        <w:spacing w:line="560" w:lineRule="exact"/>
        <w:ind w:firstLine="420"/>
        <w:rPr>
          <w:rFonts w:ascii="仿宋" w:hAnsi="仿宋" w:eastAsia="仿宋"/>
          <w:color w:val="000000"/>
          <w:sz w:val="32"/>
          <w:szCs w:val="32"/>
        </w:rPr>
      </w:pP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rPr>
        <w:t>1</w:t>
      </w:r>
      <w:r>
        <w:rPr>
          <w:rFonts w:hint="eastAsia" w:ascii="仿宋" w:hAnsi="仿宋" w:eastAsia="仿宋"/>
          <w:b/>
          <w:color w:val="000000"/>
          <w:sz w:val="32"/>
          <w:szCs w:val="32"/>
          <w:lang w:val="en-US" w:eastAsia="zh-CN"/>
        </w:rPr>
        <w:t>1</w:t>
      </w:r>
      <w:r>
        <w:rPr>
          <w:rFonts w:ascii="仿宋" w:hAnsi="仿宋" w:eastAsia="仿宋"/>
          <w:b/>
          <w:color w:val="000000"/>
          <w:sz w:val="32"/>
          <w:szCs w:val="32"/>
        </w:rPr>
        <w:t>.项目支出</w:t>
      </w:r>
      <w:r>
        <w:rPr>
          <w:rFonts w:ascii="仿宋" w:hAnsi="仿宋" w:eastAsia="仿宋"/>
          <w:color w:val="000000"/>
          <w:sz w:val="32"/>
          <w:szCs w:val="32"/>
        </w:rPr>
        <w:t>：指在基本支出之外为完成特定行政任务和事业发展目标所发生的支出。</w:t>
      </w:r>
    </w:p>
    <w:p>
      <w:pPr>
        <w:autoSpaceDN w:val="0"/>
        <w:spacing w:line="560" w:lineRule="exact"/>
        <w:ind w:firstLine="420"/>
        <w:rPr>
          <w:rFonts w:ascii="仿宋" w:hAnsi="仿宋" w:eastAsia="仿宋"/>
          <w:color w:val="000000"/>
          <w:sz w:val="32"/>
          <w:szCs w:val="32"/>
        </w:rPr>
      </w:pP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rPr>
        <w:t>1</w:t>
      </w:r>
      <w:r>
        <w:rPr>
          <w:rFonts w:hint="eastAsia" w:ascii="仿宋" w:hAnsi="仿宋" w:eastAsia="仿宋"/>
          <w:b/>
          <w:color w:val="000000"/>
          <w:sz w:val="32"/>
          <w:szCs w:val="32"/>
          <w:lang w:val="en-US" w:eastAsia="zh-CN"/>
        </w:rPr>
        <w:t>2</w:t>
      </w:r>
      <w:r>
        <w:rPr>
          <w:rFonts w:ascii="仿宋" w:hAnsi="仿宋" w:eastAsia="仿宋"/>
          <w:b/>
          <w:color w:val="000000"/>
          <w:sz w:val="32"/>
          <w:szCs w:val="32"/>
        </w:rPr>
        <w:t>.“三公”经费：</w:t>
      </w:r>
      <w:r>
        <w:rPr>
          <w:rFonts w:ascii="仿宋" w:hAnsi="仿宋" w:eastAsia="仿宋"/>
          <w:color w:val="00000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ascii="黑体" w:hAnsi="黑体" w:eastAsia="黑体"/>
          <w:b w:val="0"/>
          <w:color w:val="auto"/>
          <w:highlight w:val="none"/>
        </w:rPr>
      </w:pPr>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52"/>
    </w:p>
    <w:p>
      <w:pPr>
        <w:spacing w:line="600" w:lineRule="exact"/>
        <w:jc w:val="both"/>
        <w:outlineLvl w:val="0"/>
        <w:rPr>
          <w:rFonts w:hint="eastAsia" w:ascii="黑体" w:hAnsi="黑体" w:eastAsia="黑体"/>
          <w:color w:val="auto"/>
          <w:sz w:val="44"/>
          <w:szCs w:val="44"/>
          <w:highlight w:val="none"/>
        </w:rPr>
      </w:pPr>
      <w:bookmarkStart w:id="53" w:name="_Toc15396618"/>
    </w:p>
    <w:p>
      <w:pPr>
        <w:spacing w:line="600" w:lineRule="exact"/>
        <w:ind w:firstLine="640" w:firstLineChars="200"/>
        <w:jc w:val="both"/>
        <w:outlineLvl w:val="0"/>
        <w:rPr>
          <w:rFonts w:hint="eastAsia" w:ascii="黑体" w:hAnsi="黑体" w:eastAsia="黑体"/>
          <w:color w:val="auto"/>
          <w:sz w:val="44"/>
          <w:szCs w:val="44"/>
          <w:highlight w:val="none"/>
        </w:rPr>
      </w:pPr>
      <w:r>
        <w:rPr>
          <w:rFonts w:hint="eastAsia" w:ascii="仿宋_GB2312" w:hAnsi="宋体" w:eastAsia="仿宋_GB2312" w:cs="宋体"/>
          <w:color w:val="000000"/>
          <w:kern w:val="0"/>
          <w:sz w:val="32"/>
          <w:szCs w:val="32"/>
          <w:shd w:val="clear" w:color="auto" w:fill="FFFFFF"/>
          <w:lang w:val="en-US" w:eastAsia="zh-CN"/>
        </w:rPr>
        <w:t>无。</w:t>
      </w: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51"/>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57"/>
    </w:p>
    <w:p>
      <w:pPr>
        <w:pStyle w:val="4"/>
        <w:rPr>
          <w:rStyle w:val="25"/>
          <w:rFonts w:ascii="仿宋" w:hAnsi="仿宋" w:eastAsia="仿宋"/>
          <w:b w:val="0"/>
          <w:bCs w:val="0"/>
          <w:color w:val="auto"/>
          <w:highlight w:val="none"/>
        </w:rPr>
      </w:pPr>
      <w:bookmarkStart w:id="58"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63"/>
    </w:p>
    <w:p>
      <w:pPr>
        <w:pStyle w:val="4"/>
        <w:rPr>
          <w:rFonts w:ascii="仿宋" w:hAnsi="仿宋" w:eastAsia="仿宋"/>
          <w:color w:val="auto"/>
          <w:highlight w:val="none"/>
        </w:rPr>
      </w:pPr>
      <w:bookmarkStart w:id="64" w:name="_Toc15396629"/>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64"/>
    </w:p>
    <w:p>
      <w:pPr>
        <w:pStyle w:val="4"/>
        <w:rPr>
          <w:rFonts w:ascii="仿宋" w:hAnsi="仿宋" w:eastAsia="仿宋"/>
          <w:color w:val="auto"/>
          <w:highlight w:val="none"/>
        </w:rPr>
      </w:pPr>
      <w:bookmarkStart w:id="65" w:name="_Toc15396630"/>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65"/>
    </w:p>
    <w:p>
      <w:pPr>
        <w:pStyle w:val="4"/>
        <w:rPr>
          <w:rStyle w:val="25"/>
          <w:rFonts w:hint="eastAsia" w:ascii="仿宋" w:hAnsi="仿宋" w:eastAsia="仿宋"/>
          <w:b w:val="0"/>
          <w:bCs w:val="0"/>
          <w:color w:val="auto"/>
          <w:highlight w:val="none"/>
        </w:rPr>
      </w:pPr>
      <w:bookmarkStart w:id="66" w:name="_Toc15396631"/>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66"/>
    </w:p>
    <w:p>
      <w:pPr>
        <w:rPr>
          <w:rFonts w:hint="eastAsia" w:eastAsia="仿宋"/>
          <w:color w:val="auto"/>
          <w:highlight w:val="none"/>
          <w:lang w:eastAsia="zh-CN"/>
        </w:rPr>
      </w:pPr>
      <w:r>
        <w:rPr>
          <w:rStyle w:val="25"/>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EF8A7"/>
    <w:multiLevelType w:val="singleLevel"/>
    <w:tmpl w:val="993EF8A7"/>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ZTk0YjZlMGY3NmE4Mjg5YmQ2MWE5YWJkOThjYz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6808"/>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AB0032"/>
    <w:rsid w:val="052D2B52"/>
    <w:rsid w:val="069A035E"/>
    <w:rsid w:val="08CA47FF"/>
    <w:rsid w:val="0A2032A3"/>
    <w:rsid w:val="0B8A37D8"/>
    <w:rsid w:val="0B9C06D5"/>
    <w:rsid w:val="0BE800E8"/>
    <w:rsid w:val="10C055FF"/>
    <w:rsid w:val="118107EC"/>
    <w:rsid w:val="11DD6519"/>
    <w:rsid w:val="12902616"/>
    <w:rsid w:val="134F427F"/>
    <w:rsid w:val="146D0E60"/>
    <w:rsid w:val="15227E9D"/>
    <w:rsid w:val="16BB723D"/>
    <w:rsid w:val="18015F3F"/>
    <w:rsid w:val="1A50725A"/>
    <w:rsid w:val="1BE8440E"/>
    <w:rsid w:val="1C7A5928"/>
    <w:rsid w:val="1D155CEE"/>
    <w:rsid w:val="1DC44F32"/>
    <w:rsid w:val="1E2C58E8"/>
    <w:rsid w:val="1F15644C"/>
    <w:rsid w:val="1F677E3D"/>
    <w:rsid w:val="1FC63B1B"/>
    <w:rsid w:val="20F57F95"/>
    <w:rsid w:val="240371BF"/>
    <w:rsid w:val="25C741E6"/>
    <w:rsid w:val="27842671"/>
    <w:rsid w:val="2905584C"/>
    <w:rsid w:val="29FD04D3"/>
    <w:rsid w:val="2ABE7A3E"/>
    <w:rsid w:val="2BE266B2"/>
    <w:rsid w:val="2EFA178C"/>
    <w:rsid w:val="2EFC30B5"/>
    <w:rsid w:val="2F2D66FF"/>
    <w:rsid w:val="30B46D73"/>
    <w:rsid w:val="319F7F4E"/>
    <w:rsid w:val="31AA329C"/>
    <w:rsid w:val="31BB7257"/>
    <w:rsid w:val="33A342A9"/>
    <w:rsid w:val="33ED32BF"/>
    <w:rsid w:val="38787C50"/>
    <w:rsid w:val="38FD48BB"/>
    <w:rsid w:val="39AE70AB"/>
    <w:rsid w:val="3B787F67"/>
    <w:rsid w:val="3C0C0783"/>
    <w:rsid w:val="3F9F3A96"/>
    <w:rsid w:val="3FCE23FD"/>
    <w:rsid w:val="41082071"/>
    <w:rsid w:val="41326E0A"/>
    <w:rsid w:val="418A4550"/>
    <w:rsid w:val="41CF41E8"/>
    <w:rsid w:val="41F63994"/>
    <w:rsid w:val="42206C63"/>
    <w:rsid w:val="429B3C85"/>
    <w:rsid w:val="459E4A6E"/>
    <w:rsid w:val="493C27E9"/>
    <w:rsid w:val="496F39ED"/>
    <w:rsid w:val="49FF41D3"/>
    <w:rsid w:val="4BE068DB"/>
    <w:rsid w:val="4BF6002B"/>
    <w:rsid w:val="4ECE2238"/>
    <w:rsid w:val="50E04873"/>
    <w:rsid w:val="51DB4B86"/>
    <w:rsid w:val="52BF4122"/>
    <w:rsid w:val="54597863"/>
    <w:rsid w:val="55333C3E"/>
    <w:rsid w:val="57C1645B"/>
    <w:rsid w:val="57FE9BE2"/>
    <w:rsid w:val="5B8D3163"/>
    <w:rsid w:val="5DC836C6"/>
    <w:rsid w:val="5FA72ECA"/>
    <w:rsid w:val="5FFDACCF"/>
    <w:rsid w:val="62F52E8D"/>
    <w:rsid w:val="6347018D"/>
    <w:rsid w:val="64CA39A1"/>
    <w:rsid w:val="64DB2D04"/>
    <w:rsid w:val="65451723"/>
    <w:rsid w:val="66BC48FC"/>
    <w:rsid w:val="68B65AA7"/>
    <w:rsid w:val="696508C0"/>
    <w:rsid w:val="69C243A3"/>
    <w:rsid w:val="6BD83F86"/>
    <w:rsid w:val="6BEE5558"/>
    <w:rsid w:val="6C4A05C8"/>
    <w:rsid w:val="6D7D631A"/>
    <w:rsid w:val="6FFD9136"/>
    <w:rsid w:val="70A72179"/>
    <w:rsid w:val="72734D90"/>
    <w:rsid w:val="72CF1A7D"/>
    <w:rsid w:val="73F97190"/>
    <w:rsid w:val="751002F7"/>
    <w:rsid w:val="75E11C8A"/>
    <w:rsid w:val="778B764A"/>
    <w:rsid w:val="77D51FCB"/>
    <w:rsid w:val="77F97584"/>
    <w:rsid w:val="789F5CA1"/>
    <w:rsid w:val="78E923F0"/>
    <w:rsid w:val="7914420C"/>
    <w:rsid w:val="79677152"/>
    <w:rsid w:val="79E7B28D"/>
    <w:rsid w:val="7A94376E"/>
    <w:rsid w:val="7B9DD472"/>
    <w:rsid w:val="7D171AF4"/>
    <w:rsid w:val="7ED5D675"/>
    <w:rsid w:val="7F736048"/>
    <w:rsid w:val="7F7EDC7E"/>
    <w:rsid w:val="7F9F20EE"/>
    <w:rsid w:val="7FBFF2FB"/>
    <w:rsid w:val="7FC7430C"/>
    <w:rsid w:val="7FF6C996"/>
    <w:rsid w:val="9E3A10E2"/>
    <w:rsid w:val="AF51CFC7"/>
    <w:rsid w:val="AFEE4776"/>
    <w:rsid w:val="BA6FD93A"/>
    <w:rsid w:val="BDF7992B"/>
    <w:rsid w:val="D7AAF366"/>
    <w:rsid w:val="E7F3BCCD"/>
    <w:rsid w:val="ECED7BB0"/>
    <w:rsid w:val="EFDC82B3"/>
    <w:rsid w:val="EFEFF4F1"/>
    <w:rsid w:val="EFFE73FB"/>
    <w:rsid w:val="F1EB83EB"/>
    <w:rsid w:val="F2B34111"/>
    <w:rsid w:val="F2E1F9D4"/>
    <w:rsid w:val="F7880819"/>
    <w:rsid w:val="F7EFF8D1"/>
    <w:rsid w:val="F7FF12C7"/>
    <w:rsid w:val="F8BF35D0"/>
    <w:rsid w:val="FB974F1E"/>
    <w:rsid w:val="FDDF41F2"/>
    <w:rsid w:val="FFAF48B5"/>
    <w:rsid w:val="FFAFA351"/>
    <w:rsid w:val="FFEF4DB7"/>
    <w:rsid w:val="FFFAA62D"/>
    <w:rsid w:val="FFFF4F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 Char Char1 Char Char Char Char"/>
    <w:basedOn w:val="31"/>
    <w:qFormat/>
    <w:uiPriority w:val="0"/>
    <w:pPr>
      <w:spacing w:line="240" w:lineRule="atLeast"/>
      <w:ind w:left="420" w:firstLine="420"/>
    </w:p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正文 New New New"/>
    <w:qFormat/>
    <w:uiPriority w:val="0"/>
    <w:pPr>
      <w:widowControl w:val="0"/>
      <w:jc w:val="both"/>
    </w:pPr>
    <w:rPr>
      <w:rFonts w:ascii="Calibri" w:hAnsi="Calibri" w:eastAsia="宋体" w:cs="黑体"/>
      <w:kern w:val="2"/>
      <w:sz w:val="21"/>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4095</Words>
  <Characters>4390</Characters>
  <Lines>61</Lines>
  <Paragraphs>17</Paragraphs>
  <TotalTime>0</TotalTime>
  <ScaleCrop>false</ScaleCrop>
  <LinksUpToDate>false</LinksUpToDate>
  <CharactersWithSpaces>4428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2020-08-07T17:49:00Z</dcterms:created>
  <dc:creator>曹颖</dc:creator>
  <cp:lastModifiedBy>kylin</cp:lastModifiedBy>
  <cp:lastPrinted>2022-08-08T18:23:00Z</cp:lastPrinted>
  <dcterms:modified xsi:type="dcterms:W3CDTF">2023-09-06T10:40:02Z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CE6ADF2C970D4676AF658ADDA8C0F4EF</vt:lpwstr>
  </property>
</Properties>
</file>