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pPr>
    </w:p>
    <w:p>
      <w:pPr>
        <w:spacing w:line="600" w:lineRule="exact"/>
        <w:jc w:val="left"/>
        <w:rPr>
          <w:rFonts w:ascii="方正小标宋简体" w:hAnsi="宋体" w:eastAsia="方正小标宋简体"/>
          <w:sz w:val="30"/>
          <w:szCs w:val="30"/>
        </w:rPr>
      </w:pPr>
    </w:p>
    <w:p>
      <w:pPr>
        <w:spacing w:line="600" w:lineRule="exact"/>
        <w:jc w:val="center"/>
        <w:rPr>
          <w:rFonts w:ascii="方正小标宋简体" w:hAnsi="宋体" w:eastAsia="方正小标宋简体"/>
          <w:color w:val="000000"/>
          <w:sz w:val="72"/>
          <w:szCs w:val="72"/>
        </w:rPr>
      </w:pPr>
    </w:p>
    <w:p>
      <w:pPr>
        <w:pStyle w:val="2"/>
        <w:spacing w:before="93"/>
      </w:pPr>
    </w:p>
    <w:p>
      <w:pPr>
        <w:spacing w:line="600" w:lineRule="exact"/>
        <w:jc w:val="center"/>
        <w:rPr>
          <w:rFonts w:ascii="方正小标宋简体" w:hAnsi="宋体" w:eastAsia="方正小标宋简体"/>
          <w:color w:val="000000"/>
          <w:sz w:val="72"/>
          <w:szCs w:val="72"/>
        </w:rPr>
      </w:pPr>
    </w:p>
    <w:p>
      <w:pPr>
        <w:pStyle w:val="2"/>
        <w:spacing w:before="93"/>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0" w:name="_Toc29752"/>
      <w:r>
        <w:rPr>
          <w:rFonts w:hint="eastAsia" w:ascii="方正小标宋简体" w:hAnsi="方正小标宋简体" w:eastAsia="方正小标宋简体" w:cs="方正小标宋简体"/>
          <w:sz w:val="72"/>
          <w:szCs w:val="72"/>
        </w:rPr>
        <w:t>2021年度</w:t>
      </w:r>
      <w:bookmarkEnd w:id="0"/>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8277"/>
      <w:r>
        <w:rPr>
          <w:rFonts w:hint="eastAsia" w:ascii="方正小标宋简体" w:hAnsi="方正小标宋简体" w:eastAsia="方正小标宋简体" w:cs="方正小标宋简体"/>
          <w:sz w:val="72"/>
          <w:szCs w:val="72"/>
        </w:rPr>
        <w:t>四川省高级人民法院</w:t>
      </w:r>
      <w:bookmarkEnd w:id="1"/>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2" w:name="_Toc3868"/>
      <w:r>
        <w:rPr>
          <w:rFonts w:hint="eastAsia" w:ascii="方正小标宋简体" w:hAnsi="方正小标宋简体" w:eastAsia="方正小标宋简体" w:cs="方正小标宋简体"/>
          <w:sz w:val="72"/>
          <w:szCs w:val="72"/>
        </w:rPr>
        <w:t>部门决算</w:t>
      </w:r>
      <w:bookmarkEnd w:id="2"/>
    </w:p>
    <w:p>
      <w:pPr>
        <w:spacing w:line="600" w:lineRule="exact"/>
        <w:jc w:val="center"/>
        <w:rPr>
          <w:rFonts w:ascii="方正小标宋简体" w:hAnsi="宋体" w:eastAsia="方正小标宋简体"/>
          <w:color w:val="000000"/>
          <w:sz w:val="72"/>
          <w:szCs w:val="72"/>
        </w:rPr>
      </w:pPr>
    </w:p>
    <w:p>
      <w:pPr>
        <w:spacing w:line="600" w:lineRule="exact"/>
        <w:jc w:val="center"/>
        <w:rPr>
          <w:rFonts w:ascii="方正小标宋简体" w:hAnsi="宋体" w:eastAsia="方正小标宋简体"/>
          <w:color w:val="000000"/>
          <w:sz w:val="72"/>
          <w:szCs w:val="72"/>
        </w:rPr>
      </w:pPr>
    </w:p>
    <w:p>
      <w:pPr>
        <w:widowControl/>
        <w:rPr>
          <w:rFonts w:ascii="方正小标宋简体" w:hAnsi="宋体" w:eastAsia="方正小标宋简体"/>
          <w:color w:val="000000"/>
          <w:sz w:val="36"/>
          <w:szCs w:val="36"/>
        </w:rPr>
      </w:pPr>
    </w:p>
    <w:p>
      <w:pPr>
        <w:widowControl/>
        <w:rPr>
          <w:rFonts w:ascii="方正小标宋简体" w:hAnsi="宋体" w:eastAsia="方正小标宋简体"/>
          <w:color w:val="000000"/>
          <w:sz w:val="36"/>
          <w:szCs w:val="36"/>
        </w:rPr>
      </w:pPr>
    </w:p>
    <w:p>
      <w:pPr>
        <w:widowControl/>
        <w:rPr>
          <w:rFonts w:ascii="方正小标宋简体" w:hAnsi="宋体" w:eastAsia="方正小标宋简体"/>
          <w:color w:val="000000"/>
          <w:sz w:val="36"/>
          <w:szCs w:val="36"/>
        </w:rPr>
      </w:pPr>
    </w:p>
    <w:p>
      <w:pPr>
        <w:pStyle w:val="12"/>
        <w:jc w:val="both"/>
        <w:sectPr>
          <w:pgSz w:w="11906" w:h="16838"/>
          <w:pgMar w:top="1440" w:right="1800" w:bottom="1440" w:left="1800" w:header="851" w:footer="992" w:gutter="0"/>
          <w:pgNumType w:start="1"/>
          <w:cols w:space="720" w:num="1"/>
          <w:docGrid w:type="lines" w:linePitch="312" w:charSpace="0"/>
        </w:sectPr>
      </w:pPr>
    </w:p>
    <w:p>
      <w:pPr>
        <w:widowControl/>
        <w:jc w:val="center"/>
        <w:rPr>
          <w:rFonts w:ascii="黑体" w:hAnsi="黑体" w:eastAsia="黑体"/>
          <w:sz w:val="44"/>
          <w:szCs w:val="44"/>
        </w:rPr>
      </w:pPr>
      <w:r>
        <w:rPr>
          <w:rFonts w:hint="eastAsia" w:ascii="黑体" w:hAnsi="黑体" w:eastAsia="黑体"/>
          <w:sz w:val="44"/>
          <w:szCs w:val="44"/>
        </w:rPr>
        <w:t>目录</w:t>
      </w:r>
    </w:p>
    <w:p>
      <w:pPr>
        <w:pStyle w:val="2"/>
        <w:spacing w:before="72"/>
      </w:pPr>
    </w:p>
    <w:p>
      <w:pPr>
        <w:pStyle w:val="12"/>
        <w:rPr>
          <w:sz w:val="28"/>
          <w:szCs w:val="32"/>
        </w:rPr>
      </w:pPr>
      <w:r>
        <w:rPr>
          <w:rFonts w:hint="eastAsia"/>
          <w:sz w:val="28"/>
          <w:szCs w:val="32"/>
        </w:rPr>
        <w:t>公开时间：2022年8月29日</w:t>
      </w:r>
    </w:p>
    <w:p>
      <w:pPr>
        <w:pStyle w:val="12"/>
        <w:tabs>
          <w:tab w:val="right" w:leader="dot" w:pos="8304"/>
          <w:tab w:val="clear" w:pos="8296"/>
        </w:tabs>
        <w:spacing w:line="440" w:lineRule="exact"/>
        <w:jc w:val="left"/>
      </w:pPr>
      <w:r>
        <w:fldChar w:fldCharType="begin"/>
      </w:r>
      <w:r>
        <w:instrText xml:space="preserve">TOC \o "1-2" \h \u </w:instrText>
      </w:r>
      <w:r>
        <w:fldChar w:fldCharType="separate"/>
      </w:r>
      <w:r>
        <w:fldChar w:fldCharType="begin"/>
      </w:r>
      <w:r>
        <w:instrText xml:space="preserve"> HYPERLINK \l "_Toc21681" </w:instrText>
      </w:r>
      <w:r>
        <w:fldChar w:fldCharType="separate"/>
      </w:r>
      <w:r>
        <w:rPr>
          <w:rFonts w:hint="eastAsia" w:cs="仿宋"/>
        </w:rPr>
        <w:t>第一部分 部门概况</w:t>
      </w:r>
      <w:r>
        <w:rPr>
          <w:rFonts w:ascii="Times New Roman" w:hAnsi="Times New Roman" w:eastAsia="宋体"/>
          <w:szCs w:val="24"/>
        </w:rPr>
        <w:tab/>
      </w:r>
      <w:r>
        <w:rPr>
          <w:rFonts w:ascii="Times New Roman" w:hAnsi="Times New Roman" w:eastAsia="宋体"/>
          <w:szCs w:val="24"/>
        </w:rPr>
        <w:fldChar w:fldCharType="begin"/>
      </w:r>
      <w:r>
        <w:rPr>
          <w:rFonts w:ascii="Times New Roman" w:hAnsi="Times New Roman" w:eastAsia="宋体"/>
          <w:szCs w:val="24"/>
        </w:rPr>
        <w:instrText xml:space="preserve"> PAGEREF _Toc21681 \h </w:instrText>
      </w:r>
      <w:r>
        <w:rPr>
          <w:rFonts w:ascii="Times New Roman" w:hAnsi="Times New Roman" w:eastAsia="宋体"/>
          <w:szCs w:val="24"/>
        </w:rPr>
        <w:fldChar w:fldCharType="separate"/>
      </w:r>
      <w:r>
        <w:rPr>
          <w:rFonts w:ascii="Times New Roman" w:hAnsi="Times New Roman" w:eastAsia="宋体"/>
          <w:szCs w:val="24"/>
        </w:rPr>
        <w:t>4</w:t>
      </w:r>
      <w:r>
        <w:rPr>
          <w:rFonts w:ascii="Times New Roman" w:hAnsi="Times New Roman" w:eastAsia="宋体"/>
          <w:szCs w:val="24"/>
        </w:rPr>
        <w:fldChar w:fldCharType="end"/>
      </w:r>
      <w:r>
        <w:rPr>
          <w:rFonts w:ascii="Times New Roman" w:hAnsi="Times New Roman" w:eastAsia="宋体"/>
          <w:szCs w:val="24"/>
        </w:rPr>
        <w:fldChar w:fldCharType="end"/>
      </w:r>
    </w:p>
    <w:p>
      <w:pPr>
        <w:pStyle w:val="13"/>
        <w:tabs>
          <w:tab w:val="right" w:leader="dot" w:pos="8304"/>
          <w:tab w:val="clear" w:pos="8296"/>
        </w:tabs>
        <w:spacing w:line="440" w:lineRule="exact"/>
        <w:jc w:val="left"/>
      </w:pPr>
      <w:r>
        <w:fldChar w:fldCharType="begin"/>
      </w:r>
      <w:r>
        <w:instrText xml:space="preserve"> HYPERLINK \l "_Toc19576" </w:instrText>
      </w:r>
      <w:r>
        <w:fldChar w:fldCharType="separate"/>
      </w:r>
      <w:r>
        <w:rPr>
          <w:rFonts w:hint="eastAsia" w:ascii="宋体" w:hAnsi="宋体" w:cs="宋体"/>
        </w:rPr>
        <w:t>一、基本职能及主要工作</w:t>
      </w:r>
      <w:r>
        <w:tab/>
      </w:r>
      <w:r>
        <w:fldChar w:fldCharType="begin"/>
      </w:r>
      <w:r>
        <w:instrText xml:space="preserve"> PAGEREF _Toc19576 \h </w:instrText>
      </w:r>
      <w:r>
        <w:fldChar w:fldCharType="separate"/>
      </w:r>
      <w:r>
        <w:t>4</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"_Toc28538" </w:instrText>
      </w:r>
      <w:r>
        <w:fldChar w:fldCharType="separate"/>
      </w:r>
      <w:r>
        <w:rPr>
          <w:rFonts w:hint="eastAsia" w:ascii="宋体" w:hAnsi="宋体" w:cs="宋体"/>
        </w:rPr>
        <w:t>二、机构设置</w:t>
      </w:r>
      <w:r>
        <w:tab/>
      </w:r>
      <w:r>
        <w:fldChar w:fldCharType="begin"/>
      </w:r>
      <w:r>
        <w:instrText xml:space="preserve"> PAGEREF _Toc28538 \h </w:instrText>
      </w:r>
      <w:r>
        <w:fldChar w:fldCharType="separate"/>
      </w:r>
      <w:r>
        <w:t>5</w:t>
      </w:r>
      <w:r>
        <w:fldChar w:fldCharType="end"/>
      </w:r>
      <w:r>
        <w:fldChar w:fldCharType="end"/>
      </w:r>
    </w:p>
    <w:p>
      <w:pPr>
        <w:pStyle w:val="12"/>
        <w:tabs>
          <w:tab w:val="right" w:leader="dot" w:pos="8304"/>
          <w:tab w:val="clear" w:pos="8296"/>
        </w:tabs>
        <w:spacing w:line="440" w:lineRule="exact"/>
        <w:jc w:val="left"/>
      </w:pPr>
      <w:r>
        <w:fldChar w:fldCharType="begin"/>
      </w:r>
      <w:r>
        <w:instrText xml:space="preserve"> HYPERLINK \l "_Toc31647" </w:instrText>
      </w:r>
      <w:r>
        <w:fldChar w:fldCharType="separate"/>
      </w:r>
      <w:r>
        <w:rPr>
          <w:rFonts w:hint="eastAsia" w:cs="仿宋"/>
        </w:rPr>
        <w:t>第二部分 2021年度部门决算情况说明</w:t>
      </w:r>
      <w:r>
        <w:rPr>
          <w:rFonts w:ascii="Times New Roman" w:hAnsi="Times New Roman" w:eastAsia="宋体"/>
          <w:szCs w:val="24"/>
        </w:rPr>
        <w:tab/>
      </w:r>
      <w:r>
        <w:rPr>
          <w:rFonts w:ascii="Times New Roman" w:hAnsi="Times New Roman" w:eastAsia="宋体"/>
          <w:szCs w:val="24"/>
        </w:rPr>
        <w:fldChar w:fldCharType="begin"/>
      </w:r>
      <w:r>
        <w:rPr>
          <w:rFonts w:ascii="Times New Roman" w:hAnsi="Times New Roman" w:eastAsia="宋体"/>
          <w:szCs w:val="24"/>
        </w:rPr>
        <w:instrText xml:space="preserve"> PAGEREF _Toc31647 \h </w:instrText>
      </w:r>
      <w:r>
        <w:rPr>
          <w:rFonts w:ascii="Times New Roman" w:hAnsi="Times New Roman" w:eastAsia="宋体"/>
          <w:szCs w:val="24"/>
        </w:rPr>
        <w:fldChar w:fldCharType="separate"/>
      </w:r>
      <w:r>
        <w:rPr>
          <w:rFonts w:ascii="Times New Roman" w:hAnsi="Times New Roman" w:eastAsia="宋体"/>
          <w:szCs w:val="24"/>
        </w:rPr>
        <w:t>6</w:t>
      </w:r>
      <w:r>
        <w:rPr>
          <w:rFonts w:ascii="Times New Roman" w:hAnsi="Times New Roman" w:eastAsia="宋体"/>
          <w:szCs w:val="24"/>
        </w:rPr>
        <w:fldChar w:fldCharType="end"/>
      </w:r>
      <w:r>
        <w:rPr>
          <w:rFonts w:ascii="Times New Roman" w:hAnsi="Times New Roman" w:eastAsia="宋体"/>
          <w:szCs w:val="24"/>
        </w:rPr>
        <w:fldChar w:fldCharType="end"/>
      </w:r>
    </w:p>
    <w:p>
      <w:pPr>
        <w:pStyle w:val="13"/>
        <w:tabs>
          <w:tab w:val="right" w:leader="dot" w:pos="8304"/>
          <w:tab w:val="clear" w:pos="8296"/>
        </w:tabs>
        <w:spacing w:line="440" w:lineRule="exact"/>
        <w:jc w:val="left"/>
      </w:pPr>
      <w:r>
        <w:fldChar w:fldCharType="begin"/>
      </w:r>
      <w:r>
        <w:instrText xml:space="preserve"> HYPERLINK \l "_Toc31522" </w:instrText>
      </w:r>
      <w:r>
        <w:fldChar w:fldCharType="separate"/>
      </w:r>
      <w:r>
        <w:rPr>
          <w:rFonts w:ascii="宋体" w:hAnsi="宋体" w:cs="宋体"/>
        </w:rPr>
        <w:t xml:space="preserve">一、 </w:t>
      </w:r>
      <w:r>
        <w:rPr>
          <w:rFonts w:hint="eastAsia" w:ascii="宋体" w:hAnsi="宋体" w:cs="宋体"/>
        </w:rPr>
        <w:t>收入支出决算总体情况说明</w:t>
      </w:r>
      <w:r>
        <w:tab/>
      </w:r>
      <w:r>
        <w:fldChar w:fldCharType="begin"/>
      </w:r>
      <w:r>
        <w:instrText xml:space="preserve"> PAGEREF _Toc31522 \h </w:instrText>
      </w:r>
      <w:r>
        <w:fldChar w:fldCharType="separate"/>
      </w:r>
      <w:r>
        <w:t>6</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"_Toc18037" </w:instrText>
      </w:r>
      <w:r>
        <w:fldChar w:fldCharType="separate"/>
      </w:r>
      <w:r>
        <w:rPr>
          <w:rFonts w:hint="eastAsia" w:ascii="宋体" w:hAnsi="宋体" w:cs="宋体"/>
        </w:rPr>
        <w:t xml:space="preserve">二、 </w:t>
      </w:r>
      <w:r>
        <w:rPr>
          <w:rFonts w:hint="eastAsia" w:ascii="宋体" w:hAnsi="宋体" w:cs="宋体"/>
          <w:szCs w:val="32"/>
        </w:rPr>
        <w:t>收</w:t>
      </w:r>
      <w:r>
        <w:rPr>
          <w:rFonts w:hint="eastAsia" w:ascii="宋体" w:hAnsi="宋体" w:cs="宋体"/>
        </w:rPr>
        <w:t>入决算情况说明</w:t>
      </w:r>
      <w:r>
        <w:tab/>
      </w:r>
      <w:r>
        <w:fldChar w:fldCharType="begin"/>
      </w:r>
      <w:r>
        <w:instrText xml:space="preserve"> PAGEREF _Toc18037 \h </w:instrText>
      </w:r>
      <w:r>
        <w:fldChar w:fldCharType="separate"/>
      </w:r>
      <w:r>
        <w:t>6</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"_Toc9689" </w:instrText>
      </w:r>
      <w:r>
        <w:fldChar w:fldCharType="separate"/>
      </w:r>
      <w:r>
        <w:rPr>
          <w:rFonts w:hint="eastAsia" w:ascii="宋体" w:hAnsi="宋体" w:cs="宋体"/>
          <w:szCs w:val="32"/>
        </w:rPr>
        <w:t>三、 支出决算情况说明</w:t>
      </w:r>
      <w:r>
        <w:tab/>
      </w:r>
      <w:r>
        <w:fldChar w:fldCharType="begin"/>
      </w:r>
      <w:r>
        <w:instrText xml:space="preserve"> PAGEREF _Toc9689 \h </w:instrText>
      </w:r>
      <w:r>
        <w:fldChar w:fldCharType="separate"/>
      </w:r>
      <w:r>
        <w:t>7</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"_Toc9921" </w:instrText>
      </w:r>
      <w:r>
        <w:fldChar w:fldCharType="separate"/>
      </w:r>
      <w:r>
        <w:rPr>
          <w:rFonts w:hint="eastAsia" w:ascii="宋体" w:hAnsi="宋体" w:cs="宋体"/>
        </w:rPr>
        <w:t>四、财政拨款收入支出决算总体情况说明</w:t>
      </w:r>
      <w:r>
        <w:tab/>
      </w:r>
      <w:r>
        <w:fldChar w:fldCharType="begin"/>
      </w:r>
      <w:r>
        <w:instrText xml:space="preserve"> PAGEREF _Toc9921 \h </w:instrText>
      </w:r>
      <w:r>
        <w:fldChar w:fldCharType="separate"/>
      </w:r>
      <w:r>
        <w:t>7</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"_Toc23872" </w:instrText>
      </w:r>
      <w:r>
        <w:fldChar w:fldCharType="separate"/>
      </w:r>
      <w:r>
        <w:rPr>
          <w:rFonts w:hint="eastAsia" w:ascii="宋体" w:hAnsi="宋体" w:cs="宋体"/>
        </w:rPr>
        <w:t>五、一般公共预算财政拨款支出决算情况说明</w:t>
      </w:r>
      <w:r>
        <w:tab/>
      </w:r>
      <w:r>
        <w:fldChar w:fldCharType="begin"/>
      </w:r>
      <w:r>
        <w:instrText xml:space="preserve"> PAGEREF _Toc23872 \h </w:instrText>
      </w:r>
      <w:r>
        <w:fldChar w:fldCharType="separate"/>
      </w:r>
      <w:r>
        <w:t>8</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"_Toc2765" </w:instrText>
      </w:r>
      <w:r>
        <w:fldChar w:fldCharType="separate"/>
      </w:r>
      <w:r>
        <w:rPr>
          <w:rFonts w:hint="eastAsia" w:ascii="宋体" w:hAnsi="宋体" w:cs="宋体"/>
        </w:rPr>
        <w:t>六、一般公共预算财政拨款基本支出决算情况说明</w:t>
      </w:r>
      <w:r>
        <w:tab/>
      </w:r>
      <w:r>
        <w:fldChar w:fldCharType="begin"/>
      </w:r>
      <w:r>
        <w:instrText xml:space="preserve"> PAGEREF _Toc2765 \h </w:instrText>
      </w:r>
      <w:r>
        <w:fldChar w:fldCharType="separate"/>
      </w:r>
      <w:r>
        <w:t>12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"_Toc22777" </w:instrText>
      </w:r>
      <w:r>
        <w:fldChar w:fldCharType="separate"/>
      </w:r>
      <w:r>
        <w:rPr>
          <w:rFonts w:hint="eastAsia" w:ascii="宋体" w:hAnsi="宋体" w:cs="宋体"/>
        </w:rPr>
        <w:t>七、“三公”经费财政拨款支出决算情况说明</w:t>
      </w:r>
      <w:r>
        <w:tab/>
      </w:r>
      <w:r>
        <w:fldChar w:fldCharType="begin"/>
      </w:r>
      <w:r>
        <w:instrText xml:space="preserve"> PAGEREF _Toc22777 \h </w:instrText>
      </w:r>
      <w:r>
        <w:fldChar w:fldCharType="separate"/>
      </w:r>
      <w:r>
        <w:t>13</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"_Toc19502" </w:instrText>
      </w:r>
      <w:r>
        <w:fldChar w:fldCharType="separate"/>
      </w:r>
      <w:r>
        <w:rPr>
          <w:rFonts w:hint="eastAsia" w:ascii="宋体" w:hAnsi="宋体" w:cs="宋体"/>
        </w:rPr>
        <w:t>八、政府性基金预算支出决算情况说明</w:t>
      </w:r>
      <w:r>
        <w:tab/>
      </w:r>
      <w:r>
        <w:fldChar w:fldCharType="begin"/>
      </w:r>
      <w:r>
        <w:instrText xml:space="preserve"> PAGEREF _Toc19502 \h </w:instrText>
      </w:r>
      <w:r>
        <w:fldChar w:fldCharType="separate"/>
      </w:r>
      <w:r>
        <w:t>14</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"_Toc29399" </w:instrText>
      </w:r>
      <w:r>
        <w:fldChar w:fldCharType="separate"/>
      </w:r>
      <w:r>
        <w:rPr>
          <w:rFonts w:hint="eastAsia" w:ascii="宋体" w:hAnsi="宋体" w:cs="宋体"/>
        </w:rPr>
        <w:t>九、 国有资本经营预算支出决算情况说明</w:t>
      </w:r>
      <w:r>
        <w:tab/>
      </w:r>
      <w:r>
        <w:fldChar w:fldCharType="begin"/>
      </w:r>
      <w:r>
        <w:instrText xml:space="preserve"> PAGEREF _Toc29399 \h </w:instrText>
      </w:r>
      <w:r>
        <w:fldChar w:fldCharType="separate"/>
      </w:r>
      <w:r>
        <w:t>14</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"_Toc29104" </w:instrText>
      </w:r>
      <w:r>
        <w:fldChar w:fldCharType="separate"/>
      </w:r>
      <w:r>
        <w:rPr>
          <w:rFonts w:hint="eastAsia" w:ascii="宋体" w:hAnsi="宋体" w:cs="宋体"/>
        </w:rPr>
        <w:t>十、 其他重要事项的情况说明</w:t>
      </w:r>
      <w:r>
        <w:tab/>
      </w:r>
      <w:r>
        <w:fldChar w:fldCharType="begin"/>
      </w:r>
      <w:r>
        <w:instrText xml:space="preserve"> PAGEREF _Toc29104 \h </w:instrText>
      </w:r>
      <w:r>
        <w:fldChar w:fldCharType="separate"/>
      </w:r>
      <w:r>
        <w:t>15</w:t>
      </w:r>
      <w:r>
        <w:fldChar w:fldCharType="end"/>
      </w:r>
      <w:r>
        <w:fldChar w:fldCharType="end"/>
      </w:r>
    </w:p>
    <w:p>
      <w:pPr>
        <w:pStyle w:val="12"/>
        <w:tabs>
          <w:tab w:val="right" w:leader="dot" w:pos="8304"/>
          <w:tab w:val="clear" w:pos="8296"/>
        </w:tabs>
        <w:spacing w:line="440" w:lineRule="exact"/>
        <w:jc w:val="left"/>
      </w:pPr>
      <w:r>
        <w:fldChar w:fldCharType="begin"/>
      </w:r>
      <w:r>
        <w:instrText xml:space="preserve"> HYPERLINK \l "_Toc409" </w:instrText>
      </w:r>
      <w:r>
        <w:fldChar w:fldCharType="separate"/>
      </w:r>
      <w:r>
        <w:rPr>
          <w:rFonts w:hint="eastAsia"/>
        </w:rPr>
        <w:t>第三部分 名词解释</w:t>
      </w:r>
      <w:r>
        <w:rPr>
          <w:rFonts w:ascii="Times New Roman" w:hAnsi="Times New Roman" w:eastAsia="宋体"/>
          <w:szCs w:val="24"/>
        </w:rPr>
        <w:tab/>
      </w:r>
      <w:r>
        <w:rPr>
          <w:rFonts w:ascii="Times New Roman" w:hAnsi="Times New Roman" w:eastAsia="宋体"/>
          <w:szCs w:val="24"/>
        </w:rPr>
        <w:fldChar w:fldCharType="begin"/>
      </w:r>
      <w:r>
        <w:rPr>
          <w:rFonts w:ascii="Times New Roman" w:hAnsi="Times New Roman" w:eastAsia="宋体"/>
          <w:szCs w:val="24"/>
        </w:rPr>
        <w:instrText xml:space="preserve"> PAGEREF _Toc409 \h </w:instrText>
      </w:r>
      <w:r>
        <w:rPr>
          <w:rFonts w:ascii="Times New Roman" w:hAnsi="Times New Roman" w:eastAsia="宋体"/>
          <w:szCs w:val="24"/>
        </w:rPr>
        <w:fldChar w:fldCharType="separate"/>
      </w:r>
      <w:r>
        <w:rPr>
          <w:rFonts w:ascii="Times New Roman" w:hAnsi="Times New Roman" w:eastAsia="宋体"/>
          <w:szCs w:val="24"/>
        </w:rPr>
        <w:t>17</w:t>
      </w:r>
      <w:r>
        <w:rPr>
          <w:rFonts w:ascii="Times New Roman" w:hAnsi="Times New Roman" w:eastAsia="宋体"/>
          <w:szCs w:val="24"/>
        </w:rPr>
        <w:fldChar w:fldCharType="end"/>
      </w:r>
      <w:r>
        <w:rPr>
          <w:rFonts w:ascii="Times New Roman" w:hAnsi="Times New Roman" w:eastAsia="宋体"/>
          <w:szCs w:val="24"/>
        </w:rPr>
        <w:fldChar w:fldCharType="end"/>
      </w:r>
    </w:p>
    <w:p>
      <w:pPr>
        <w:pStyle w:val="12"/>
        <w:tabs>
          <w:tab w:val="right" w:leader="dot" w:pos="8304"/>
          <w:tab w:val="clear" w:pos="8296"/>
        </w:tabs>
        <w:spacing w:line="440" w:lineRule="exact"/>
        <w:jc w:val="left"/>
      </w:pPr>
      <w:r>
        <w:fldChar w:fldCharType="begin"/>
      </w:r>
      <w:r>
        <w:instrText xml:space="preserve"> HYPERLINK \l "_Toc15798" </w:instrText>
      </w:r>
      <w:r>
        <w:fldChar w:fldCharType="separate"/>
      </w:r>
      <w:r>
        <w:rPr>
          <w:rFonts w:hint="eastAsia"/>
        </w:rPr>
        <w:t>第四部分 附件</w:t>
      </w:r>
      <w:r>
        <w:rPr>
          <w:rFonts w:ascii="Times New Roman" w:hAnsi="Times New Roman" w:eastAsia="宋体"/>
          <w:szCs w:val="24"/>
        </w:rPr>
        <w:tab/>
      </w:r>
      <w:r>
        <w:rPr>
          <w:rFonts w:ascii="Times New Roman" w:hAnsi="Times New Roman" w:eastAsia="宋体"/>
          <w:szCs w:val="24"/>
        </w:rPr>
        <w:fldChar w:fldCharType="begin"/>
      </w:r>
      <w:r>
        <w:rPr>
          <w:rFonts w:ascii="Times New Roman" w:hAnsi="Times New Roman" w:eastAsia="宋体"/>
          <w:szCs w:val="24"/>
        </w:rPr>
        <w:instrText xml:space="preserve"> PAGEREF _Toc15798 \h </w:instrText>
      </w:r>
      <w:r>
        <w:rPr>
          <w:rFonts w:ascii="Times New Roman" w:hAnsi="Times New Roman" w:eastAsia="宋体"/>
          <w:szCs w:val="24"/>
        </w:rPr>
        <w:fldChar w:fldCharType="separate"/>
      </w:r>
      <w:r>
        <w:rPr>
          <w:rFonts w:ascii="Times New Roman" w:hAnsi="Times New Roman" w:eastAsia="宋体"/>
          <w:szCs w:val="24"/>
        </w:rPr>
        <w:t>21</w:t>
      </w:r>
      <w:r>
        <w:rPr>
          <w:rFonts w:ascii="Times New Roman" w:hAnsi="Times New Roman" w:eastAsia="宋体"/>
          <w:szCs w:val="24"/>
        </w:rPr>
        <w:fldChar w:fldCharType="end"/>
      </w:r>
      <w:r>
        <w:rPr>
          <w:rFonts w:ascii="Times New Roman" w:hAnsi="Times New Roman" w:eastAsia="宋体"/>
          <w:szCs w:val="24"/>
        </w:rPr>
        <w:fldChar w:fldCharType="end"/>
      </w:r>
    </w:p>
    <w:p>
      <w:pPr>
        <w:pStyle w:val="12"/>
        <w:tabs>
          <w:tab w:val="right" w:leader="dot" w:pos="8304"/>
          <w:tab w:val="clear" w:pos="8296"/>
        </w:tabs>
        <w:spacing w:line="440" w:lineRule="exact"/>
        <w:jc w:val="left"/>
      </w:pPr>
      <w:r>
        <w:fldChar w:fldCharType="begin"/>
      </w:r>
      <w:r>
        <w:instrText xml:space="preserve"> HYPERLINK \l "_Toc21061" </w:instrText>
      </w:r>
      <w:r>
        <w:fldChar w:fldCharType="separate"/>
      </w:r>
      <w:r>
        <w:rPr>
          <w:rFonts w:hint="eastAsia"/>
        </w:rPr>
        <w:t>第五部分 附表</w:t>
      </w:r>
      <w:r>
        <w:rPr>
          <w:rFonts w:ascii="Times New Roman" w:hAnsi="Times New Roman" w:eastAsia="宋体"/>
          <w:szCs w:val="24"/>
        </w:rPr>
        <w:tab/>
      </w:r>
      <w:r>
        <w:rPr>
          <w:rFonts w:ascii="Times New Roman" w:hAnsi="Times New Roman" w:eastAsia="宋体"/>
          <w:szCs w:val="24"/>
        </w:rPr>
        <w:fldChar w:fldCharType="begin"/>
      </w:r>
      <w:r>
        <w:rPr>
          <w:rFonts w:ascii="Times New Roman" w:hAnsi="Times New Roman" w:eastAsia="宋体"/>
          <w:szCs w:val="24"/>
        </w:rPr>
        <w:instrText xml:space="preserve"> PAGEREF _Toc21061 \h </w:instrText>
      </w:r>
      <w:r>
        <w:rPr>
          <w:rFonts w:ascii="Times New Roman" w:hAnsi="Times New Roman" w:eastAsia="宋体"/>
          <w:szCs w:val="24"/>
        </w:rPr>
        <w:fldChar w:fldCharType="separate"/>
      </w:r>
      <w:r>
        <w:rPr>
          <w:rFonts w:ascii="Times New Roman" w:hAnsi="Times New Roman" w:eastAsia="宋体"/>
          <w:szCs w:val="24"/>
        </w:rPr>
        <w:t>82</w:t>
      </w:r>
      <w:r>
        <w:rPr>
          <w:rFonts w:ascii="Times New Roman" w:hAnsi="Times New Roman" w:eastAsia="宋体"/>
          <w:szCs w:val="24"/>
        </w:rPr>
        <w:fldChar w:fldCharType="end"/>
      </w:r>
      <w:r>
        <w:rPr>
          <w:rFonts w:ascii="Times New Roman" w:hAnsi="Times New Roman" w:eastAsia="宋体"/>
          <w:szCs w:val="24"/>
        </w:rPr>
        <w:fldChar w:fldCharType="end"/>
      </w:r>
    </w:p>
    <w:p>
      <w:pPr>
        <w:pStyle w:val="13"/>
        <w:tabs>
          <w:tab w:val="right" w:leader="dot" w:pos="8304"/>
          <w:tab w:val="clear" w:pos="8296"/>
        </w:tabs>
        <w:spacing w:line="440" w:lineRule="exact"/>
        <w:jc w:val="left"/>
      </w:pPr>
      <w:r>
        <w:fldChar w:fldCharType="begin"/>
      </w:r>
      <w:r>
        <w:instrText xml:space="preserve"> HYPERLINK \l "_Toc32166" </w:instrText>
      </w:r>
      <w:r>
        <w:fldChar w:fldCharType="separate"/>
      </w:r>
      <w:r>
        <w:rPr>
          <w:rFonts w:hint="eastAsia"/>
        </w:rPr>
        <w:t>一、收入支出决算总表</w:t>
      </w:r>
      <w:r>
        <w:tab/>
      </w:r>
      <w:r>
        <w:fldChar w:fldCharType="begin"/>
      </w:r>
      <w:r>
        <w:instrText xml:space="preserve"> PAGEREF _Toc32166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"_Toc25251" </w:instrText>
      </w:r>
      <w:r>
        <w:fldChar w:fldCharType="separate"/>
      </w:r>
      <w:r>
        <w:rPr>
          <w:rFonts w:hint="eastAsia"/>
        </w:rPr>
        <w:t>二、收入决算表</w:t>
      </w:r>
      <w:r>
        <w:tab/>
      </w:r>
      <w:r>
        <w:fldChar w:fldCharType="begin"/>
      </w:r>
      <w:r>
        <w:instrText xml:space="preserve"> PAGEREF _Toc25251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"_Toc638" </w:instrText>
      </w:r>
      <w:r>
        <w:fldChar w:fldCharType="separate"/>
      </w:r>
      <w:r>
        <w:rPr>
          <w:rFonts w:hint="eastAsia"/>
        </w:rPr>
        <w:t>三、支出决算表</w:t>
      </w:r>
      <w:r>
        <w:tab/>
      </w:r>
      <w:r>
        <w:fldChar w:fldCharType="begin"/>
      </w:r>
      <w:r>
        <w:instrText xml:space="preserve"> PAGEREF _Toc638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"_Toc10281" </w:instrText>
      </w:r>
      <w:r>
        <w:fldChar w:fldCharType="separate"/>
      </w:r>
      <w:r>
        <w:rPr>
          <w:rFonts w:hint="eastAsia"/>
        </w:rPr>
        <w:t>四、财政拨款收入支出决算总表</w:t>
      </w:r>
      <w:r>
        <w:tab/>
      </w:r>
      <w:r>
        <w:fldChar w:fldCharType="begin"/>
      </w:r>
      <w:r>
        <w:instrText xml:space="preserve"> PAGEREF _Toc10281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"_Toc4704" </w:instrText>
      </w:r>
      <w:r>
        <w:fldChar w:fldCharType="separate"/>
      </w:r>
      <w:r>
        <w:rPr>
          <w:rFonts w:hint="eastAsia"/>
        </w:rPr>
        <w:t>五、财政拨款支出决算明细表</w:t>
      </w:r>
      <w:r>
        <w:tab/>
      </w:r>
      <w:r>
        <w:fldChar w:fldCharType="begin"/>
      </w:r>
      <w:r>
        <w:instrText xml:space="preserve"> PAGEREF _Toc4704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"_Toc16713" </w:instrText>
      </w:r>
      <w:r>
        <w:fldChar w:fldCharType="separate"/>
      </w:r>
      <w:r>
        <w:rPr>
          <w:rFonts w:hint="eastAsia"/>
        </w:rPr>
        <w:t>六、一般公共预算财政拨款支出决算表</w:t>
      </w:r>
      <w:r>
        <w:tab/>
      </w:r>
      <w:r>
        <w:fldChar w:fldCharType="begin"/>
      </w:r>
      <w:r>
        <w:instrText xml:space="preserve"> PAGEREF _Toc16713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"_Toc11860" </w:instrText>
      </w:r>
      <w:r>
        <w:fldChar w:fldCharType="separate"/>
      </w:r>
      <w:r>
        <w:rPr>
          <w:rFonts w:hint="eastAsia"/>
        </w:rPr>
        <w:t>七、一般公共预算财政拨款支出决算明细表</w:t>
      </w:r>
      <w:r>
        <w:tab/>
      </w:r>
      <w:r>
        <w:fldChar w:fldCharType="begin"/>
      </w:r>
      <w:r>
        <w:instrText xml:space="preserve"> PAGEREF _Toc11860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"_Toc29327" </w:instrText>
      </w:r>
      <w:r>
        <w:fldChar w:fldCharType="separate"/>
      </w:r>
      <w:r>
        <w:rPr>
          <w:rFonts w:hint="eastAsia"/>
        </w:rPr>
        <w:t>八、一般公共预算财政拨款基本支出决算表</w:t>
      </w:r>
      <w:r>
        <w:tab/>
      </w:r>
      <w:r>
        <w:fldChar w:fldCharType="begin"/>
      </w:r>
      <w:r>
        <w:instrText xml:space="preserve"> PAGEREF _Toc29327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"_Toc22969" </w:instrText>
      </w:r>
      <w:r>
        <w:fldChar w:fldCharType="separate"/>
      </w:r>
      <w:r>
        <w:rPr>
          <w:rFonts w:hint="eastAsia"/>
        </w:rPr>
        <w:t>九、一般公共预算财政拨款项目支出决算表</w:t>
      </w:r>
      <w:r>
        <w:tab/>
      </w:r>
      <w:r>
        <w:fldChar w:fldCharType="begin"/>
      </w:r>
      <w:r>
        <w:instrText xml:space="preserve"> PAGEREF _Toc22969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"_Toc18142" </w:instrText>
      </w:r>
      <w:r>
        <w:fldChar w:fldCharType="separate"/>
      </w:r>
      <w:r>
        <w:rPr>
          <w:rFonts w:hint="eastAsia"/>
        </w:rPr>
        <w:t>十、一般公共预算财政拨款“三公”经费支出决算表</w:t>
      </w:r>
      <w:r>
        <w:tab/>
      </w:r>
      <w:r>
        <w:fldChar w:fldCharType="begin"/>
      </w:r>
      <w:r>
        <w:instrText xml:space="preserve"> PAGEREF _Toc18142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"_Toc7414" </w:instrText>
      </w:r>
      <w:r>
        <w:fldChar w:fldCharType="separate"/>
      </w:r>
      <w:r>
        <w:rPr>
          <w:rFonts w:hint="eastAsia"/>
        </w:rPr>
        <w:t>十一、政府性基金预算财政拨款收入支出决算表</w:t>
      </w:r>
      <w:r>
        <w:tab/>
      </w:r>
      <w:r>
        <w:fldChar w:fldCharType="begin"/>
      </w:r>
      <w:r>
        <w:instrText xml:space="preserve"> PAGEREF _Toc7414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"_Toc29127" </w:instrText>
      </w:r>
      <w:r>
        <w:fldChar w:fldCharType="separate"/>
      </w:r>
      <w:r>
        <w:rPr>
          <w:rFonts w:hint="eastAsia"/>
        </w:rPr>
        <w:t>十二、政府性基金预算财政拨款“三公”经费支出决算表</w:t>
      </w:r>
      <w:r>
        <w:tab/>
      </w:r>
      <w:r>
        <w:fldChar w:fldCharType="begin"/>
      </w:r>
      <w:r>
        <w:instrText xml:space="preserve"> PAGEREF _Toc29127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"_Toc7933" </w:instrText>
      </w:r>
      <w:r>
        <w:fldChar w:fldCharType="separate"/>
      </w:r>
      <w:r>
        <w:rPr>
          <w:rFonts w:hint="eastAsia"/>
        </w:rPr>
        <w:t>十三、国有资本经营预算财政拨款收入支出决算表</w:t>
      </w:r>
      <w:r>
        <w:tab/>
      </w:r>
      <w:r>
        <w:fldChar w:fldCharType="begin"/>
      </w:r>
      <w:r>
        <w:instrText xml:space="preserve"> PAGEREF _Toc7933 \h </w:instrText>
      </w:r>
      <w:r>
        <w:fldChar w:fldCharType="separate"/>
      </w:r>
      <w:r>
        <w:t>82</w:t>
      </w:r>
      <w:r>
        <w:fldChar w:fldCharType="end"/>
      </w:r>
      <w:r>
        <w:fldChar w:fldCharType="end"/>
      </w:r>
    </w:p>
    <w:p>
      <w:pPr>
        <w:pStyle w:val="13"/>
        <w:tabs>
          <w:tab w:val="right" w:leader="dot" w:pos="8304"/>
          <w:tab w:val="clear" w:pos="8296"/>
        </w:tabs>
        <w:spacing w:line="440" w:lineRule="exact"/>
        <w:jc w:val="left"/>
      </w:pPr>
      <w:r>
        <w:fldChar w:fldCharType="begin"/>
      </w:r>
      <w:r>
        <w:instrText xml:space="preserve"> HYPERLINK \l "_Toc16780" </w:instrText>
      </w:r>
      <w:r>
        <w:fldChar w:fldCharType="separate"/>
      </w:r>
      <w:r>
        <w:rPr>
          <w:rFonts w:hint="eastAsia"/>
        </w:rPr>
        <w:t>十四、国有资本经营预算财政拨款支出决算表</w:t>
      </w:r>
      <w:r>
        <w:tab/>
      </w:r>
      <w:r>
        <w:fldChar w:fldCharType="begin"/>
      </w:r>
      <w:r>
        <w:instrText xml:space="preserve"> PAGEREF _Toc16780 \h </w:instrText>
      </w:r>
      <w:r>
        <w:fldChar w:fldCharType="separate"/>
      </w:r>
      <w:r>
        <w:t>82</w:t>
      </w:r>
      <w:r>
        <w:fldChar w:fldCharType="end"/>
      </w:r>
      <w:r>
        <w:fldChar w:fldCharType="end"/>
      </w:r>
    </w:p>
    <w:p>
      <w:pPr>
        <w:pStyle w:val="2"/>
        <w:spacing w:before="72" w:line="440" w:lineRule="exact"/>
        <w:jc w:val="left"/>
      </w:pPr>
      <w:r>
        <w:fldChar w:fldCharType="end"/>
      </w:r>
    </w:p>
    <w:p>
      <w:pPr>
        <w:pStyle w:val="2"/>
        <w:spacing w:before="72" w:line="440" w:lineRule="exact"/>
      </w:pPr>
    </w:p>
    <w:p>
      <w:pPr>
        <w:pStyle w:val="2"/>
        <w:spacing w:before="72"/>
      </w:pPr>
    </w:p>
    <w:p>
      <w:pPr>
        <w:pStyle w:val="2"/>
        <w:spacing w:before="72"/>
      </w:pPr>
    </w:p>
    <w:p>
      <w:pPr>
        <w:pStyle w:val="2"/>
        <w:spacing w:before="72"/>
      </w:pPr>
    </w:p>
    <w:p>
      <w:pPr>
        <w:pStyle w:val="2"/>
        <w:spacing w:before="72"/>
      </w:pPr>
    </w:p>
    <w:p>
      <w:r>
        <w:br w:type="page"/>
      </w:r>
    </w:p>
    <w:p>
      <w:pPr>
        <w:pStyle w:val="3"/>
        <w:jc w:val="center"/>
        <w:rPr>
          <w:rStyle w:val="19"/>
          <w:rFonts w:ascii="黑体" w:hAnsi="黑体" w:eastAsia="黑体"/>
          <w:b w:val="0"/>
          <w:bCs w:val="0"/>
        </w:rPr>
      </w:pPr>
      <w:bookmarkStart w:id="3" w:name="_Toc23311"/>
      <w:bookmarkStart w:id="4" w:name="_Toc3740"/>
      <w:bookmarkStart w:id="5" w:name="_Toc21681"/>
      <w:bookmarkStart w:id="6" w:name="_Toc23459"/>
      <w:bookmarkStart w:id="7" w:name="_Toc8392"/>
      <w:bookmarkStart w:id="8" w:name="_Toc9936"/>
      <w:r>
        <w:rPr>
          <w:rFonts w:hint="eastAsia" w:ascii="黑体" w:hAnsi="黑体" w:eastAsia="黑体"/>
          <w:b w:val="0"/>
        </w:rPr>
        <w:t xml:space="preserve">第一部分 </w:t>
      </w:r>
      <w:r>
        <w:rPr>
          <w:rStyle w:val="19"/>
          <w:rFonts w:hint="eastAsia" w:ascii="黑体" w:hAnsi="黑体" w:eastAsia="黑体"/>
          <w:b w:val="0"/>
          <w:bCs w:val="0"/>
        </w:rPr>
        <w:t>部门概况</w:t>
      </w:r>
      <w:bookmarkEnd w:id="3"/>
      <w:bookmarkEnd w:id="4"/>
      <w:bookmarkEnd w:id="5"/>
      <w:bookmarkEnd w:id="6"/>
      <w:bookmarkEnd w:id="7"/>
      <w:bookmarkEnd w:id="8"/>
    </w:p>
    <w:p>
      <w:pPr>
        <w:pStyle w:val="4"/>
        <w:ind w:firstLine="640" w:firstLineChars="200"/>
        <w:rPr>
          <w:rStyle w:val="20"/>
          <w:rFonts w:ascii="仿宋" w:hAnsi="仿宋"/>
          <w:b w:val="0"/>
          <w:bCs w:val="0"/>
        </w:rPr>
      </w:pPr>
      <w:bookmarkStart w:id="9" w:name="_Toc18818"/>
      <w:bookmarkStart w:id="10" w:name="_Toc26547"/>
      <w:bookmarkStart w:id="11" w:name="_Toc31692"/>
      <w:bookmarkStart w:id="12" w:name="_Toc28010"/>
      <w:bookmarkStart w:id="13" w:name="_Toc19576"/>
      <w:bookmarkStart w:id="14" w:name="_Toc32461"/>
      <w:r>
        <w:rPr>
          <w:rFonts w:hint="eastAsia" w:ascii="黑体" w:hAnsi="黑体" w:eastAsia="黑体"/>
          <w:b w:val="0"/>
        </w:rPr>
        <w:t>一、基</w:t>
      </w:r>
      <w:r>
        <w:rPr>
          <w:rStyle w:val="20"/>
          <w:rFonts w:hint="eastAsia" w:ascii="黑体" w:hAnsi="黑体" w:eastAsia="黑体"/>
          <w:b w:val="0"/>
          <w:bCs w:val="0"/>
        </w:rPr>
        <w:t>本职能及主要工作</w:t>
      </w:r>
      <w:bookmarkEnd w:id="9"/>
      <w:bookmarkEnd w:id="10"/>
      <w:bookmarkEnd w:id="11"/>
      <w:bookmarkEnd w:id="12"/>
      <w:bookmarkEnd w:id="13"/>
      <w:bookmarkEnd w:id="14"/>
    </w:p>
    <w:p>
      <w:pPr>
        <w:pStyle w:val="2"/>
        <w:adjustRightInd w:val="0"/>
        <w:snapToGrid w:val="0"/>
        <w:spacing w:before="72" w:line="600" w:lineRule="exact"/>
        <w:ind w:firstLine="675" w:firstLineChars="210"/>
        <w:outlineLvl w:val="2"/>
        <w:rPr>
          <w:rFonts w:ascii="仿宋" w:hAnsi="仿宋" w:eastAsia="仿宋"/>
          <w:b/>
          <w:sz w:val="32"/>
          <w:szCs w:val="32"/>
        </w:rPr>
      </w:pPr>
      <w:bookmarkStart w:id="15" w:name="_Toc16412"/>
      <w:r>
        <w:rPr>
          <w:rFonts w:hint="eastAsia" w:ascii="仿宋" w:hAnsi="仿宋" w:eastAsia="仿宋"/>
          <w:b/>
          <w:sz w:val="32"/>
          <w:szCs w:val="32"/>
        </w:rPr>
        <w:t>（一）主要职能</w:t>
      </w:r>
      <w:bookmarkEnd w:id="15"/>
    </w:p>
    <w:p>
      <w:pPr>
        <w:widowControl/>
        <w:adjustRightInd w:val="0"/>
        <w:snapToGrid w:val="0"/>
        <w:spacing w:line="600" w:lineRule="exact"/>
        <w:ind w:firstLine="640" w:firstLineChars="200"/>
        <w:jc w:val="left"/>
        <w:rPr>
          <w:rFonts w:ascii="仿宋" w:hAnsi="仿宋"/>
          <w:bCs/>
          <w:kern w:val="0"/>
        </w:rPr>
      </w:pPr>
      <w:r>
        <w:rPr>
          <w:rFonts w:hint="eastAsia" w:ascii="仿宋" w:hAnsi="仿宋"/>
          <w:bCs/>
          <w:kern w:val="0"/>
        </w:rPr>
        <w:t>根据《宪法》和《人民法院组织法》规定，四川省高级人民法院作为国家审判机关，对四川省人民代表大会及其常务委员会负责，并接受其监督，同时接受最高人民法院指导。主要职能是审判各类诉讼案件，惩治罪犯，保障人权，解决纠纷，调整社会关系，维护社会秩序，保卫国家制度和利益，保护公民、法人和其他组织的合法权益，并通过审判活动教育公民忠于祖国，自觉遵守宪法和法律。省法院系财政全额拨款预算单位。</w:t>
      </w:r>
    </w:p>
    <w:p>
      <w:pPr>
        <w:pStyle w:val="2"/>
        <w:adjustRightInd w:val="0"/>
        <w:snapToGrid w:val="0"/>
        <w:spacing w:before="72" w:line="600" w:lineRule="exact"/>
        <w:ind w:firstLine="675" w:firstLineChars="210"/>
        <w:outlineLvl w:val="2"/>
        <w:rPr>
          <w:rFonts w:ascii="仿宋" w:hAnsi="仿宋" w:eastAsia="仿宋"/>
          <w:b/>
          <w:sz w:val="32"/>
          <w:szCs w:val="32"/>
        </w:rPr>
      </w:pPr>
      <w:bookmarkStart w:id="16" w:name="_Toc8648"/>
      <w:r>
        <w:rPr>
          <w:rFonts w:hint="eastAsia" w:ascii="仿宋" w:hAnsi="仿宋" w:eastAsia="仿宋"/>
          <w:b/>
          <w:sz w:val="32"/>
          <w:szCs w:val="32"/>
        </w:rPr>
        <w:t>（二）</w:t>
      </w:r>
      <w:r>
        <w:rPr>
          <w:rFonts w:ascii="仿宋" w:hAnsi="仿宋" w:eastAsia="仿宋"/>
          <w:b/>
          <w:sz w:val="32"/>
          <w:szCs w:val="32"/>
        </w:rPr>
        <w:t>20</w:t>
      </w:r>
      <w:r>
        <w:rPr>
          <w:rFonts w:hint="eastAsia" w:ascii="仿宋" w:hAnsi="仿宋" w:eastAsia="仿宋"/>
          <w:b/>
          <w:sz w:val="32"/>
          <w:szCs w:val="32"/>
        </w:rPr>
        <w:t>21年重点工作完成情况</w:t>
      </w:r>
      <w:bookmarkEnd w:id="16"/>
    </w:p>
    <w:p>
      <w:pPr>
        <w:widowControl/>
        <w:adjustRightInd w:val="0"/>
        <w:snapToGrid w:val="0"/>
        <w:spacing w:line="600" w:lineRule="exact"/>
        <w:ind w:firstLine="640" w:firstLineChars="200"/>
        <w:jc w:val="left"/>
      </w:pPr>
      <w:r>
        <w:rPr>
          <w:rFonts w:hint="eastAsia" w:ascii="仿宋" w:hAnsi="仿宋"/>
          <w:bCs/>
          <w:kern w:val="0"/>
        </w:rPr>
        <w:t>2021年省法院本级受理案件2.62万件，同比上升9.62%；审、执结2.36万件，同比上升9.26%。当年主要工作成效如下：1.主动担当有作为，全力服务保障高质量发展，高起点推动天府中央法务区建设，保障成渝地区双城经济圈建设，服务全面推进乡村振兴，用心守护蓝天碧水净土。2.忠诚履职担使命，有效助推平安四川法治四川建设, 全力维护国家安全和社会稳定，积极推动法治政府建设，纵深推进诉源治理。3.为民服务解难题，让群众更加真切感受公平正义，升级一站式多元解纷和诉讼服务体系，切实保障民生权益，发挥司法裁判价值导向作用。4.权益兑现出实招，奋力迈向“切实解决执行难”，深化执行联动，强化执行力度，优化执行效果。5.改革创新下深水，着力推进审判体系和审判能力现代化，深化司法责任制改革，做实重大试点改革，提升智慧法院建设水平。6.固本培元树形象，努力锻造忠诚干净担当的法院铁军，狠抓思想政治建设，扎实开展政法队伍教育整顿，加强法院文化建设。</w:t>
      </w:r>
    </w:p>
    <w:p>
      <w:pPr>
        <w:pStyle w:val="4"/>
        <w:ind w:firstLine="640" w:firstLineChars="200"/>
        <w:rPr>
          <w:rStyle w:val="20"/>
          <w:b w:val="0"/>
          <w:bCs w:val="0"/>
        </w:rPr>
      </w:pPr>
      <w:bookmarkStart w:id="17" w:name="_Toc32531"/>
      <w:bookmarkStart w:id="18" w:name="_Toc28538"/>
      <w:bookmarkStart w:id="19" w:name="_Toc20928"/>
      <w:bookmarkStart w:id="20" w:name="_Toc16858"/>
      <w:bookmarkStart w:id="21" w:name="_Toc20651"/>
      <w:bookmarkStart w:id="22" w:name="_Toc9439"/>
      <w:r>
        <w:rPr>
          <w:rFonts w:hint="eastAsia" w:ascii="黑体" w:eastAsia="黑体"/>
          <w:b w:val="0"/>
        </w:rPr>
        <w:t>二、</w:t>
      </w:r>
      <w:r>
        <w:rPr>
          <w:rFonts w:hint="eastAsia" w:ascii="黑体" w:hAnsi="黑体" w:eastAsia="黑体"/>
          <w:b w:val="0"/>
        </w:rPr>
        <w:t>机</w:t>
      </w:r>
      <w:r>
        <w:rPr>
          <w:rStyle w:val="20"/>
          <w:rFonts w:hint="eastAsia" w:ascii="黑体" w:hAnsi="黑体" w:eastAsia="黑体"/>
          <w:b w:val="0"/>
          <w:bCs w:val="0"/>
        </w:rPr>
        <w:t>构设置</w:t>
      </w:r>
      <w:bookmarkEnd w:id="17"/>
      <w:bookmarkEnd w:id="18"/>
      <w:bookmarkEnd w:id="19"/>
      <w:bookmarkEnd w:id="20"/>
      <w:bookmarkEnd w:id="21"/>
      <w:bookmarkEnd w:id="22"/>
    </w:p>
    <w:p>
      <w:pPr>
        <w:spacing w:line="600" w:lineRule="exact"/>
        <w:ind w:firstLine="800" w:firstLineChars="250"/>
        <w:jc w:val="left"/>
        <w:rPr>
          <w:rFonts w:ascii="仿宋" w:hAnsi="仿宋"/>
          <w:bCs/>
          <w:kern w:val="0"/>
        </w:rPr>
      </w:pPr>
      <w:r>
        <w:rPr>
          <w:rFonts w:hint="eastAsia" w:ascii="仿宋" w:hAnsi="仿宋"/>
          <w:bCs/>
          <w:kern w:val="0"/>
        </w:rPr>
        <w:t>四川省高级人民法院下属二级单位5个，其中行政单位3个，事业单位2个。</w:t>
      </w:r>
    </w:p>
    <w:p>
      <w:pPr>
        <w:pStyle w:val="2"/>
        <w:adjustRightInd w:val="0"/>
        <w:snapToGrid w:val="0"/>
        <w:spacing w:before="72" w:line="600" w:lineRule="exact"/>
        <w:ind w:firstLine="672" w:firstLineChars="210"/>
        <w:rPr>
          <w:rFonts w:ascii="仿宋" w:hAnsi="仿宋" w:eastAsia="仿宋"/>
          <w:bCs/>
          <w:sz w:val="32"/>
          <w:szCs w:val="32"/>
        </w:rPr>
      </w:pPr>
      <w:r>
        <w:rPr>
          <w:rFonts w:hint="eastAsia" w:ascii="仿宋" w:hAnsi="仿宋" w:eastAsia="仿宋"/>
          <w:bCs/>
          <w:sz w:val="32"/>
          <w:szCs w:val="32"/>
        </w:rPr>
        <w:t>纳入四川省高级人民法院2021年度部门决算编制范围的二级预算单位包括：</w:t>
      </w:r>
    </w:p>
    <w:p>
      <w:pPr>
        <w:pStyle w:val="2"/>
        <w:adjustRightInd w:val="0"/>
        <w:snapToGrid w:val="0"/>
        <w:spacing w:before="72" w:line="600" w:lineRule="exact"/>
        <w:ind w:firstLine="640" w:firstLineChars="200"/>
        <w:outlineLvl w:val="2"/>
        <w:rPr>
          <w:rFonts w:ascii="仿宋" w:hAnsi="仿宋" w:eastAsia="仿宋"/>
          <w:bCs/>
          <w:sz w:val="32"/>
          <w:szCs w:val="32"/>
        </w:rPr>
      </w:pPr>
      <w:bookmarkStart w:id="23" w:name="_Toc18294"/>
      <w:r>
        <w:rPr>
          <w:rFonts w:hint="eastAsia" w:ascii="仿宋" w:hAnsi="仿宋" w:eastAsia="仿宋"/>
          <w:bCs/>
          <w:sz w:val="32"/>
          <w:szCs w:val="32"/>
        </w:rPr>
        <w:t>1.四川省高级人民法院机关</w:t>
      </w:r>
      <w:bookmarkEnd w:id="23"/>
    </w:p>
    <w:p>
      <w:pPr>
        <w:pStyle w:val="2"/>
        <w:adjustRightInd w:val="0"/>
        <w:snapToGrid w:val="0"/>
        <w:spacing w:before="72" w:line="600" w:lineRule="exact"/>
        <w:ind w:firstLine="640" w:firstLineChars="200"/>
        <w:outlineLvl w:val="2"/>
        <w:rPr>
          <w:rFonts w:ascii="仿宋" w:hAnsi="仿宋" w:eastAsia="仿宋"/>
          <w:bCs/>
          <w:sz w:val="32"/>
          <w:szCs w:val="32"/>
        </w:rPr>
      </w:pPr>
      <w:bookmarkStart w:id="24" w:name="_Toc12168"/>
      <w:r>
        <w:rPr>
          <w:rFonts w:hint="eastAsia" w:ascii="仿宋" w:hAnsi="仿宋" w:eastAsia="仿宋"/>
          <w:bCs/>
          <w:sz w:val="32"/>
          <w:szCs w:val="32"/>
        </w:rPr>
        <w:t>2.四川省高级人民法院司法行政装备管理处</w:t>
      </w:r>
      <w:bookmarkEnd w:id="24"/>
    </w:p>
    <w:p>
      <w:pPr>
        <w:pStyle w:val="2"/>
        <w:adjustRightInd w:val="0"/>
        <w:snapToGrid w:val="0"/>
        <w:spacing w:before="72" w:line="600" w:lineRule="exact"/>
        <w:ind w:firstLine="640" w:firstLineChars="200"/>
        <w:outlineLvl w:val="2"/>
        <w:rPr>
          <w:rFonts w:ascii="仿宋" w:hAnsi="仿宋" w:eastAsia="仿宋"/>
          <w:bCs/>
          <w:sz w:val="32"/>
          <w:szCs w:val="32"/>
        </w:rPr>
      </w:pPr>
      <w:bookmarkStart w:id="25" w:name="_Toc19842"/>
      <w:r>
        <w:rPr>
          <w:rFonts w:hint="eastAsia" w:ascii="仿宋" w:hAnsi="仿宋" w:eastAsia="仿宋"/>
          <w:bCs/>
          <w:sz w:val="32"/>
          <w:szCs w:val="32"/>
        </w:rPr>
        <w:t>3.成都铁路运输中级法院</w:t>
      </w:r>
      <w:bookmarkEnd w:id="25"/>
    </w:p>
    <w:p>
      <w:pPr>
        <w:pStyle w:val="2"/>
        <w:adjustRightInd w:val="0"/>
        <w:snapToGrid w:val="0"/>
        <w:spacing w:before="72" w:line="600" w:lineRule="exact"/>
        <w:ind w:firstLine="640" w:firstLineChars="200"/>
        <w:outlineLvl w:val="2"/>
        <w:rPr>
          <w:rFonts w:ascii="仿宋" w:hAnsi="仿宋" w:eastAsia="仿宋"/>
          <w:bCs/>
          <w:sz w:val="32"/>
          <w:szCs w:val="32"/>
        </w:rPr>
      </w:pPr>
      <w:bookmarkStart w:id="26" w:name="_Toc24565"/>
      <w:r>
        <w:rPr>
          <w:rFonts w:hint="eastAsia" w:ascii="仿宋" w:hAnsi="仿宋" w:eastAsia="仿宋"/>
          <w:bCs/>
          <w:sz w:val="32"/>
          <w:szCs w:val="32"/>
        </w:rPr>
        <w:t>4.四川省高级人民法院机关服务中心</w:t>
      </w:r>
      <w:bookmarkEnd w:id="26"/>
    </w:p>
    <w:p>
      <w:pPr>
        <w:pStyle w:val="2"/>
        <w:adjustRightInd w:val="0"/>
        <w:snapToGrid w:val="0"/>
        <w:spacing w:before="72" w:line="600" w:lineRule="exact"/>
        <w:ind w:firstLine="640" w:firstLineChars="200"/>
        <w:outlineLvl w:val="2"/>
        <w:rPr>
          <w:rFonts w:ascii="仿宋" w:hAnsi="仿宋" w:eastAsia="仿宋"/>
          <w:bCs/>
          <w:sz w:val="32"/>
          <w:szCs w:val="32"/>
        </w:rPr>
      </w:pPr>
      <w:bookmarkStart w:id="27" w:name="_Toc22180"/>
      <w:r>
        <w:rPr>
          <w:rFonts w:hint="eastAsia" w:ascii="仿宋" w:hAnsi="仿宋" w:eastAsia="仿宋"/>
          <w:bCs/>
          <w:sz w:val="32"/>
          <w:szCs w:val="32"/>
        </w:rPr>
        <w:t>5.四川法官学院</w:t>
      </w:r>
      <w:bookmarkEnd w:id="27"/>
      <w:bookmarkStart w:id="28" w:name="_Toc4651"/>
      <w:bookmarkStart w:id="29" w:name="_Toc4945"/>
      <w:bookmarkStart w:id="30" w:name="_Toc20211"/>
      <w:bookmarkStart w:id="31" w:name="_Toc31647"/>
      <w:bookmarkStart w:id="32" w:name="_Toc2190"/>
      <w:bookmarkStart w:id="33" w:name="_Toc11142"/>
    </w:p>
    <w:p>
      <w:pPr>
        <w:rPr>
          <w:rFonts w:ascii="仿宋" w:hAnsi="仿宋"/>
          <w:bCs/>
        </w:rPr>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2"/>
        <w:spacing w:before="72"/>
      </w:pPr>
    </w:p>
    <w:p>
      <w:pPr>
        <w:pStyle w:val="3"/>
        <w:ind w:right="440"/>
        <w:jc w:val="center"/>
        <w:rPr>
          <w:rStyle w:val="19"/>
          <w:rFonts w:ascii="黑体" w:hAnsi="黑体" w:eastAsia="黑体"/>
          <w:b w:val="0"/>
          <w:bCs w:val="0"/>
        </w:rPr>
      </w:pPr>
      <w:r>
        <w:rPr>
          <w:rFonts w:hint="eastAsia" w:ascii="黑体" w:hAnsi="黑体" w:eastAsia="黑体"/>
          <w:b w:val="0"/>
        </w:rPr>
        <w:t>第二部分 2021年度</w:t>
      </w:r>
      <w:r>
        <w:rPr>
          <w:rStyle w:val="19"/>
          <w:rFonts w:hint="eastAsia" w:ascii="黑体" w:hAnsi="黑体" w:eastAsia="黑体"/>
          <w:b w:val="0"/>
          <w:bCs w:val="0"/>
        </w:rPr>
        <w:t>部门决算情况说明</w:t>
      </w:r>
      <w:bookmarkEnd w:id="28"/>
      <w:bookmarkEnd w:id="29"/>
      <w:bookmarkEnd w:id="30"/>
      <w:bookmarkEnd w:id="31"/>
      <w:bookmarkEnd w:id="32"/>
      <w:bookmarkEnd w:id="33"/>
    </w:p>
    <w:p>
      <w:pPr>
        <w:pStyle w:val="40"/>
        <w:numPr>
          <w:ilvl w:val="0"/>
          <w:numId w:val="1"/>
        </w:numPr>
        <w:spacing w:line="600" w:lineRule="exact"/>
        <w:ind w:firstLineChars="0"/>
        <w:outlineLvl w:val="1"/>
        <w:rPr>
          <w:rStyle w:val="20"/>
          <w:rFonts w:ascii="黑体" w:hAnsi="黑体" w:eastAsia="黑体"/>
          <w:b w:val="0"/>
        </w:rPr>
      </w:pPr>
      <w:bookmarkStart w:id="34" w:name="_Toc26483"/>
      <w:bookmarkStart w:id="35" w:name="_Toc6484"/>
      <w:bookmarkStart w:id="36" w:name="_Toc23971"/>
      <w:bookmarkStart w:id="37" w:name="_Toc31522"/>
      <w:bookmarkStart w:id="38" w:name="_Toc19710"/>
      <w:bookmarkStart w:id="39" w:name="_Toc20659"/>
      <w:r>
        <w:rPr>
          <w:rFonts w:hint="eastAsia" w:ascii="黑体" w:hAnsi="黑体" w:eastAsia="黑体"/>
          <w:sz w:val="32"/>
          <w:szCs w:val="32"/>
        </w:rPr>
        <w:t>收</w:t>
      </w:r>
      <w:r>
        <w:rPr>
          <w:rStyle w:val="20"/>
          <w:rFonts w:hint="eastAsia" w:ascii="黑体" w:hAnsi="黑体" w:eastAsia="黑体"/>
          <w:b w:val="0"/>
        </w:rPr>
        <w:t>入支出决算总体情况说明</w:t>
      </w:r>
      <w:bookmarkEnd w:id="34"/>
      <w:bookmarkEnd w:id="35"/>
      <w:bookmarkEnd w:id="36"/>
      <w:bookmarkEnd w:id="37"/>
      <w:bookmarkEnd w:id="38"/>
      <w:bookmarkEnd w:id="39"/>
    </w:p>
    <w:p>
      <w:pPr>
        <w:spacing w:line="600" w:lineRule="exact"/>
        <w:ind w:firstLine="640" w:firstLineChars="200"/>
        <w:rPr>
          <w:rFonts w:ascii="宋体" w:hAnsi="宋体" w:eastAsia="宋体" w:cs="宋体"/>
        </w:rPr>
      </w:pPr>
      <w:r>
        <w:rPr>
          <w:rFonts w:hint="eastAsia" w:ascii="仿宋" w:hAnsi="仿宋" w:cs="仿宋"/>
        </w:rPr>
        <w:t>2021年度收、支总计41,883.35万元。与2020年相比，收、支总计各增加7,370.65 万元，增长21.36%。主要变动原因一是人员增加，人员经费增大；二是项目经费增加，其中四川法官学院二期项目启动，基本建设支出增大。</w:t>
      </w:r>
    </w:p>
    <w:p>
      <w:pPr>
        <w:pStyle w:val="2"/>
        <w:spacing w:before="72"/>
        <w:jc w:val="center"/>
      </w:pPr>
      <w:r>
        <w:pict>
          <v:shape id="_x0000_i1025" o:spt="75" type="#_x0000_t75" style="height:229.5pt;width:361.5pt;" filled="f" stroked="f" coordsize="21600,21600" o:gfxdata="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">
            <v:path/>
            <v:fill on="f" focussize="0,0"/>
            <v:stroke on="f"/>
            <v:imagedata r:id="rId6" o:title=""/>
            <o:lock v:ext="edit" aspectratio="t"/>
            <w10:wrap type="none"/>
            <w10:anchorlock/>
          </v:shape>
        </w:pict>
      </w:r>
    </w:p>
    <w:p>
      <w:pPr>
        <w:pStyle w:val="40"/>
        <w:numPr>
          <w:ilvl w:val="0"/>
          <w:numId w:val="1"/>
        </w:numPr>
        <w:spacing w:line="600" w:lineRule="exact"/>
        <w:ind w:firstLineChars="0"/>
        <w:outlineLvl w:val="1"/>
        <w:rPr>
          <w:rStyle w:val="20"/>
          <w:rFonts w:ascii="黑体" w:hAnsi="黑体" w:eastAsia="黑体"/>
          <w:b w:val="0"/>
        </w:rPr>
      </w:pPr>
      <w:bookmarkStart w:id="40" w:name="_Toc18037"/>
      <w:bookmarkStart w:id="41" w:name="_Toc8042"/>
      <w:bookmarkStart w:id="42" w:name="_Toc14473"/>
      <w:bookmarkStart w:id="43" w:name="_Toc23111"/>
      <w:bookmarkStart w:id="44" w:name="_Toc25771"/>
      <w:bookmarkStart w:id="45" w:name="_Toc10320"/>
      <w:r>
        <w:rPr>
          <w:rFonts w:hint="eastAsia" w:ascii="黑体" w:hAnsi="黑体" w:eastAsia="黑体"/>
          <w:sz w:val="32"/>
          <w:szCs w:val="32"/>
        </w:rPr>
        <w:t>收</w:t>
      </w:r>
      <w:r>
        <w:rPr>
          <w:rStyle w:val="20"/>
          <w:rFonts w:hint="eastAsia" w:ascii="黑体" w:hAnsi="黑体" w:eastAsia="黑体"/>
          <w:b w:val="0"/>
        </w:rPr>
        <w:t>入决算情况说明</w:t>
      </w:r>
      <w:bookmarkEnd w:id="40"/>
      <w:bookmarkEnd w:id="41"/>
      <w:bookmarkEnd w:id="42"/>
      <w:bookmarkEnd w:id="43"/>
      <w:bookmarkEnd w:id="44"/>
      <w:bookmarkEnd w:id="45"/>
    </w:p>
    <w:p>
      <w:pPr>
        <w:spacing w:line="600" w:lineRule="exact"/>
        <w:ind w:firstLine="640" w:firstLineChars="200"/>
        <w:rPr>
          <w:rFonts w:ascii="仿宋" w:hAnsi="仿宋" w:cs="仿宋"/>
        </w:rPr>
      </w:pPr>
      <w:bookmarkStart w:id="46" w:name="_Toc32540"/>
      <w:bookmarkStart w:id="47" w:name="_Toc10365"/>
      <w:bookmarkStart w:id="48" w:name="_Toc1438"/>
      <w:r>
        <w:rPr>
          <w:rFonts w:hint="eastAsia" w:ascii="仿宋" w:hAnsi="仿宋" w:cs="仿宋"/>
        </w:rPr>
        <w:t>2021年本年收入合计41,272.41万元，其中：一般公共预算财政拨款收入41,261.91万元，占99.97%；其他收入10.50万元，占0.03%。</w:t>
      </w:r>
      <w:bookmarkEnd w:id="46"/>
      <w:bookmarkEnd w:id="47"/>
      <w:bookmarkEnd w:id="48"/>
    </w:p>
    <w:p>
      <w:pPr>
        <w:pStyle w:val="2"/>
        <w:spacing w:before="72"/>
        <w:jc w:val="center"/>
      </w:pPr>
    </w:p>
    <w:p>
      <w:pPr>
        <w:pStyle w:val="2"/>
        <w:spacing w:before="72"/>
        <w:jc w:val="center"/>
      </w:pPr>
      <w:r>
        <w:pict>
          <v:shape id="_x0000_i1026" o:spt="75" type="#_x0000_t75" style="height:217.5pt;width:364.5pt;" filled="f" stroked="f" coordsize="21600,21600" o:gfxdata="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">
            <v:path/>
            <v:fill on="f" focussize="0,0"/>
            <v:stroke on="f"/>
            <v:imagedata r:id="rId7" o:title=""/>
            <o:lock v:ext="edit" aspectratio="t"/>
            <w10:wrap type="none"/>
            <w10:anchorlock/>
          </v:shape>
        </w:pict>
      </w:r>
    </w:p>
    <w:p>
      <w:pPr>
        <w:pStyle w:val="40"/>
        <w:numPr>
          <w:ilvl w:val="0"/>
          <w:numId w:val="1"/>
        </w:numPr>
        <w:spacing w:line="600" w:lineRule="exact"/>
        <w:ind w:firstLineChars="0"/>
        <w:outlineLvl w:val="1"/>
        <w:rPr>
          <w:rFonts w:ascii="黑体" w:hAnsi="黑体" w:eastAsia="黑体"/>
          <w:sz w:val="32"/>
          <w:szCs w:val="32"/>
        </w:rPr>
      </w:pPr>
      <w:bookmarkStart w:id="49" w:name="_Toc9689"/>
      <w:bookmarkStart w:id="50" w:name="_Toc21651"/>
      <w:bookmarkStart w:id="51" w:name="_Toc15285"/>
      <w:bookmarkStart w:id="52" w:name="_Toc21259"/>
      <w:bookmarkStart w:id="53" w:name="_Toc6959"/>
      <w:bookmarkStart w:id="54" w:name="_Toc10674"/>
      <w:r>
        <w:rPr>
          <w:rFonts w:hint="eastAsia" w:ascii="黑体" w:hAnsi="黑体" w:eastAsia="黑体"/>
          <w:sz w:val="32"/>
          <w:szCs w:val="32"/>
        </w:rPr>
        <w:t>支出决算情况说明</w:t>
      </w:r>
      <w:bookmarkEnd w:id="49"/>
      <w:bookmarkEnd w:id="50"/>
      <w:bookmarkEnd w:id="51"/>
      <w:bookmarkEnd w:id="52"/>
      <w:bookmarkEnd w:id="53"/>
      <w:bookmarkEnd w:id="54"/>
    </w:p>
    <w:p>
      <w:pPr>
        <w:spacing w:line="600" w:lineRule="exact"/>
        <w:ind w:firstLine="640" w:firstLineChars="200"/>
        <w:rPr>
          <w:rFonts w:ascii="仿宋" w:hAnsi="仿宋"/>
        </w:rPr>
      </w:pPr>
      <w:bookmarkStart w:id="55" w:name="_Toc31086"/>
      <w:bookmarkStart w:id="56" w:name="_Toc27060"/>
      <w:bookmarkStart w:id="57" w:name="_Toc21766"/>
      <w:r>
        <w:rPr>
          <w:rFonts w:hint="eastAsia" w:ascii="仿宋" w:hAnsi="仿宋" w:cs="仿宋"/>
        </w:rPr>
        <w:t>2021年本年支出合计41,408.62万元，其中：基本支出27,490.48万元，占66.39%；项目支出13,918.14万元，占33.61%</w:t>
      </w:r>
      <w:bookmarkEnd w:id="55"/>
      <w:bookmarkEnd w:id="56"/>
      <w:bookmarkEnd w:id="57"/>
      <w:r>
        <w:rPr>
          <w:rFonts w:hint="eastAsia" w:ascii="仿宋" w:hAnsi="仿宋" w:cs="仿宋"/>
        </w:rPr>
        <w:t>。</w:t>
      </w:r>
    </w:p>
    <w:p>
      <w:pPr>
        <w:spacing w:line="600" w:lineRule="exact"/>
        <w:ind w:firstLine="640" w:firstLineChars="200"/>
        <w:rPr>
          <w:rFonts w:ascii="仿宋" w:hAnsi="仿宋"/>
        </w:rPr>
      </w:pPr>
      <w:r>
        <w:pict>
          <v:shape id="图表 5" o:spid="_x0000_s1026" o:spt="75" type="#_x0000_t75" style="position:absolute;left:0pt;margin-left:32.6pt;margin-top:3.6pt;height:210pt;width:361.5pt;z-index:251659264;mso-width-relative:page;mso-height-relative:page;" filled="f" stroked="f" coordsize="21600,21600" o:gfxdata="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">
            <v:path/>
            <v:fill on="f" focussize="0,0"/>
            <v:stroke on="f"/>
            <v:imagedata r:id="rId8" o:title=""/>
            <o:lock v:ext="edit" aspectratio="t"/>
          </v:shape>
        </w:pict>
      </w:r>
    </w:p>
    <w:p>
      <w:pPr>
        <w:spacing w:line="600" w:lineRule="exact"/>
        <w:ind w:firstLine="640" w:firstLineChars="200"/>
        <w:rPr>
          <w:rFonts w:ascii="仿宋" w:hAnsi="仿宋"/>
        </w:rPr>
      </w:pPr>
    </w:p>
    <w:p>
      <w:pPr>
        <w:spacing w:line="600" w:lineRule="exact"/>
        <w:ind w:firstLine="640" w:firstLineChars="200"/>
        <w:rPr>
          <w:rFonts w:ascii="仿宋" w:hAnsi="仿宋"/>
        </w:rPr>
      </w:pPr>
    </w:p>
    <w:p>
      <w:pPr>
        <w:spacing w:line="600" w:lineRule="exact"/>
        <w:ind w:firstLine="640" w:firstLineChars="200"/>
        <w:rPr>
          <w:rFonts w:ascii="仿宋" w:hAnsi="仿宋"/>
        </w:rPr>
      </w:pPr>
    </w:p>
    <w:p>
      <w:pPr>
        <w:spacing w:line="600" w:lineRule="exact"/>
        <w:ind w:firstLine="640" w:firstLineChars="200"/>
        <w:rPr>
          <w:rFonts w:ascii="仿宋" w:hAnsi="仿宋"/>
        </w:rPr>
      </w:pPr>
    </w:p>
    <w:p>
      <w:pPr>
        <w:spacing w:line="600" w:lineRule="exact"/>
        <w:ind w:firstLine="640" w:firstLineChars="200"/>
        <w:rPr>
          <w:rFonts w:ascii="仿宋" w:hAnsi="仿宋"/>
        </w:rPr>
      </w:pPr>
    </w:p>
    <w:p>
      <w:pPr>
        <w:spacing w:line="600" w:lineRule="exact"/>
        <w:ind w:firstLine="640" w:firstLineChars="200"/>
        <w:rPr>
          <w:rFonts w:ascii="仿宋" w:hAnsi="仿宋"/>
        </w:rPr>
      </w:pPr>
    </w:p>
    <w:p>
      <w:pPr>
        <w:spacing w:line="600" w:lineRule="exact"/>
        <w:ind w:firstLine="640" w:firstLineChars="200"/>
        <w:outlineLvl w:val="1"/>
        <w:rPr>
          <w:rStyle w:val="20"/>
          <w:rFonts w:ascii="黑体" w:hAnsi="黑体" w:eastAsia="黑体"/>
          <w:b w:val="0"/>
        </w:rPr>
      </w:pPr>
      <w:bookmarkStart w:id="58" w:name="_Toc23982"/>
      <w:bookmarkStart w:id="59" w:name="_Toc23419"/>
      <w:bookmarkStart w:id="60" w:name="_Toc6292"/>
      <w:bookmarkStart w:id="61" w:name="_Toc107"/>
      <w:bookmarkStart w:id="62" w:name="_Toc26091"/>
      <w:bookmarkStart w:id="63" w:name="_Toc9921"/>
      <w:r>
        <w:rPr>
          <w:rFonts w:hint="eastAsia" w:ascii="黑体" w:hAnsi="黑体" w:eastAsia="黑体"/>
        </w:rPr>
        <w:t>四、财</w:t>
      </w:r>
      <w:r>
        <w:rPr>
          <w:rStyle w:val="20"/>
          <w:rFonts w:hint="eastAsia" w:ascii="黑体" w:hAnsi="黑体" w:eastAsia="黑体"/>
          <w:b w:val="0"/>
        </w:rPr>
        <w:t>政拨款收入支出决算总体情况说明</w:t>
      </w:r>
      <w:bookmarkEnd w:id="58"/>
      <w:bookmarkEnd w:id="59"/>
      <w:bookmarkEnd w:id="60"/>
      <w:bookmarkEnd w:id="61"/>
      <w:bookmarkEnd w:id="62"/>
      <w:bookmarkEnd w:id="63"/>
    </w:p>
    <w:p>
      <w:pPr>
        <w:spacing w:line="600" w:lineRule="exact"/>
        <w:ind w:firstLine="640" w:firstLineChars="200"/>
        <w:rPr>
          <w:rFonts w:ascii="仿宋" w:hAnsi="仿宋"/>
          <w:color w:val="FF0000"/>
        </w:rPr>
      </w:pPr>
      <w:r>
        <w:rPr>
          <w:rFonts w:ascii="仿宋" w:hAnsi="仿宋"/>
        </w:rPr>
        <w:t>20</w:t>
      </w:r>
      <w:r>
        <w:rPr>
          <w:rFonts w:hint="eastAsia" w:ascii="仿宋" w:hAnsi="仿宋"/>
        </w:rPr>
        <w:t>21年财政拨款收、支总计41,261.91万元。与</w:t>
      </w:r>
      <w:r>
        <w:rPr>
          <w:rFonts w:ascii="仿宋" w:hAnsi="仿宋"/>
        </w:rPr>
        <w:t>20</w:t>
      </w:r>
      <w:r>
        <w:rPr>
          <w:rFonts w:hint="eastAsia" w:ascii="仿宋" w:hAnsi="仿宋"/>
        </w:rPr>
        <w:t>20年相比，财政拨款收、支总计各增加7,937.33 万元，增长23.82</w:t>
      </w:r>
      <w:r>
        <w:rPr>
          <w:rFonts w:ascii="仿宋" w:hAnsi="仿宋"/>
        </w:rPr>
        <w:t>%</w:t>
      </w:r>
      <w:r>
        <w:rPr>
          <w:rFonts w:hint="eastAsia" w:ascii="仿宋" w:hAnsi="仿宋"/>
        </w:rPr>
        <w:t>。主要变动原因一是人员增加，人员经费增大；二是项目经费增加，其中四川法官学院二期项目启动，基本建设支出增大。</w:t>
      </w:r>
    </w:p>
    <w:p>
      <w:pPr>
        <w:pStyle w:val="2"/>
        <w:spacing w:before="72"/>
        <w:jc w:val="center"/>
      </w:pPr>
      <w:r>
        <w:pict>
          <v:shape id="_x0000_i1027" o:spt="75" type="#_x0000_t75" style="height:223.5pt;width:396pt;" filled="f" stroked="f" coordsize="21600,21600" o:gfxdata="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">
            <v:path/>
            <v:fill on="f" focussize="0,0"/>
            <v:stroke on="f"/>
            <v:imagedata r:id="rId9" o:title=""/>
            <o:lock v:ext="edit" aspectratio="t"/>
            <w10:wrap type="none"/>
            <w10:anchorlock/>
          </v:shape>
        </w:pict>
      </w:r>
    </w:p>
    <w:p>
      <w:pPr>
        <w:spacing w:line="600" w:lineRule="exact"/>
        <w:ind w:firstLine="640" w:firstLineChars="200"/>
        <w:outlineLvl w:val="1"/>
        <w:rPr>
          <w:rStyle w:val="20"/>
          <w:rFonts w:ascii="黑体" w:hAnsi="黑体" w:eastAsia="黑体"/>
          <w:b w:val="0"/>
        </w:rPr>
      </w:pPr>
      <w:bookmarkStart w:id="64" w:name="_Toc16998"/>
      <w:bookmarkStart w:id="65" w:name="_Toc11763"/>
      <w:bookmarkStart w:id="66" w:name="_Toc10510"/>
      <w:bookmarkStart w:id="67" w:name="_Toc20606"/>
      <w:bookmarkStart w:id="68" w:name="_Toc14148"/>
      <w:bookmarkStart w:id="69" w:name="_Toc23872"/>
      <w:r>
        <w:rPr>
          <w:rFonts w:hint="eastAsia" w:ascii="黑体" w:hAnsi="黑体" w:eastAsia="黑体"/>
        </w:rPr>
        <w:t>五、</w:t>
      </w:r>
      <w:r>
        <w:rPr>
          <w:rFonts w:hint="eastAsia" w:ascii="黑体" w:hAnsi="黑体" w:eastAsia="黑体"/>
          <w:b/>
        </w:rPr>
        <w:t>一</w:t>
      </w:r>
      <w:r>
        <w:rPr>
          <w:rStyle w:val="20"/>
          <w:rFonts w:hint="eastAsia" w:ascii="黑体" w:hAnsi="黑体" w:eastAsia="黑体"/>
          <w:b w:val="0"/>
        </w:rPr>
        <w:t>般公共预算财政拨款支出决算情况说明</w:t>
      </w:r>
      <w:bookmarkEnd w:id="64"/>
      <w:bookmarkEnd w:id="65"/>
      <w:bookmarkEnd w:id="66"/>
      <w:bookmarkEnd w:id="67"/>
      <w:bookmarkEnd w:id="68"/>
      <w:bookmarkEnd w:id="69"/>
    </w:p>
    <w:p>
      <w:pPr>
        <w:spacing w:line="600" w:lineRule="exact"/>
        <w:ind w:firstLine="643" w:firstLineChars="200"/>
        <w:outlineLvl w:val="2"/>
        <w:rPr>
          <w:rFonts w:ascii="仿宋" w:hAnsi="仿宋"/>
          <w:b/>
        </w:rPr>
      </w:pPr>
      <w:bookmarkStart w:id="70" w:name="_Toc11640"/>
      <w:r>
        <w:rPr>
          <w:rFonts w:hint="eastAsia" w:ascii="仿宋" w:hAnsi="仿宋"/>
          <w:b/>
        </w:rPr>
        <w:t>（一）一般公共预算财政拨款支出决算总体情况</w:t>
      </w:r>
      <w:bookmarkEnd w:id="70"/>
    </w:p>
    <w:p>
      <w:pPr>
        <w:spacing w:line="600" w:lineRule="exact"/>
        <w:ind w:firstLine="640" w:firstLineChars="200"/>
        <w:rPr>
          <w:rFonts w:ascii="仿宋" w:hAnsi="仿宋"/>
        </w:rPr>
      </w:pPr>
      <w:r>
        <w:rPr>
          <w:rFonts w:ascii="仿宋" w:hAnsi="仿宋"/>
        </w:rPr>
        <w:t>20</w:t>
      </w:r>
      <w:r>
        <w:rPr>
          <w:rFonts w:hint="eastAsia" w:ascii="仿宋" w:hAnsi="仿宋"/>
        </w:rPr>
        <w:t>21年一般公共预算财政拨款支出41,261.91万元，占本年支出合计的99.65</w:t>
      </w:r>
      <w:r>
        <w:rPr>
          <w:rFonts w:ascii="仿宋" w:hAnsi="仿宋"/>
        </w:rPr>
        <w:t>%</w:t>
      </w:r>
      <w:r>
        <w:rPr>
          <w:rFonts w:hint="eastAsia" w:ascii="仿宋" w:hAnsi="仿宋"/>
        </w:rPr>
        <w:t>。与</w:t>
      </w:r>
      <w:r>
        <w:rPr>
          <w:rFonts w:ascii="仿宋" w:hAnsi="仿宋"/>
        </w:rPr>
        <w:t>20</w:t>
      </w:r>
      <w:r>
        <w:rPr>
          <w:rFonts w:hint="eastAsia" w:ascii="仿宋" w:hAnsi="仿宋"/>
        </w:rPr>
        <w:t>20年相比，一般公共预算财政拨款增加7,937.33万元，增长23.82</w:t>
      </w:r>
      <w:r>
        <w:rPr>
          <w:rFonts w:ascii="仿宋" w:hAnsi="仿宋"/>
        </w:rPr>
        <w:t>%</w:t>
      </w:r>
      <w:r>
        <w:rPr>
          <w:rFonts w:hint="eastAsia" w:ascii="仿宋" w:hAnsi="仿宋"/>
        </w:rPr>
        <w:t>。主要变动原因一是人员增加，人员经费增大；二是项目经费增加，其中四川法官学院二期项目启动，基本建设支出增大。</w:t>
      </w:r>
    </w:p>
    <w:p>
      <w:pPr>
        <w:spacing w:line="600" w:lineRule="exact"/>
        <w:ind w:firstLine="640" w:firstLineChars="200"/>
      </w:pPr>
    </w:p>
    <w:p>
      <w:pPr>
        <w:pStyle w:val="2"/>
        <w:spacing w:before="72"/>
      </w:pPr>
    </w:p>
    <w:p>
      <w:pPr>
        <w:pStyle w:val="2"/>
        <w:spacing w:before="72"/>
        <w:jc w:val="center"/>
      </w:pPr>
      <w:r>
        <w:pict>
          <v:shape id="_x0000_i1028" o:spt="75" type="#_x0000_t75" style="height:226.5pt;width:385.5pt;" filled="f" stroked="f" coordsize="21600,21600" o:gfxdata="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">
            <v:path/>
            <v:fill on="f" focussize="0,0"/>
            <v:stroke on="f"/>
            <v:imagedata r:id="rId10" o:title=""/>
            <o:lock v:ext="edit" aspectratio="t"/>
            <w10:wrap type="none"/>
            <w10:anchorlock/>
          </v:shape>
        </w:pict>
      </w:r>
    </w:p>
    <w:p>
      <w:pPr>
        <w:spacing w:line="600" w:lineRule="exact"/>
        <w:ind w:firstLine="643" w:firstLineChars="200"/>
        <w:outlineLvl w:val="2"/>
        <w:rPr>
          <w:rFonts w:ascii="仿宋" w:hAnsi="仿宋"/>
          <w:b/>
        </w:rPr>
      </w:pPr>
      <w:bookmarkStart w:id="71" w:name="_Toc5962"/>
      <w:r>
        <w:rPr>
          <w:rFonts w:hint="eastAsia" w:ascii="仿宋" w:hAnsi="仿宋"/>
          <w:b/>
        </w:rPr>
        <w:t>（二）一般公共预算财政拨款支出决算结构情况</w:t>
      </w:r>
      <w:bookmarkEnd w:id="71"/>
    </w:p>
    <w:p>
      <w:pPr>
        <w:spacing w:line="600" w:lineRule="exact"/>
        <w:ind w:firstLine="640" w:firstLineChars="200"/>
        <w:rPr>
          <w:rFonts w:ascii="仿宋" w:hAnsi="仿宋"/>
          <w:bCs/>
        </w:rPr>
      </w:pPr>
      <w:r>
        <w:rPr>
          <w:rFonts w:ascii="仿宋" w:hAnsi="仿宋"/>
        </w:rPr>
        <w:t>20</w:t>
      </w:r>
      <w:r>
        <w:rPr>
          <w:rFonts w:hint="eastAsia" w:ascii="仿宋" w:hAnsi="仿宋"/>
        </w:rPr>
        <w:t>21年一般公共预算财政拨款支出41,261.91万元，主要用于以下方面</w:t>
      </w:r>
      <w:r>
        <w:rPr>
          <w:rFonts w:ascii="仿宋" w:hAnsi="仿宋"/>
        </w:rPr>
        <w:t>:</w:t>
      </w:r>
      <w:r>
        <w:rPr>
          <w:rFonts w:hint="eastAsia" w:ascii="仿宋" w:hAnsi="仿宋"/>
          <w:bCs/>
        </w:rPr>
        <w:t>一般公共服务（类）支出117.49万元，占0.28</w:t>
      </w:r>
      <w:r>
        <w:rPr>
          <w:rFonts w:ascii="仿宋" w:hAnsi="仿宋"/>
          <w:bCs/>
        </w:rPr>
        <w:t>%</w:t>
      </w:r>
      <w:r>
        <w:rPr>
          <w:rFonts w:hint="eastAsia" w:ascii="仿宋" w:hAnsi="仿宋"/>
          <w:bCs/>
        </w:rPr>
        <w:t>；公共安全支出（类）支出34,967.07万元，占84.74</w:t>
      </w:r>
      <w:r>
        <w:rPr>
          <w:rFonts w:ascii="仿宋" w:hAnsi="仿宋"/>
          <w:bCs/>
        </w:rPr>
        <w:t>%</w:t>
      </w:r>
      <w:r>
        <w:rPr>
          <w:rFonts w:hint="eastAsia" w:ascii="仿宋" w:hAnsi="仿宋"/>
          <w:bCs/>
        </w:rPr>
        <w:t>；教育支出（类）81.56万元，占0.20</w:t>
      </w:r>
      <w:r>
        <w:rPr>
          <w:rFonts w:ascii="仿宋" w:hAnsi="仿宋"/>
          <w:bCs/>
        </w:rPr>
        <w:t>%</w:t>
      </w:r>
      <w:r>
        <w:rPr>
          <w:rFonts w:hint="eastAsia" w:ascii="仿宋" w:hAnsi="仿宋"/>
          <w:bCs/>
        </w:rPr>
        <w:t>；社会保障和就业（类）支出3,056.94万元，占7.41</w:t>
      </w:r>
      <w:r>
        <w:rPr>
          <w:rFonts w:ascii="仿宋" w:hAnsi="仿宋"/>
          <w:bCs/>
        </w:rPr>
        <w:t>%</w:t>
      </w:r>
      <w:r>
        <w:rPr>
          <w:rFonts w:hint="eastAsia" w:ascii="仿宋" w:hAnsi="仿宋"/>
          <w:bCs/>
        </w:rPr>
        <w:t>；卫生健康支出1,198.74万元，占2.91</w:t>
      </w:r>
      <w:r>
        <w:rPr>
          <w:rFonts w:ascii="仿宋" w:hAnsi="仿宋"/>
          <w:bCs/>
        </w:rPr>
        <w:t>%</w:t>
      </w:r>
      <w:r>
        <w:rPr>
          <w:rFonts w:hint="eastAsia" w:ascii="仿宋" w:hAnsi="仿宋"/>
          <w:bCs/>
        </w:rPr>
        <w:t>；住房保障支出1,840.11万元，占4.46</w:t>
      </w:r>
      <w:r>
        <w:rPr>
          <w:rFonts w:ascii="仿宋" w:hAnsi="仿宋"/>
          <w:bCs/>
        </w:rPr>
        <w:t>%</w:t>
      </w:r>
      <w:r>
        <w:rPr>
          <w:rFonts w:hint="eastAsia" w:ascii="仿宋" w:hAnsi="仿宋"/>
          <w:bCs/>
        </w:rPr>
        <w:t>。</w:t>
      </w:r>
    </w:p>
    <w:p>
      <w:pPr>
        <w:pStyle w:val="2"/>
        <w:spacing w:before="72"/>
        <w:jc w:val="center"/>
      </w:pPr>
      <w:r>
        <w:rPr>
          <w:rFonts w:hint="eastAsia"/>
        </w:rPr>
        <w:pict>
          <v:shape id="_x0000_i1029" o:spt="75" alt="图片2" type="#_x0000_t75" style="height:235.55pt;width:391.85pt;" filled="f" o:preferrelative="t" stroked="f" coordsize="21600,21600">
            <v:path/>
            <v:fill on="f" focussize="0,0"/>
            <v:stroke on="f"/>
            <v:imagedata r:id="rId11" o:title="图片2"/>
            <o:lock v:ext="edit" aspectratio="t"/>
            <w10:wrap type="none"/>
            <w10:anchorlock/>
          </v:shape>
        </w:pict>
      </w:r>
    </w:p>
    <w:p>
      <w:pPr>
        <w:spacing w:line="600" w:lineRule="exact"/>
        <w:ind w:firstLine="643" w:firstLineChars="200"/>
        <w:outlineLvl w:val="2"/>
        <w:rPr>
          <w:rFonts w:ascii="仿宋" w:hAnsi="仿宋"/>
          <w:b/>
        </w:rPr>
      </w:pPr>
      <w:bookmarkStart w:id="72" w:name="_Toc13461"/>
      <w:r>
        <w:rPr>
          <w:rFonts w:hint="eastAsia" w:ascii="仿宋" w:hAnsi="仿宋"/>
          <w:b/>
        </w:rPr>
        <w:t>（三）一般公共预算财政拨款支出决算具体情况</w:t>
      </w:r>
      <w:bookmarkEnd w:id="72"/>
    </w:p>
    <w:p>
      <w:pPr>
        <w:spacing w:line="600" w:lineRule="exact"/>
        <w:ind w:firstLine="640" w:firstLineChars="200"/>
        <w:outlineLvl w:val="2"/>
        <w:rPr>
          <w:rStyle w:val="16"/>
          <w:rFonts w:ascii="仿宋" w:hAnsi="仿宋"/>
          <w:b w:val="0"/>
          <w:bCs/>
        </w:rPr>
      </w:pPr>
      <w:bookmarkStart w:id="73" w:name="_Toc19613"/>
      <w:r>
        <w:rPr>
          <w:rFonts w:hint="eastAsia" w:ascii="仿宋" w:hAnsi="仿宋"/>
        </w:rPr>
        <w:t>2021年一般公共预算支出决算数为41,261.91万元，</w:t>
      </w:r>
      <w:r>
        <w:rPr>
          <w:rStyle w:val="16"/>
          <w:rFonts w:hint="eastAsia" w:ascii="仿宋" w:hAnsi="仿宋"/>
          <w:b w:val="0"/>
          <w:bCs/>
        </w:rPr>
        <w:t>完成预算94.90</w:t>
      </w:r>
      <w:r>
        <w:rPr>
          <w:rStyle w:val="16"/>
          <w:rFonts w:ascii="仿宋" w:hAnsi="仿宋"/>
          <w:b w:val="0"/>
          <w:bCs/>
        </w:rPr>
        <w:t>%</w:t>
      </w:r>
      <w:r>
        <w:rPr>
          <w:rStyle w:val="16"/>
          <w:rFonts w:hint="eastAsia" w:ascii="仿宋" w:hAnsi="仿宋"/>
          <w:b w:val="0"/>
          <w:bCs/>
        </w:rPr>
        <w:t>。其中：</w:t>
      </w:r>
      <w:bookmarkEnd w:id="73"/>
    </w:p>
    <w:p>
      <w:pPr>
        <w:spacing w:line="600" w:lineRule="exact"/>
        <w:ind w:firstLine="640" w:firstLineChars="200"/>
        <w:rPr>
          <w:rStyle w:val="16"/>
          <w:rFonts w:ascii="仿宋" w:hAnsi="仿宋"/>
          <w:b w:val="0"/>
          <w:bCs/>
        </w:rPr>
      </w:pPr>
      <w:r>
        <w:rPr>
          <w:rStyle w:val="16"/>
          <w:rFonts w:hint="eastAsia" w:ascii="仿宋" w:hAnsi="仿宋"/>
          <w:b w:val="0"/>
          <w:bCs/>
        </w:rPr>
        <w:t>1.一般公共服务-纪检监察事务-大案要案查处</w:t>
      </w:r>
      <w:r>
        <w:rPr>
          <w:rStyle w:val="16"/>
          <w:rFonts w:ascii="仿宋" w:hAnsi="仿宋"/>
          <w:b w:val="0"/>
          <w:bCs/>
        </w:rPr>
        <w:t xml:space="preserve">: </w:t>
      </w:r>
      <w:r>
        <w:rPr>
          <w:rStyle w:val="16"/>
          <w:rFonts w:hint="eastAsia" w:ascii="仿宋" w:hAnsi="仿宋"/>
          <w:b w:val="0"/>
          <w:bCs/>
        </w:rPr>
        <w:t>支出决算为45.72万元，完成预算83.12</w:t>
      </w:r>
      <w:r>
        <w:rPr>
          <w:rStyle w:val="16"/>
          <w:rFonts w:ascii="仿宋" w:hAnsi="仿宋"/>
          <w:b w:val="0"/>
          <w:bCs/>
        </w:rPr>
        <w:t>%</w:t>
      </w:r>
      <w:r>
        <w:rPr>
          <w:rStyle w:val="16"/>
          <w:rFonts w:hint="eastAsia" w:ascii="仿宋" w:hAnsi="仿宋"/>
          <w:b w:val="0"/>
          <w:bCs/>
        </w:rPr>
        <w:t>，决算数小于预算数的主要原因是纪检专项预算年底下达，当年未完全支出。</w:t>
      </w:r>
    </w:p>
    <w:p>
      <w:pPr>
        <w:spacing w:line="600" w:lineRule="exact"/>
        <w:ind w:firstLine="640" w:firstLineChars="200"/>
        <w:rPr>
          <w:rFonts w:ascii="仿宋" w:hAnsi="仿宋"/>
          <w:bCs/>
        </w:rPr>
      </w:pPr>
      <w:r>
        <w:rPr>
          <w:rStyle w:val="16"/>
          <w:rFonts w:hint="eastAsia" w:ascii="仿宋" w:hAnsi="仿宋"/>
          <w:b w:val="0"/>
          <w:bCs/>
        </w:rPr>
        <w:t>2.一般公共服务-其他共产党事务支出-其他共产党事务支出: 支出决算为4万元，完成预算100%，决算数与预算数一致。</w:t>
      </w:r>
    </w:p>
    <w:p>
      <w:pPr>
        <w:spacing w:line="600" w:lineRule="exact"/>
        <w:ind w:firstLine="640" w:firstLineChars="200"/>
        <w:rPr>
          <w:rFonts w:ascii="仿宋" w:hAnsi="仿宋"/>
          <w:bCs/>
        </w:rPr>
      </w:pPr>
      <w:r>
        <w:rPr>
          <w:rStyle w:val="16"/>
          <w:rFonts w:hint="eastAsia" w:ascii="仿宋" w:hAnsi="仿宋"/>
          <w:b w:val="0"/>
          <w:bCs/>
        </w:rPr>
        <w:t>3.一般公共服务-其他一般公共服务支出-其他一般公共服务支出</w:t>
      </w:r>
      <w:r>
        <w:rPr>
          <w:rStyle w:val="16"/>
          <w:rFonts w:ascii="仿宋" w:hAnsi="仿宋"/>
          <w:b w:val="0"/>
          <w:bCs/>
        </w:rPr>
        <w:t xml:space="preserve">: </w:t>
      </w:r>
      <w:r>
        <w:rPr>
          <w:rStyle w:val="16"/>
          <w:rFonts w:hint="eastAsia" w:ascii="仿宋" w:hAnsi="仿宋"/>
          <w:b w:val="0"/>
          <w:bCs/>
        </w:rPr>
        <w:t>支出决算为67.77万元，完成预算37.12</w:t>
      </w:r>
      <w:r>
        <w:rPr>
          <w:rStyle w:val="16"/>
          <w:rFonts w:ascii="仿宋" w:hAnsi="仿宋"/>
          <w:b w:val="0"/>
          <w:bCs/>
        </w:rPr>
        <w:t>%</w:t>
      </w:r>
      <w:r>
        <w:rPr>
          <w:rStyle w:val="16"/>
          <w:rFonts w:hint="eastAsia" w:ascii="仿宋" w:hAnsi="仿宋"/>
          <w:b w:val="0"/>
          <w:bCs/>
        </w:rPr>
        <w:t>，决算数小于预算数的主要原因是省直机关办公用房维修资金当年未完成采购支出。</w:t>
      </w:r>
    </w:p>
    <w:p>
      <w:pPr>
        <w:spacing w:line="600" w:lineRule="exact"/>
        <w:ind w:firstLine="640" w:firstLineChars="200"/>
        <w:rPr>
          <w:rFonts w:ascii="仿宋" w:hAnsi="仿宋"/>
          <w:bCs/>
        </w:rPr>
      </w:pPr>
      <w:r>
        <w:rPr>
          <w:rStyle w:val="16"/>
          <w:rFonts w:hint="eastAsia" w:ascii="仿宋" w:hAnsi="仿宋"/>
          <w:b w:val="0"/>
          <w:bCs/>
        </w:rPr>
        <w:t>4.公共安全支出-法院-行政运行：支出决算为20,166.18万元，完成预算97.11</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Fonts w:ascii="仿宋" w:hAnsi="仿宋"/>
          <w:bCs/>
        </w:rPr>
      </w:pPr>
      <w:r>
        <w:rPr>
          <w:rStyle w:val="16"/>
          <w:rFonts w:hint="eastAsia" w:ascii="仿宋" w:hAnsi="仿宋"/>
          <w:b w:val="0"/>
          <w:bCs/>
        </w:rPr>
        <w:t>5.公共安全支出-法院-一般行政管理事务</w:t>
      </w:r>
      <w:r>
        <w:rPr>
          <w:rStyle w:val="16"/>
          <w:rFonts w:ascii="仿宋" w:hAnsi="仿宋"/>
          <w:b w:val="0"/>
          <w:bCs/>
        </w:rPr>
        <w:t xml:space="preserve">: </w:t>
      </w:r>
      <w:r>
        <w:rPr>
          <w:rStyle w:val="16"/>
          <w:rFonts w:hint="eastAsia" w:ascii="仿宋" w:hAnsi="仿宋"/>
          <w:b w:val="0"/>
          <w:bCs/>
        </w:rPr>
        <w:t>支出决算为419.81万元，完成预算86.93</w:t>
      </w:r>
      <w:r>
        <w:rPr>
          <w:rStyle w:val="16"/>
          <w:rFonts w:ascii="仿宋" w:hAnsi="仿宋"/>
          <w:b w:val="0"/>
          <w:bCs/>
        </w:rPr>
        <w:t>%</w:t>
      </w:r>
      <w:r>
        <w:rPr>
          <w:rStyle w:val="16"/>
          <w:rFonts w:hint="eastAsia" w:ascii="仿宋" w:hAnsi="仿宋"/>
          <w:b w:val="0"/>
          <w:bCs/>
        </w:rPr>
        <w:t>，决算数小于预算数的主要原因是部分政府采购项目年底签订合同，当年未完成支付。</w:t>
      </w:r>
    </w:p>
    <w:p>
      <w:pPr>
        <w:spacing w:line="600" w:lineRule="exact"/>
        <w:ind w:firstLine="640" w:firstLineChars="200"/>
        <w:rPr>
          <w:rStyle w:val="16"/>
          <w:rFonts w:ascii="仿宋" w:hAnsi="仿宋"/>
          <w:b w:val="0"/>
          <w:bCs/>
        </w:rPr>
      </w:pPr>
      <w:r>
        <w:rPr>
          <w:rStyle w:val="16"/>
          <w:rFonts w:hint="eastAsia" w:ascii="仿宋" w:hAnsi="仿宋"/>
          <w:b w:val="0"/>
          <w:bCs/>
        </w:rPr>
        <w:t>6.公共安全支出-法院-机关服务</w:t>
      </w:r>
      <w:r>
        <w:rPr>
          <w:rStyle w:val="16"/>
          <w:rFonts w:ascii="仿宋" w:hAnsi="仿宋"/>
          <w:b w:val="0"/>
          <w:bCs/>
        </w:rPr>
        <w:t xml:space="preserve">: </w:t>
      </w:r>
      <w:r>
        <w:rPr>
          <w:rStyle w:val="16"/>
          <w:rFonts w:hint="eastAsia" w:ascii="仿宋" w:hAnsi="仿宋"/>
          <w:b w:val="0"/>
          <w:bCs/>
        </w:rPr>
        <w:t>支出决算为430.64万元，完成预算97.71</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Fonts w:ascii="仿宋" w:hAnsi="仿宋"/>
          <w:bCs/>
        </w:rPr>
      </w:pPr>
      <w:r>
        <w:rPr>
          <w:rStyle w:val="16"/>
          <w:rFonts w:hint="eastAsia" w:ascii="仿宋" w:hAnsi="仿宋"/>
          <w:b w:val="0"/>
          <w:bCs/>
        </w:rPr>
        <w:t>7.公共安全支出-法院-案件审判</w:t>
      </w:r>
      <w:r>
        <w:rPr>
          <w:rStyle w:val="16"/>
          <w:rFonts w:ascii="仿宋" w:hAnsi="仿宋"/>
          <w:b w:val="0"/>
          <w:bCs/>
        </w:rPr>
        <w:t xml:space="preserve">: </w:t>
      </w:r>
      <w:r>
        <w:rPr>
          <w:rStyle w:val="16"/>
          <w:rFonts w:hint="eastAsia" w:ascii="仿宋" w:hAnsi="仿宋"/>
          <w:b w:val="0"/>
          <w:bCs/>
        </w:rPr>
        <w:t>支出决算为2,049.37万元，完成预算97.71</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8.公共安全支出-法院-案件执行</w:t>
      </w:r>
      <w:r>
        <w:rPr>
          <w:rStyle w:val="16"/>
          <w:rFonts w:ascii="仿宋" w:hAnsi="仿宋"/>
          <w:b w:val="0"/>
          <w:bCs/>
        </w:rPr>
        <w:t xml:space="preserve">: </w:t>
      </w:r>
      <w:r>
        <w:rPr>
          <w:rStyle w:val="16"/>
          <w:rFonts w:hint="eastAsia" w:ascii="仿宋" w:hAnsi="仿宋"/>
          <w:b w:val="0"/>
          <w:bCs/>
        </w:rPr>
        <w:t>支出决算为83.39万元，完成预算100</w:t>
      </w:r>
      <w:r>
        <w:rPr>
          <w:rStyle w:val="16"/>
          <w:rFonts w:ascii="仿宋" w:hAnsi="仿宋"/>
          <w:b w:val="0"/>
          <w:bCs/>
        </w:rPr>
        <w:t>%</w:t>
      </w:r>
      <w:r>
        <w:rPr>
          <w:rStyle w:val="16"/>
          <w:rFonts w:hint="eastAsia" w:ascii="仿宋" w:hAnsi="仿宋"/>
          <w:b w:val="0"/>
          <w:bCs/>
        </w:rPr>
        <w:t>，决算数与预算数一致。</w:t>
      </w:r>
    </w:p>
    <w:p>
      <w:pPr>
        <w:spacing w:line="600" w:lineRule="exact"/>
        <w:ind w:firstLine="640" w:firstLineChars="200"/>
        <w:rPr>
          <w:rStyle w:val="16"/>
          <w:rFonts w:ascii="仿宋" w:hAnsi="仿宋"/>
          <w:b w:val="0"/>
          <w:bCs/>
        </w:rPr>
      </w:pPr>
      <w:r>
        <w:rPr>
          <w:rStyle w:val="16"/>
          <w:rFonts w:hint="eastAsia" w:ascii="仿宋" w:hAnsi="仿宋"/>
          <w:b w:val="0"/>
          <w:bCs/>
        </w:rPr>
        <w:t>9.公共安全支出-法院-“两庭”建设</w:t>
      </w:r>
      <w:r>
        <w:rPr>
          <w:rStyle w:val="16"/>
          <w:rFonts w:ascii="仿宋" w:hAnsi="仿宋"/>
          <w:b w:val="0"/>
          <w:bCs/>
        </w:rPr>
        <w:t xml:space="preserve">: </w:t>
      </w:r>
      <w:r>
        <w:rPr>
          <w:rStyle w:val="16"/>
          <w:rFonts w:hint="eastAsia" w:ascii="仿宋" w:hAnsi="仿宋"/>
          <w:b w:val="0"/>
          <w:bCs/>
        </w:rPr>
        <w:t>支出决算为779.00万元，完成预算99.84</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10.公共安全支出-法院-事业运行</w:t>
      </w:r>
      <w:r>
        <w:rPr>
          <w:rStyle w:val="16"/>
          <w:rFonts w:ascii="仿宋" w:hAnsi="仿宋"/>
          <w:b w:val="0"/>
          <w:bCs/>
        </w:rPr>
        <w:t xml:space="preserve">: </w:t>
      </w:r>
      <w:r>
        <w:rPr>
          <w:rStyle w:val="16"/>
          <w:rFonts w:hint="eastAsia" w:ascii="仿宋" w:hAnsi="仿宋"/>
          <w:b w:val="0"/>
          <w:bCs/>
        </w:rPr>
        <w:t>支出决算为716.30万元，完成预算97.43</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11.公共安全支出-法院-其他法院支出</w:t>
      </w:r>
      <w:r>
        <w:rPr>
          <w:rStyle w:val="16"/>
          <w:rFonts w:ascii="仿宋" w:hAnsi="仿宋"/>
          <w:b w:val="0"/>
          <w:bCs/>
        </w:rPr>
        <w:t xml:space="preserve">: </w:t>
      </w:r>
      <w:r>
        <w:rPr>
          <w:rStyle w:val="16"/>
          <w:rFonts w:hint="eastAsia" w:ascii="仿宋" w:hAnsi="仿宋"/>
          <w:b w:val="0"/>
          <w:bCs/>
        </w:rPr>
        <w:t>支出决算为9,998.92万元，完成预算88.88</w:t>
      </w:r>
      <w:r>
        <w:rPr>
          <w:rStyle w:val="16"/>
          <w:rFonts w:ascii="仿宋" w:hAnsi="仿宋"/>
          <w:b w:val="0"/>
          <w:bCs/>
        </w:rPr>
        <w:t>%</w:t>
      </w:r>
      <w:r>
        <w:rPr>
          <w:rStyle w:val="16"/>
          <w:rFonts w:hint="eastAsia" w:ascii="仿宋" w:hAnsi="仿宋"/>
          <w:b w:val="0"/>
          <w:bCs/>
        </w:rPr>
        <w:t>，决算数小于预算数的主要原因是国产替代项目按合同约定未达付款节点。</w:t>
      </w:r>
    </w:p>
    <w:p>
      <w:pPr>
        <w:spacing w:line="600" w:lineRule="exact"/>
        <w:ind w:firstLine="640" w:firstLineChars="200"/>
        <w:rPr>
          <w:rStyle w:val="16"/>
          <w:rFonts w:ascii="仿宋" w:hAnsi="仿宋"/>
          <w:b w:val="0"/>
          <w:bCs/>
        </w:rPr>
      </w:pPr>
      <w:r>
        <w:rPr>
          <w:rStyle w:val="16"/>
          <w:rFonts w:hint="eastAsia" w:ascii="仿宋" w:hAnsi="仿宋"/>
          <w:b w:val="0"/>
          <w:bCs/>
        </w:rPr>
        <w:t>12.公共安全支出-其他公共安全支出-国家司法救助支出</w:t>
      </w:r>
      <w:r>
        <w:rPr>
          <w:rStyle w:val="16"/>
          <w:rFonts w:ascii="仿宋" w:hAnsi="仿宋"/>
          <w:b w:val="0"/>
          <w:bCs/>
        </w:rPr>
        <w:t xml:space="preserve">: </w:t>
      </w:r>
      <w:r>
        <w:rPr>
          <w:rStyle w:val="16"/>
          <w:rFonts w:hint="eastAsia" w:ascii="仿宋" w:hAnsi="仿宋"/>
          <w:b w:val="0"/>
          <w:bCs/>
        </w:rPr>
        <w:t>支出决算为323.47万元，完成预算96.56</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13.教育支出-进修及培训-培训支出</w:t>
      </w:r>
      <w:r>
        <w:rPr>
          <w:rStyle w:val="16"/>
          <w:rFonts w:ascii="仿宋" w:hAnsi="仿宋"/>
          <w:b w:val="0"/>
          <w:bCs/>
        </w:rPr>
        <w:t xml:space="preserve">: </w:t>
      </w:r>
      <w:r>
        <w:rPr>
          <w:rStyle w:val="16"/>
          <w:rFonts w:hint="eastAsia" w:ascii="仿宋" w:hAnsi="仿宋"/>
          <w:b w:val="0"/>
          <w:bCs/>
        </w:rPr>
        <w:t>支出决算为81.56万元，完成预算99.46</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14.社会保障和就业支出-行政事业单位养老支出-行政单位离退休</w:t>
      </w:r>
      <w:r>
        <w:rPr>
          <w:rStyle w:val="16"/>
          <w:rFonts w:ascii="仿宋" w:hAnsi="仿宋"/>
          <w:b w:val="0"/>
          <w:bCs/>
        </w:rPr>
        <w:t xml:space="preserve">: </w:t>
      </w:r>
      <w:r>
        <w:rPr>
          <w:rStyle w:val="16"/>
          <w:rFonts w:hint="eastAsia" w:ascii="仿宋" w:hAnsi="仿宋"/>
          <w:b w:val="0"/>
          <w:bCs/>
        </w:rPr>
        <w:t>支出决算为1,501.56万元，完成预算99.12</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15.社会保障和就业支出-行政事业单位养老支出-机关事业单位基本养老保险缴费支出</w:t>
      </w:r>
      <w:r>
        <w:rPr>
          <w:rStyle w:val="16"/>
          <w:rFonts w:ascii="仿宋" w:hAnsi="仿宋"/>
          <w:b w:val="0"/>
          <w:bCs/>
        </w:rPr>
        <w:t xml:space="preserve">: </w:t>
      </w:r>
      <w:r>
        <w:rPr>
          <w:rStyle w:val="16"/>
          <w:rFonts w:hint="eastAsia" w:ascii="仿宋" w:hAnsi="仿宋"/>
          <w:b w:val="0"/>
          <w:bCs/>
        </w:rPr>
        <w:t>支出决算为1,267.03万元，完成预算94.85</w:t>
      </w:r>
      <w:r>
        <w:rPr>
          <w:rStyle w:val="16"/>
          <w:rFonts w:ascii="仿宋" w:hAnsi="仿宋"/>
          <w:b w:val="0"/>
          <w:bCs/>
        </w:rPr>
        <w:t>%</w:t>
      </w:r>
      <w:r>
        <w:rPr>
          <w:rStyle w:val="16"/>
          <w:rFonts w:hint="eastAsia" w:ascii="仿宋" w:hAnsi="仿宋"/>
          <w:b w:val="0"/>
          <w:bCs/>
        </w:rPr>
        <w:t>，决算数小于预算数的主要原因是人员调动、退休。</w:t>
      </w:r>
    </w:p>
    <w:p>
      <w:pPr>
        <w:spacing w:line="600" w:lineRule="exact"/>
        <w:ind w:firstLine="640" w:firstLineChars="200"/>
        <w:rPr>
          <w:rStyle w:val="16"/>
          <w:rFonts w:ascii="仿宋" w:hAnsi="仿宋"/>
          <w:b w:val="0"/>
          <w:bCs/>
        </w:rPr>
      </w:pPr>
      <w:r>
        <w:rPr>
          <w:rStyle w:val="16"/>
          <w:rFonts w:hint="eastAsia" w:ascii="仿宋" w:hAnsi="仿宋"/>
          <w:b w:val="0"/>
          <w:bCs/>
        </w:rPr>
        <w:t>16.社会保障和就业支出-行政事业单位养老支出-机关事业单位职业年金缴费支出</w:t>
      </w:r>
      <w:r>
        <w:rPr>
          <w:rStyle w:val="16"/>
          <w:rFonts w:ascii="仿宋" w:hAnsi="仿宋"/>
          <w:b w:val="0"/>
          <w:bCs/>
        </w:rPr>
        <w:t xml:space="preserve">: </w:t>
      </w:r>
      <w:r>
        <w:rPr>
          <w:rStyle w:val="16"/>
          <w:rFonts w:hint="eastAsia" w:ascii="仿宋" w:hAnsi="仿宋"/>
          <w:b w:val="0"/>
          <w:bCs/>
        </w:rPr>
        <w:t>支出决算为218.34万元，完成预算99.87</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17.社会保障和就业支出-抚恤-死亡抚恤</w:t>
      </w:r>
      <w:r>
        <w:rPr>
          <w:rStyle w:val="16"/>
          <w:rFonts w:ascii="仿宋" w:hAnsi="仿宋"/>
          <w:b w:val="0"/>
          <w:bCs/>
        </w:rPr>
        <w:t xml:space="preserve">: </w:t>
      </w:r>
      <w:r>
        <w:rPr>
          <w:rStyle w:val="16"/>
          <w:rFonts w:hint="eastAsia" w:ascii="仿宋" w:hAnsi="仿宋"/>
          <w:b w:val="0"/>
          <w:bCs/>
        </w:rPr>
        <w:t>支出决算为70.02万元，完成预算99.96</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18.卫生健康支出-行政事业单位医疗-行政单位医疗</w:t>
      </w:r>
      <w:r>
        <w:rPr>
          <w:rStyle w:val="16"/>
          <w:rFonts w:ascii="仿宋" w:hAnsi="仿宋"/>
          <w:b w:val="0"/>
          <w:bCs/>
        </w:rPr>
        <w:t xml:space="preserve">: </w:t>
      </w:r>
      <w:r>
        <w:rPr>
          <w:rStyle w:val="16"/>
          <w:rFonts w:hint="eastAsia" w:ascii="仿宋" w:hAnsi="仿宋"/>
          <w:b w:val="0"/>
          <w:bCs/>
        </w:rPr>
        <w:t>支出决算为974.77万元，完成预算98.60</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19.卫生健康支出-行政事业单位医疗-事业单位医疗</w:t>
      </w:r>
      <w:r>
        <w:rPr>
          <w:rStyle w:val="16"/>
          <w:rFonts w:ascii="仿宋" w:hAnsi="仿宋"/>
          <w:b w:val="0"/>
          <w:bCs/>
        </w:rPr>
        <w:t xml:space="preserve">: </w:t>
      </w:r>
      <w:r>
        <w:rPr>
          <w:rStyle w:val="16"/>
          <w:rFonts w:hint="eastAsia" w:ascii="仿宋" w:hAnsi="仿宋"/>
          <w:b w:val="0"/>
          <w:bCs/>
        </w:rPr>
        <w:t>支出决算为35.62万元，完成预算98.52</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20.卫生健康支出-行政事业单位医疗-公务员医疗补助</w:t>
      </w:r>
      <w:r>
        <w:rPr>
          <w:rStyle w:val="16"/>
          <w:rFonts w:ascii="仿宋" w:hAnsi="仿宋"/>
          <w:b w:val="0"/>
          <w:bCs/>
        </w:rPr>
        <w:t xml:space="preserve">: </w:t>
      </w:r>
      <w:r>
        <w:rPr>
          <w:rStyle w:val="16"/>
          <w:rFonts w:hint="eastAsia" w:ascii="仿宋" w:hAnsi="仿宋"/>
          <w:b w:val="0"/>
          <w:bCs/>
        </w:rPr>
        <w:t>支出决算为188.35万元，完成预算99.38</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21.住房保障支出-住房改革支出-住房公积金</w:t>
      </w:r>
      <w:r>
        <w:rPr>
          <w:rStyle w:val="16"/>
          <w:rFonts w:ascii="仿宋" w:hAnsi="仿宋"/>
          <w:b w:val="0"/>
          <w:bCs/>
        </w:rPr>
        <w:t xml:space="preserve">: </w:t>
      </w:r>
      <w:r>
        <w:rPr>
          <w:rStyle w:val="16"/>
          <w:rFonts w:hint="eastAsia" w:ascii="仿宋" w:hAnsi="仿宋"/>
          <w:b w:val="0"/>
          <w:bCs/>
        </w:rPr>
        <w:t>支出决算为1,262.62万元，完成预算99.89</w:t>
      </w:r>
      <w:r>
        <w:rPr>
          <w:rStyle w:val="16"/>
          <w:rFonts w:ascii="仿宋" w:hAnsi="仿宋"/>
          <w:b w:val="0"/>
          <w:bCs/>
        </w:rPr>
        <w:t>%</w:t>
      </w:r>
      <w:r>
        <w:rPr>
          <w:rStyle w:val="16"/>
          <w:rFonts w:hint="eastAsia" w:ascii="仿宋" w:hAnsi="仿宋"/>
          <w:b w:val="0"/>
          <w:bCs/>
        </w:rPr>
        <w:t>，决算数与预算数基本一致。</w:t>
      </w:r>
    </w:p>
    <w:p>
      <w:pPr>
        <w:spacing w:line="600" w:lineRule="exact"/>
        <w:ind w:firstLine="640" w:firstLineChars="200"/>
        <w:rPr>
          <w:rStyle w:val="16"/>
          <w:rFonts w:ascii="仿宋" w:hAnsi="仿宋"/>
          <w:b w:val="0"/>
          <w:bCs/>
        </w:rPr>
      </w:pPr>
      <w:r>
        <w:rPr>
          <w:rStyle w:val="16"/>
          <w:rFonts w:hint="eastAsia" w:ascii="仿宋" w:hAnsi="仿宋"/>
          <w:b w:val="0"/>
          <w:bCs/>
        </w:rPr>
        <w:t>22.住房保障支出-住房改革支出-购房补贴</w:t>
      </w:r>
      <w:r>
        <w:rPr>
          <w:rStyle w:val="16"/>
          <w:rFonts w:ascii="仿宋" w:hAnsi="仿宋"/>
          <w:b w:val="0"/>
          <w:bCs/>
        </w:rPr>
        <w:t xml:space="preserve">: </w:t>
      </w:r>
      <w:r>
        <w:rPr>
          <w:rStyle w:val="16"/>
          <w:rFonts w:hint="eastAsia" w:ascii="仿宋" w:hAnsi="仿宋"/>
          <w:b w:val="0"/>
          <w:bCs/>
        </w:rPr>
        <w:t>支出决算为577.49万元，完成预算98.27</w:t>
      </w:r>
      <w:r>
        <w:rPr>
          <w:rStyle w:val="16"/>
          <w:rFonts w:ascii="仿宋" w:hAnsi="仿宋"/>
          <w:b w:val="0"/>
          <w:bCs/>
        </w:rPr>
        <w:t>%</w:t>
      </w:r>
      <w:r>
        <w:rPr>
          <w:rStyle w:val="16"/>
          <w:rFonts w:hint="eastAsia" w:ascii="仿宋" w:hAnsi="仿宋"/>
          <w:b w:val="0"/>
          <w:bCs/>
        </w:rPr>
        <w:t>，决算数与预算数基本一致。</w:t>
      </w:r>
    </w:p>
    <w:p>
      <w:pPr>
        <w:tabs>
          <w:tab w:val="right" w:pos="8306"/>
        </w:tabs>
        <w:spacing w:line="600" w:lineRule="exact"/>
        <w:ind w:firstLine="640"/>
        <w:outlineLvl w:val="1"/>
        <w:rPr>
          <w:rStyle w:val="20"/>
        </w:rPr>
      </w:pPr>
      <w:bookmarkStart w:id="74" w:name="_Toc991"/>
      <w:bookmarkStart w:id="75" w:name="_Toc2765"/>
      <w:bookmarkStart w:id="76" w:name="_Toc30751"/>
      <w:bookmarkStart w:id="77" w:name="_Toc7200"/>
      <w:bookmarkStart w:id="78" w:name="_Toc4453"/>
      <w:bookmarkStart w:id="79" w:name="_Toc29756"/>
      <w:r>
        <w:rPr>
          <w:rFonts w:hint="eastAsia" w:ascii="黑体" w:eastAsia="黑体"/>
        </w:rPr>
        <w:t>六</w:t>
      </w:r>
      <w:r>
        <w:rPr>
          <w:rFonts w:hint="eastAsia" w:ascii="黑体" w:eastAsia="黑体"/>
          <w:b/>
        </w:rPr>
        <w:t>、</w:t>
      </w:r>
      <w:r>
        <w:rPr>
          <w:rFonts w:hint="eastAsia" w:ascii="黑体" w:hAnsi="黑体" w:eastAsia="黑体"/>
          <w:b/>
        </w:rPr>
        <w:t>一</w:t>
      </w:r>
      <w:r>
        <w:rPr>
          <w:rStyle w:val="20"/>
          <w:rFonts w:hint="eastAsia" w:ascii="黑体" w:hAnsi="黑体" w:eastAsia="黑体"/>
          <w:b w:val="0"/>
        </w:rPr>
        <w:t>般公共预算财政拨款基本支出决算情况说明</w:t>
      </w:r>
      <w:bookmarkEnd w:id="74"/>
      <w:bookmarkEnd w:id="75"/>
      <w:bookmarkEnd w:id="76"/>
      <w:bookmarkEnd w:id="77"/>
      <w:bookmarkEnd w:id="78"/>
      <w:bookmarkEnd w:id="79"/>
      <w:r>
        <w:rPr>
          <w:rStyle w:val="20"/>
          <w:rFonts w:ascii="黑体" w:hAnsi="黑体" w:eastAsia="黑体"/>
          <w:b w:val="0"/>
        </w:rPr>
        <w:tab/>
      </w:r>
    </w:p>
    <w:p>
      <w:pPr>
        <w:spacing w:line="600" w:lineRule="exact"/>
        <w:ind w:firstLine="645"/>
        <w:rPr>
          <w:rFonts w:ascii="仿宋" w:hAnsi="仿宋"/>
        </w:rPr>
      </w:pPr>
      <w:r>
        <w:rPr>
          <w:rFonts w:ascii="仿宋" w:hAnsi="仿宋"/>
        </w:rPr>
        <w:t>20</w:t>
      </w:r>
      <w:r>
        <w:rPr>
          <w:rFonts w:hint="eastAsia" w:ascii="仿宋" w:hAnsi="仿宋"/>
        </w:rPr>
        <w:t>21年一般公共预算财政拨款基本支出27,490.48万元，其中：</w:t>
      </w:r>
    </w:p>
    <w:p>
      <w:pPr>
        <w:spacing w:line="600" w:lineRule="exact"/>
        <w:ind w:firstLine="645"/>
        <w:rPr>
          <w:rFonts w:ascii="仿宋" w:hAnsi="仿宋"/>
        </w:rPr>
      </w:pPr>
      <w:r>
        <w:rPr>
          <w:rFonts w:hint="eastAsia" w:ascii="仿宋" w:hAnsi="仿宋"/>
        </w:rPr>
        <w:t>人员经费21,297.72万元，主要包括：基本工资、津贴补贴、奖金、绩效工资、机关事业单位基本养老保险缴费、职业年金缴费、职工基本医疗保险缴费、公务员医疗补助缴费、其他社会保障缴费、住房公积金、其他工资福利支出、离休费、抚恤金、奖励金、其他对个人和家庭的补助支出等。</w:t>
      </w:r>
    </w:p>
    <w:p>
      <w:pPr>
        <w:spacing w:line="600" w:lineRule="exact"/>
        <w:rPr>
          <w:rFonts w:ascii="仿宋" w:hAnsi="仿宋"/>
        </w:rPr>
      </w:pPr>
      <w:r>
        <w:rPr>
          <w:rFonts w:hint="eastAsia" w:ascii="仿宋" w:hAnsi="仿宋"/>
        </w:rPr>
        <w:t>　　公用经费6,192.76万元，主要包括：办公费、印刷费、手续费、水费、电费、邮电费、物业管理费、差旅费、维修（护）费、租赁费、会议费、培训费、公务接待费、劳务费、工会经费、福利费、公务用车运行维护费、其他交通费、其他商品和服务支出、信息网络及软件购置更新等。</w:t>
      </w:r>
    </w:p>
    <w:p>
      <w:pPr>
        <w:spacing w:line="600" w:lineRule="exact"/>
        <w:ind w:firstLine="640"/>
        <w:outlineLvl w:val="1"/>
        <w:rPr>
          <w:rStyle w:val="20"/>
          <w:rFonts w:ascii="黑体" w:hAnsi="黑体" w:eastAsia="黑体"/>
          <w:b w:val="0"/>
        </w:rPr>
      </w:pPr>
      <w:bookmarkStart w:id="80" w:name="_Toc22777"/>
      <w:bookmarkStart w:id="81" w:name="_Toc12272"/>
      <w:bookmarkStart w:id="82" w:name="_Toc6223"/>
      <w:bookmarkStart w:id="83" w:name="_Toc625"/>
      <w:bookmarkStart w:id="84" w:name="_Toc9223"/>
      <w:bookmarkStart w:id="85" w:name="_Toc29023"/>
      <w:r>
        <w:rPr>
          <w:rFonts w:hint="eastAsia" w:ascii="黑体" w:eastAsia="黑体"/>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80"/>
      <w:bookmarkEnd w:id="81"/>
      <w:bookmarkEnd w:id="82"/>
      <w:bookmarkEnd w:id="83"/>
      <w:bookmarkEnd w:id="84"/>
      <w:bookmarkEnd w:id="85"/>
    </w:p>
    <w:p>
      <w:pPr>
        <w:spacing w:line="600" w:lineRule="exact"/>
        <w:ind w:firstLine="640"/>
        <w:outlineLvl w:val="2"/>
        <w:rPr>
          <w:rFonts w:ascii="仿宋" w:hAnsi="仿宋"/>
          <w:b/>
        </w:rPr>
      </w:pPr>
      <w:bookmarkStart w:id="86" w:name="_Toc8205"/>
      <w:r>
        <w:rPr>
          <w:rFonts w:hint="eastAsia" w:ascii="仿宋" w:hAnsi="仿宋"/>
          <w:b/>
        </w:rPr>
        <w:t>（一）“三公”经费财政拨款支出决算总体情况说明</w:t>
      </w:r>
      <w:bookmarkEnd w:id="86"/>
    </w:p>
    <w:p>
      <w:pPr>
        <w:spacing w:line="600" w:lineRule="exact"/>
        <w:ind w:firstLine="641"/>
        <w:rPr>
          <w:rFonts w:ascii="仿宋" w:hAnsi="仿宋"/>
        </w:rPr>
      </w:pPr>
      <w:r>
        <w:rPr>
          <w:rFonts w:ascii="仿宋" w:hAnsi="仿宋"/>
        </w:rPr>
        <w:t>20</w:t>
      </w:r>
      <w:r>
        <w:rPr>
          <w:rFonts w:hint="eastAsia" w:ascii="仿宋" w:hAnsi="仿宋"/>
        </w:rPr>
        <w:t>21年“三公”经费财政拨款支出决算为434.62万元，完成预算81.62</w:t>
      </w:r>
      <w:r>
        <w:rPr>
          <w:rFonts w:ascii="仿宋" w:hAnsi="仿宋"/>
        </w:rPr>
        <w:t>%</w:t>
      </w:r>
      <w:r>
        <w:rPr>
          <w:rFonts w:hint="eastAsia" w:ascii="仿宋" w:hAnsi="仿宋"/>
        </w:rPr>
        <w:t>，决算数小于预算数的主要原因是受当年疫情影响和我院严控“三公”经费开支。</w:t>
      </w:r>
    </w:p>
    <w:p>
      <w:pPr>
        <w:spacing w:line="600" w:lineRule="exact"/>
        <w:ind w:firstLine="641"/>
        <w:outlineLvl w:val="2"/>
        <w:rPr>
          <w:rFonts w:ascii="仿宋" w:hAnsi="仿宋"/>
          <w:b/>
        </w:rPr>
      </w:pPr>
      <w:bookmarkStart w:id="87" w:name="_Toc30009"/>
      <w:r>
        <w:rPr>
          <w:rFonts w:hint="eastAsia" w:ascii="仿宋" w:hAnsi="仿宋"/>
          <w:b/>
        </w:rPr>
        <w:t>（二）“三公”经费财政拨款支出决算具体情况说明</w:t>
      </w:r>
      <w:bookmarkEnd w:id="87"/>
    </w:p>
    <w:p>
      <w:pPr>
        <w:spacing w:line="600" w:lineRule="exact"/>
        <w:ind w:firstLine="641"/>
        <w:rPr>
          <w:rFonts w:ascii="仿宋" w:hAnsi="仿宋"/>
        </w:rPr>
      </w:pPr>
      <w:r>
        <w:rPr>
          <w:rFonts w:hint="eastAsia" w:ascii="仿宋" w:hAnsi="仿宋"/>
        </w:rPr>
        <w:t>2021年“三公”经费财政拨款支出决算中，因公出国（境）费支出决算0万元，占0%；公务用车购置及运行维护费支出决算428.47万元，占98.58%；公务接待费支出决算6.15万元，占1.20%。具体情况如下：</w:t>
      </w:r>
    </w:p>
    <w:p>
      <w:pPr>
        <w:pStyle w:val="2"/>
        <w:spacing w:before="72"/>
        <w:jc w:val="center"/>
      </w:pPr>
      <w:r>
        <w:rPr>
          <w:rFonts w:hint="eastAsia"/>
        </w:rPr>
        <w:pict>
          <v:shape id="_x0000_i1030" o:spt="75" alt="图片1" type="#_x0000_t75" style="height:211.6pt;width:352pt;" filled="f" o:preferrelative="t" stroked="f" coordsize="21600,21600">
            <v:path/>
            <v:fill on="f" focussize="0,0"/>
            <v:stroke on="f"/>
            <v:imagedata r:id="rId12" o:title="图片1"/>
            <o:lock v:ext="edit" aspectratio="t"/>
            <w10:wrap type="none"/>
            <w10:anchorlock/>
          </v:shape>
        </w:pict>
      </w:r>
    </w:p>
    <w:p>
      <w:pPr>
        <w:spacing w:line="600" w:lineRule="exact"/>
        <w:ind w:firstLine="640"/>
        <w:rPr>
          <w:rStyle w:val="16"/>
          <w:rFonts w:ascii="仿宋" w:hAnsi="仿宋"/>
          <w:b w:val="0"/>
          <w:bCs/>
        </w:rPr>
      </w:pPr>
      <w:r>
        <w:rPr>
          <w:rFonts w:ascii="仿宋" w:hAnsi="仿宋"/>
          <w:bCs/>
        </w:rPr>
        <w:t>1.</w:t>
      </w:r>
      <w:r>
        <w:rPr>
          <w:rFonts w:hint="eastAsia" w:ascii="仿宋" w:hAnsi="仿宋"/>
          <w:bCs/>
        </w:rPr>
        <w:t>因公出国（境）经费支出0万元，</w:t>
      </w:r>
      <w:r>
        <w:rPr>
          <w:rStyle w:val="16"/>
          <w:rFonts w:hint="eastAsia" w:ascii="仿宋" w:hAnsi="仿宋"/>
          <w:b w:val="0"/>
          <w:bCs/>
        </w:rPr>
        <w:t>完成预算0</w:t>
      </w:r>
      <w:r>
        <w:rPr>
          <w:rStyle w:val="16"/>
          <w:rFonts w:ascii="仿宋" w:hAnsi="仿宋"/>
          <w:b w:val="0"/>
          <w:bCs/>
        </w:rPr>
        <w:t>%</w:t>
      </w:r>
      <w:r>
        <w:rPr>
          <w:rStyle w:val="16"/>
          <w:rFonts w:hint="eastAsia" w:ascii="仿宋" w:hAnsi="仿宋"/>
          <w:b w:val="0"/>
          <w:bCs/>
        </w:rPr>
        <w:t>。因公出国（境）支出决算与2020年一致。主要原因为受当年疫情影响，未安排因公出国活动。</w:t>
      </w:r>
    </w:p>
    <w:p>
      <w:pPr>
        <w:spacing w:line="600" w:lineRule="exact"/>
        <w:ind w:firstLine="640"/>
        <w:rPr>
          <w:rStyle w:val="16"/>
          <w:rFonts w:ascii="仿宋" w:hAnsi="仿宋"/>
          <w:b w:val="0"/>
          <w:bCs/>
        </w:rPr>
      </w:pPr>
      <w:r>
        <w:rPr>
          <w:rFonts w:ascii="仿宋" w:hAnsi="仿宋"/>
          <w:bCs/>
        </w:rPr>
        <w:t>2.</w:t>
      </w:r>
      <w:r>
        <w:rPr>
          <w:rFonts w:hint="eastAsia" w:ascii="仿宋" w:hAnsi="仿宋"/>
          <w:bCs/>
        </w:rPr>
        <w:t>公务用车购置及运行维护费支出</w:t>
      </w:r>
      <w:r>
        <w:rPr>
          <w:rStyle w:val="16"/>
          <w:rFonts w:hint="eastAsia" w:ascii="仿宋" w:hAnsi="仿宋"/>
          <w:b w:val="0"/>
          <w:bCs/>
        </w:rPr>
        <w:t>428.47万元,完成预算84.34</w:t>
      </w:r>
      <w:r>
        <w:rPr>
          <w:rStyle w:val="16"/>
          <w:rFonts w:ascii="仿宋" w:hAnsi="仿宋"/>
          <w:b w:val="0"/>
          <w:bCs/>
        </w:rPr>
        <w:t>%</w:t>
      </w:r>
      <w:r>
        <w:rPr>
          <w:rStyle w:val="16"/>
          <w:rFonts w:hint="eastAsia" w:ascii="仿宋" w:hAnsi="仿宋"/>
          <w:b w:val="0"/>
          <w:bCs/>
        </w:rPr>
        <w:t>。公务用车购置及运行维护费支出决算比2020年增加79.47万元，</w:t>
      </w:r>
      <w:r>
        <w:rPr>
          <w:rStyle w:val="16"/>
          <w:rFonts w:hint="eastAsia" w:ascii="仿宋" w:hAnsi="仿宋"/>
          <w:b w:val="0"/>
          <w:bCs/>
          <w:lang w:eastAsia="zh-CN"/>
        </w:rPr>
        <w:t>增长</w:t>
      </w:r>
      <w:r>
        <w:rPr>
          <w:rStyle w:val="16"/>
          <w:rFonts w:hint="eastAsia" w:ascii="仿宋" w:hAnsi="仿宋"/>
          <w:b w:val="0"/>
          <w:bCs/>
        </w:rPr>
        <w:t>22.38</w:t>
      </w:r>
      <w:r>
        <w:rPr>
          <w:rStyle w:val="16"/>
          <w:rFonts w:ascii="仿宋" w:hAnsi="仿宋"/>
          <w:b w:val="0"/>
          <w:bCs/>
        </w:rPr>
        <w:t>%</w:t>
      </w:r>
      <w:r>
        <w:rPr>
          <w:rStyle w:val="16"/>
          <w:rFonts w:hint="eastAsia" w:ascii="仿宋" w:hAnsi="仿宋"/>
          <w:b w:val="0"/>
          <w:bCs/>
        </w:rPr>
        <w:t>。主要原因为2020年受疫情影响</w:t>
      </w:r>
      <w:r>
        <w:rPr>
          <w:rStyle w:val="16"/>
          <w:rFonts w:hint="eastAsia" w:ascii="仿宋" w:hAnsi="仿宋"/>
          <w:b w:val="0"/>
          <w:bCs/>
          <w:lang w:eastAsia="zh-CN"/>
        </w:rPr>
        <w:t>出差相对减少，车辆运行维护也随之减少</w:t>
      </w:r>
      <w:r>
        <w:rPr>
          <w:rStyle w:val="16"/>
          <w:rFonts w:hint="eastAsia" w:ascii="仿宋" w:hAnsi="仿宋"/>
          <w:b w:val="0"/>
          <w:bCs/>
          <w:lang w:val="en-US" w:eastAsia="zh-CN"/>
        </w:rPr>
        <w:t xml:space="preserve"> </w:t>
      </w:r>
      <w:r>
        <w:rPr>
          <w:rStyle w:val="16"/>
          <w:rFonts w:hint="eastAsia" w:ascii="仿宋" w:hAnsi="仿宋"/>
          <w:b w:val="0"/>
          <w:bCs/>
        </w:rPr>
        <w:t>。</w:t>
      </w:r>
    </w:p>
    <w:p>
      <w:pPr>
        <w:spacing w:line="600" w:lineRule="exact"/>
        <w:ind w:firstLine="640" w:firstLineChars="200"/>
        <w:rPr>
          <w:rFonts w:ascii="仿宋" w:hAnsi="仿宋"/>
          <w:bCs/>
        </w:rPr>
      </w:pPr>
      <w:r>
        <w:rPr>
          <w:rFonts w:hint="eastAsia" w:ascii="仿宋" w:hAnsi="仿宋"/>
          <w:bCs/>
        </w:rPr>
        <w:t>其中：公务用车购置支出</w:t>
      </w:r>
      <w:r>
        <w:rPr>
          <w:rStyle w:val="16"/>
          <w:rFonts w:hint="eastAsia" w:ascii="仿宋" w:hAnsi="仿宋"/>
          <w:b w:val="0"/>
          <w:bCs/>
        </w:rPr>
        <w:t>143.83万元。</w:t>
      </w:r>
      <w:r>
        <w:rPr>
          <w:rFonts w:hint="eastAsia" w:ascii="仿宋" w:hAnsi="仿宋"/>
          <w:bCs/>
        </w:rPr>
        <w:t>全年按规定更新购置公务用车6辆，其中：轿车6辆，主要用于办案执法执勤。截至2021年12月底，单位共有公务用车132辆，其中：轿车56辆、越野车9辆、载客汽车27辆、其他车型40辆。</w:t>
      </w:r>
    </w:p>
    <w:p>
      <w:pPr>
        <w:spacing w:line="600" w:lineRule="exact"/>
        <w:ind w:firstLine="640"/>
        <w:rPr>
          <w:rFonts w:ascii="仿宋" w:hAnsi="仿宋"/>
          <w:bCs/>
        </w:rPr>
      </w:pPr>
      <w:r>
        <w:rPr>
          <w:rFonts w:hint="eastAsia" w:ascii="仿宋" w:hAnsi="仿宋"/>
          <w:bCs/>
        </w:rPr>
        <w:t>公务用车运行维护费支出284.64万元。主要用于法官办案以及赴全省各地开庭等所需的公务用车燃料费、维修费、保险费等支出。</w:t>
      </w:r>
    </w:p>
    <w:p>
      <w:pPr>
        <w:spacing w:line="600" w:lineRule="exact"/>
        <w:ind w:firstLine="640" w:firstLineChars="0"/>
        <w:rPr>
          <w:rFonts w:ascii="仿宋" w:hAnsi="仿宋"/>
          <w:bCs/>
        </w:rPr>
      </w:pPr>
      <w:r>
        <w:rPr>
          <w:rFonts w:ascii="仿宋" w:hAnsi="仿宋"/>
          <w:bCs/>
        </w:rPr>
        <w:t>3.</w:t>
      </w:r>
      <w:r>
        <w:rPr>
          <w:rFonts w:hint="eastAsia" w:ascii="仿宋" w:hAnsi="仿宋"/>
          <w:bCs/>
        </w:rPr>
        <w:t>公务接待费支出6.15万元，</w:t>
      </w:r>
      <w:r>
        <w:rPr>
          <w:rStyle w:val="16"/>
          <w:rFonts w:hint="eastAsia" w:ascii="仿宋" w:hAnsi="仿宋"/>
          <w:b w:val="0"/>
          <w:bCs/>
        </w:rPr>
        <w:t>完成预算25.13%。</w:t>
      </w:r>
      <w:r>
        <w:rPr>
          <w:rFonts w:hint="eastAsia" w:ascii="仿宋" w:hAnsi="仿宋"/>
          <w:bCs/>
        </w:rPr>
        <w:t>公务接待费支出决算比2020年增加3.56万元，增幅44.03%。主要原因是2020年受疫情影响公务接待较少，基数较低。其中：国内公务接待支出6.15万元，主要用于执行公务、开展业务活动开支的用餐费等。国内公务接待52批次，483人次（不包括陪同人员），共计支出6.15万元。本年未发生外事接待支出。</w:t>
      </w:r>
    </w:p>
    <w:p>
      <w:pPr>
        <w:spacing w:line="600" w:lineRule="exact"/>
        <w:ind w:firstLine="640"/>
        <w:outlineLvl w:val="1"/>
        <w:rPr>
          <w:rStyle w:val="20"/>
          <w:rFonts w:ascii="黑体" w:hAnsi="黑体" w:eastAsia="黑体"/>
        </w:rPr>
      </w:pPr>
      <w:bookmarkStart w:id="88" w:name="_Toc6046"/>
      <w:bookmarkStart w:id="89" w:name="_Toc8955"/>
      <w:bookmarkStart w:id="90" w:name="_Toc22576"/>
      <w:bookmarkStart w:id="91" w:name="_Toc15281"/>
      <w:bookmarkStart w:id="92" w:name="_Toc25939"/>
      <w:bookmarkStart w:id="93" w:name="_Toc19502"/>
      <w:r>
        <w:rPr>
          <w:rFonts w:hint="eastAsia" w:ascii="黑体" w:eastAsia="黑体"/>
        </w:rPr>
        <w:t>八、</w:t>
      </w:r>
      <w:r>
        <w:rPr>
          <w:rStyle w:val="20"/>
          <w:rFonts w:hint="eastAsia" w:ascii="黑体" w:hAnsi="黑体" w:eastAsia="黑体"/>
          <w:b w:val="0"/>
        </w:rPr>
        <w:t>政府性基金预算支出决算情况说明</w:t>
      </w:r>
      <w:bookmarkEnd w:id="88"/>
      <w:bookmarkEnd w:id="89"/>
      <w:bookmarkEnd w:id="90"/>
      <w:bookmarkEnd w:id="91"/>
      <w:bookmarkEnd w:id="92"/>
      <w:bookmarkEnd w:id="93"/>
    </w:p>
    <w:p>
      <w:pPr>
        <w:spacing w:line="600" w:lineRule="exact"/>
        <w:ind w:firstLine="640"/>
        <w:rPr>
          <w:rFonts w:ascii="仿宋_GB2312" w:eastAsia="仿宋_GB2312"/>
        </w:rPr>
      </w:pPr>
      <w:r>
        <w:rPr>
          <w:rFonts w:hint="eastAsia" w:ascii="仿宋" w:hAnsi="仿宋"/>
        </w:rPr>
        <w:t>2021年政府性基金预算财政拨款支出0万元。</w:t>
      </w:r>
    </w:p>
    <w:p>
      <w:pPr>
        <w:numPr>
          <w:ilvl w:val="0"/>
          <w:numId w:val="2"/>
        </w:numPr>
        <w:spacing w:line="600" w:lineRule="exact"/>
        <w:ind w:firstLine="640"/>
        <w:outlineLvl w:val="1"/>
        <w:rPr>
          <w:rStyle w:val="20"/>
          <w:rFonts w:ascii="黑体" w:hAnsi="黑体" w:eastAsia="黑体"/>
          <w:b w:val="0"/>
        </w:rPr>
      </w:pPr>
      <w:bookmarkStart w:id="94" w:name="_Toc24851"/>
      <w:bookmarkStart w:id="95" w:name="_Toc21324"/>
      <w:bookmarkStart w:id="96" w:name="_Toc28658"/>
      <w:bookmarkStart w:id="97" w:name="_Toc29399"/>
      <w:bookmarkStart w:id="98" w:name="_Toc17007"/>
      <w:bookmarkStart w:id="99" w:name="_Toc21346"/>
      <w:r>
        <w:rPr>
          <w:rStyle w:val="20"/>
          <w:rFonts w:hint="eastAsia" w:ascii="黑体" w:hAnsi="黑体" w:eastAsia="黑体"/>
          <w:b w:val="0"/>
        </w:rPr>
        <w:t>国有资本经营预算支出决算情况说明</w:t>
      </w:r>
      <w:bookmarkEnd w:id="94"/>
      <w:bookmarkEnd w:id="95"/>
      <w:bookmarkEnd w:id="96"/>
      <w:bookmarkEnd w:id="97"/>
      <w:bookmarkEnd w:id="98"/>
      <w:bookmarkEnd w:id="99"/>
    </w:p>
    <w:p>
      <w:pPr>
        <w:spacing w:line="600" w:lineRule="exact"/>
        <w:ind w:firstLine="640"/>
        <w:rPr>
          <w:rFonts w:ascii="仿宋_GB2312" w:eastAsia="仿宋_GB2312"/>
        </w:rPr>
      </w:pPr>
      <w:r>
        <w:rPr>
          <w:rFonts w:hint="eastAsia" w:ascii="仿宋" w:hAnsi="仿宋"/>
        </w:rPr>
        <w:t>2021年国有资本经营预算财政拨款支出0万元。</w:t>
      </w:r>
    </w:p>
    <w:p>
      <w:pPr>
        <w:numPr>
          <w:ilvl w:val="0"/>
          <w:numId w:val="2"/>
        </w:numPr>
        <w:spacing w:line="600" w:lineRule="exact"/>
        <w:ind w:firstLine="640"/>
        <w:outlineLvl w:val="1"/>
        <w:rPr>
          <w:rStyle w:val="20"/>
          <w:rFonts w:ascii="黑体" w:hAnsi="黑体" w:eastAsia="黑体"/>
          <w:b w:val="0"/>
        </w:rPr>
      </w:pPr>
      <w:bookmarkStart w:id="100" w:name="_Toc20421"/>
      <w:bookmarkStart w:id="101" w:name="_Toc30215"/>
      <w:bookmarkStart w:id="102" w:name="_Toc29104"/>
      <w:bookmarkStart w:id="103" w:name="_Toc28"/>
      <w:bookmarkStart w:id="104" w:name="_Toc23859"/>
      <w:bookmarkStart w:id="105" w:name="_Toc27042"/>
      <w:r>
        <w:rPr>
          <w:rStyle w:val="20"/>
          <w:rFonts w:hint="eastAsia" w:ascii="黑体" w:hAnsi="黑体" w:eastAsia="黑体"/>
          <w:b w:val="0"/>
        </w:rPr>
        <w:t>其他重要事项的情况说明</w:t>
      </w:r>
      <w:bookmarkEnd w:id="100"/>
      <w:bookmarkEnd w:id="101"/>
      <w:bookmarkEnd w:id="102"/>
      <w:bookmarkEnd w:id="103"/>
      <w:bookmarkEnd w:id="104"/>
      <w:bookmarkEnd w:id="105"/>
    </w:p>
    <w:p>
      <w:pPr>
        <w:spacing w:line="600" w:lineRule="exact"/>
        <w:ind w:firstLine="643" w:firstLineChars="200"/>
        <w:outlineLvl w:val="2"/>
        <w:rPr>
          <w:rFonts w:ascii="仿宋" w:hAnsi="仿宋"/>
        </w:rPr>
      </w:pPr>
      <w:bookmarkStart w:id="106" w:name="_Toc22166"/>
      <w:r>
        <w:rPr>
          <w:rFonts w:hint="eastAsia" w:ascii="仿宋" w:hAnsi="仿宋"/>
          <w:b/>
        </w:rPr>
        <w:t>（一）机关运行经费支出情况</w:t>
      </w:r>
      <w:bookmarkEnd w:id="106"/>
    </w:p>
    <w:p>
      <w:pPr>
        <w:spacing w:line="600" w:lineRule="exact"/>
        <w:ind w:firstLine="640" w:firstLineChars="200"/>
        <w:rPr>
          <w:rFonts w:ascii="仿宋_GB2312" w:eastAsia="仿宋_GB2312"/>
        </w:rPr>
      </w:pPr>
      <w:r>
        <w:rPr>
          <w:rFonts w:hint="eastAsia" w:ascii="仿宋" w:hAnsi="仿宋"/>
        </w:rPr>
        <w:t>2021年，四川省高级人民法院机关运行经费支出5,549.23万元，比2020年增加184.75万元，增长3.44%，主要原因是2020年疫情原因各项机关运行经费（差旅、培训等）开支较低，基数较低。</w:t>
      </w:r>
    </w:p>
    <w:p>
      <w:pPr>
        <w:autoSpaceDE w:val="0"/>
        <w:autoSpaceDN w:val="0"/>
        <w:adjustRightInd w:val="0"/>
        <w:spacing w:line="600" w:lineRule="exact"/>
        <w:ind w:firstLine="643" w:firstLineChars="200"/>
        <w:jc w:val="left"/>
        <w:outlineLvl w:val="2"/>
        <w:rPr>
          <w:rFonts w:ascii="仿宋" w:hAnsi="仿宋"/>
          <w:b/>
        </w:rPr>
      </w:pPr>
      <w:bookmarkStart w:id="107" w:name="_Toc31577"/>
      <w:r>
        <w:rPr>
          <w:rFonts w:hint="eastAsia" w:ascii="仿宋" w:hAnsi="仿宋"/>
          <w:b/>
        </w:rPr>
        <w:t>（二）政府采购支出情况</w:t>
      </w:r>
      <w:bookmarkEnd w:id="107"/>
    </w:p>
    <w:p>
      <w:pPr>
        <w:spacing w:line="600" w:lineRule="exact"/>
        <w:ind w:firstLine="640" w:firstLineChars="200"/>
        <w:rPr>
          <w:rFonts w:ascii="仿宋" w:hAnsi="仿宋"/>
        </w:rPr>
      </w:pPr>
      <w:r>
        <w:rPr>
          <w:rFonts w:hint="eastAsia" w:ascii="仿宋" w:hAnsi="仿宋"/>
        </w:rPr>
        <w:t>2021年，四川省高级人民法院政府采购支出总额5,231.86万元，其中：政府采购货物支出957.06万元、政府采购服务支出4,274.80万元。主要用于物业管理、办公设备、信息化项目等采购。授予中小企业合同金额2,304.49万元，占政府采购支出总额的44.04%。</w:t>
      </w:r>
    </w:p>
    <w:p>
      <w:pPr>
        <w:autoSpaceDE w:val="0"/>
        <w:autoSpaceDN w:val="0"/>
        <w:adjustRightInd w:val="0"/>
        <w:spacing w:line="600" w:lineRule="exact"/>
        <w:ind w:firstLine="643" w:firstLineChars="200"/>
        <w:jc w:val="left"/>
        <w:outlineLvl w:val="2"/>
        <w:rPr>
          <w:rFonts w:ascii="仿宋" w:hAnsi="仿宋"/>
          <w:b/>
        </w:rPr>
      </w:pPr>
      <w:bookmarkStart w:id="108" w:name="_Toc6652"/>
      <w:r>
        <w:rPr>
          <w:rFonts w:hint="eastAsia" w:ascii="仿宋" w:hAnsi="仿宋"/>
          <w:b/>
        </w:rPr>
        <w:t>（三）国有资产占有使用情况</w:t>
      </w:r>
      <w:bookmarkEnd w:id="108"/>
    </w:p>
    <w:p>
      <w:pPr>
        <w:spacing w:line="600" w:lineRule="exact"/>
        <w:ind w:firstLine="640" w:firstLineChars="200"/>
        <w:rPr>
          <w:rFonts w:ascii="仿宋" w:hAnsi="仿宋"/>
        </w:rPr>
      </w:pPr>
      <w:r>
        <w:rPr>
          <w:rFonts w:hint="eastAsia" w:ascii="仿宋" w:hAnsi="仿宋"/>
        </w:rPr>
        <w:t>截至2021年12月31日，四川省高级人民法院共有车辆132辆，其中：主要领导干部用车3辆、机要通信用车3辆、应急保障用车3辆、执法执勤用车105辆、特种专业技术用车10辆、离退休干部用车8辆。单价50万元以上通用设备65套。</w:t>
      </w:r>
    </w:p>
    <w:p>
      <w:pPr>
        <w:autoSpaceDE w:val="0"/>
        <w:autoSpaceDN w:val="0"/>
        <w:adjustRightInd w:val="0"/>
        <w:spacing w:line="600" w:lineRule="exact"/>
        <w:ind w:firstLine="643" w:firstLineChars="200"/>
        <w:jc w:val="left"/>
        <w:outlineLvl w:val="2"/>
        <w:rPr>
          <w:rFonts w:ascii="仿宋" w:hAnsi="仿宋"/>
          <w:b/>
        </w:rPr>
      </w:pPr>
      <w:bookmarkStart w:id="109" w:name="_Toc6209"/>
      <w:r>
        <w:rPr>
          <w:rFonts w:hint="eastAsia" w:ascii="仿宋" w:hAnsi="仿宋"/>
          <w:b/>
        </w:rPr>
        <w:t>（四）预算绩效管理情况</w:t>
      </w:r>
      <w:bookmarkEnd w:id="109"/>
    </w:p>
    <w:p>
      <w:pPr>
        <w:spacing w:line="600" w:lineRule="exact"/>
        <w:ind w:firstLine="640" w:firstLineChars="200"/>
        <w:rPr>
          <w:rFonts w:ascii="仿宋" w:hAnsi="仿宋" w:eastAsia="仿宋"/>
          <w:b/>
        </w:rPr>
      </w:pPr>
      <w:r>
        <w:rPr>
          <w:rFonts w:hint="eastAsia" w:ascii="仿宋_GB2312" w:hAnsi="仿宋_GB2312" w:eastAsia="仿宋_GB2312" w:cs="仿宋_GB2312"/>
        </w:rPr>
        <w:t>根据预算绩效管理要求，本部门在2021年度预算编制阶段，组织对四川法院政法教育整顿专项经费、案件审判经费、天府新区过渡办公运行维护经费、省法院办公用房租金、司法行政综合管理系统平台运维项目、司法救助经费、审判大楼及技术大楼其他运行经费等29个项目开展了预算事前绩效评估，并编制了绩效目标。在预算执行过程中和年终执行完毕后，按要求分别对前述29个项目开展了绩效监控和绩效自评。同时，本部门对2021年部门整体开展绩效自评，《2021年四川省高级人民法院部门整体绩效评价报告》见附件（第四部分）。</w:t>
      </w:r>
    </w:p>
    <w:p>
      <w:pPr>
        <w:rPr>
          <w:rFonts w:ascii="仿宋" w:hAnsi="仿宋"/>
          <w:b/>
        </w:rPr>
      </w:pPr>
      <w:r>
        <w:rPr>
          <w:rFonts w:ascii="仿宋" w:hAnsi="仿宋"/>
          <w:b/>
        </w:rPr>
        <w:br w:type="page"/>
      </w:r>
    </w:p>
    <w:p>
      <w:pPr>
        <w:numPr>
          <w:ilvl w:val="0"/>
          <w:numId w:val="3"/>
        </w:numPr>
        <w:spacing w:line="700" w:lineRule="exact"/>
        <w:jc w:val="center"/>
        <w:outlineLvl w:val="0"/>
        <w:rPr>
          <w:rStyle w:val="19"/>
          <w:rFonts w:ascii="黑体" w:hAnsi="黑体" w:eastAsia="黑体"/>
          <w:b w:val="0"/>
        </w:rPr>
      </w:pPr>
      <w:bookmarkStart w:id="110" w:name="_Toc2815"/>
      <w:bookmarkStart w:id="111" w:name="_Toc22931"/>
      <w:bookmarkStart w:id="112" w:name="_Toc16647"/>
      <w:bookmarkStart w:id="113" w:name="_Toc19480"/>
      <w:bookmarkStart w:id="114" w:name="_Toc14488"/>
      <w:bookmarkStart w:id="115" w:name="_Toc409"/>
      <w:r>
        <w:rPr>
          <w:rFonts w:hint="eastAsia" w:ascii="黑体" w:hAnsi="黑体" w:eastAsia="黑体"/>
          <w:sz w:val="44"/>
          <w:szCs w:val="44"/>
        </w:rPr>
        <w:t>名</w:t>
      </w:r>
      <w:r>
        <w:rPr>
          <w:rStyle w:val="19"/>
          <w:rFonts w:hint="eastAsia" w:ascii="黑体" w:hAnsi="黑体" w:eastAsia="黑体"/>
          <w:b w:val="0"/>
        </w:rPr>
        <w:t>词解释</w:t>
      </w:r>
      <w:bookmarkEnd w:id="110"/>
      <w:bookmarkEnd w:id="111"/>
      <w:bookmarkEnd w:id="112"/>
      <w:bookmarkEnd w:id="113"/>
      <w:bookmarkEnd w:id="114"/>
      <w:bookmarkEnd w:id="115"/>
    </w:p>
    <w:p>
      <w:pPr>
        <w:pStyle w:val="37"/>
        <w:spacing w:line="600" w:lineRule="exact"/>
        <w:ind w:firstLine="640" w:firstLineChars="200"/>
        <w:rPr>
          <w:rFonts w:hint="eastAsia" w:hAnsi="仿宋"/>
          <w:color w:val="auto"/>
          <w:sz w:val="32"/>
          <w:szCs w:val="32"/>
        </w:rPr>
      </w:pPr>
    </w:p>
    <w:p>
      <w:pPr>
        <w:pStyle w:val="37"/>
        <w:spacing w:line="600" w:lineRule="exact"/>
        <w:ind w:firstLine="640" w:firstLineChars="200"/>
        <w:rPr>
          <w:rFonts w:hAnsi="仿宋"/>
          <w:color w:val="auto"/>
          <w:spacing w:val="-8"/>
          <w:sz w:val="32"/>
          <w:szCs w:val="32"/>
        </w:rPr>
      </w:pPr>
      <w:r>
        <w:rPr>
          <w:rFonts w:hint="eastAsia" w:hAnsi="仿宋"/>
          <w:color w:val="auto"/>
          <w:sz w:val="32"/>
          <w:szCs w:val="32"/>
        </w:rPr>
        <w:t>1.</w:t>
      </w:r>
      <w:r>
        <w:rPr>
          <w:rFonts w:hint="eastAsia" w:hAnsi="仿宋"/>
          <w:color w:val="auto"/>
          <w:spacing w:val="-8"/>
          <w:sz w:val="32"/>
          <w:szCs w:val="32"/>
        </w:rPr>
        <w:t>财政拨款收入：指单位从同级财政部门取得的财政预算资金。</w:t>
      </w:r>
    </w:p>
    <w:p>
      <w:pPr>
        <w:pStyle w:val="37"/>
        <w:spacing w:line="600" w:lineRule="exact"/>
        <w:ind w:firstLine="640" w:firstLineChars="200"/>
        <w:rPr>
          <w:rFonts w:hAnsi="仿宋"/>
          <w:color w:val="auto"/>
          <w:sz w:val="32"/>
          <w:szCs w:val="32"/>
        </w:rPr>
      </w:pPr>
      <w:r>
        <w:rPr>
          <w:rFonts w:hint="eastAsia" w:hAnsi="仿宋"/>
          <w:color w:val="auto"/>
          <w:sz w:val="32"/>
          <w:szCs w:val="32"/>
        </w:rPr>
        <w:t>2.事业收入：指事业单位开展专业业务活动及辅助活动取得的收入。</w:t>
      </w:r>
    </w:p>
    <w:p>
      <w:pPr>
        <w:pStyle w:val="37"/>
        <w:spacing w:line="600" w:lineRule="exact"/>
        <w:ind w:firstLine="640" w:firstLineChars="200"/>
        <w:rPr>
          <w:rFonts w:hAnsi="仿宋"/>
          <w:color w:val="auto"/>
          <w:sz w:val="32"/>
          <w:szCs w:val="32"/>
        </w:rPr>
      </w:pPr>
      <w:r>
        <w:rPr>
          <w:rFonts w:hint="eastAsia" w:hAnsi="仿宋"/>
          <w:color w:val="auto"/>
          <w:sz w:val="32"/>
          <w:szCs w:val="32"/>
        </w:rPr>
        <w:t>3.经营收入：指事业单位在专业业务活动及其辅助活动之外开展非独立核算经营活动取得的收入。</w:t>
      </w:r>
    </w:p>
    <w:p>
      <w:pPr>
        <w:pStyle w:val="37"/>
        <w:spacing w:line="600" w:lineRule="exact"/>
        <w:ind w:firstLine="640" w:firstLineChars="200"/>
        <w:rPr>
          <w:rFonts w:hAnsi="仿宋"/>
          <w:color w:val="auto"/>
          <w:sz w:val="32"/>
          <w:szCs w:val="32"/>
        </w:rPr>
      </w:pPr>
      <w:r>
        <w:rPr>
          <w:rFonts w:hint="eastAsia" w:hAnsi="仿宋"/>
          <w:color w:val="auto"/>
          <w:sz w:val="32"/>
          <w:szCs w:val="32"/>
        </w:rPr>
        <w:t xml:space="preserve">4.其他收入：指单位取得的除上述收入以外的各项收入，主要是最高院下达的大要案经费等。 </w:t>
      </w:r>
    </w:p>
    <w:p>
      <w:pPr>
        <w:pStyle w:val="37"/>
        <w:spacing w:line="600" w:lineRule="exact"/>
        <w:ind w:firstLine="640" w:firstLineChars="200"/>
        <w:rPr>
          <w:rFonts w:hAnsi="仿宋"/>
          <w:color w:val="auto"/>
          <w:sz w:val="32"/>
          <w:szCs w:val="32"/>
        </w:rPr>
      </w:pPr>
      <w:r>
        <w:rPr>
          <w:rFonts w:hint="eastAsia" w:hAnsi="仿宋"/>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37"/>
        <w:spacing w:line="600" w:lineRule="exact"/>
        <w:ind w:firstLine="640" w:firstLineChars="200"/>
        <w:rPr>
          <w:rFonts w:hAnsi="仿宋"/>
          <w:color w:val="auto"/>
          <w:sz w:val="32"/>
          <w:szCs w:val="32"/>
        </w:rPr>
      </w:pPr>
      <w:r>
        <w:rPr>
          <w:rFonts w:hint="eastAsia" w:hAnsi="仿宋"/>
          <w:color w:val="auto"/>
          <w:sz w:val="32"/>
          <w:szCs w:val="32"/>
        </w:rPr>
        <w:t xml:space="preserve">6.年初结转和结余：指以前年度尚未完成、结转到本年按有关规定继续使用的资金。 </w:t>
      </w:r>
    </w:p>
    <w:p>
      <w:pPr>
        <w:pStyle w:val="37"/>
        <w:spacing w:line="600" w:lineRule="exact"/>
        <w:ind w:firstLine="640" w:firstLineChars="200"/>
        <w:rPr>
          <w:rFonts w:hAnsi="仿宋"/>
          <w:color w:val="auto"/>
          <w:sz w:val="32"/>
          <w:szCs w:val="32"/>
        </w:rPr>
      </w:pPr>
      <w:r>
        <w:rPr>
          <w:rFonts w:hint="eastAsia" w:hAnsi="仿宋"/>
          <w:color w:val="auto"/>
          <w:sz w:val="32"/>
          <w:szCs w:val="32"/>
        </w:rPr>
        <w:t>7.结余分配：指事业单位按照事业单位会计制度的规定从非财政补助结余中分配的事业基金和职工福利基金等。</w:t>
      </w:r>
    </w:p>
    <w:p>
      <w:pPr>
        <w:pStyle w:val="37"/>
        <w:spacing w:line="600" w:lineRule="exact"/>
        <w:ind w:firstLine="640" w:firstLineChars="200"/>
        <w:rPr>
          <w:rFonts w:hAnsi="仿宋"/>
          <w:color w:val="auto"/>
          <w:sz w:val="32"/>
          <w:szCs w:val="32"/>
        </w:rPr>
      </w:pPr>
      <w:r>
        <w:rPr>
          <w:rFonts w:hint="eastAsia" w:hAnsi="仿宋"/>
          <w:color w:val="auto"/>
          <w:sz w:val="32"/>
          <w:szCs w:val="32"/>
        </w:rPr>
        <w:t>8.年末结转和结余：指单位按有关规定结转到下年或以后年度继续使用的资金。</w:t>
      </w:r>
    </w:p>
    <w:p>
      <w:pPr>
        <w:spacing w:line="600" w:lineRule="exact"/>
        <w:ind w:firstLine="640" w:firstLineChars="200"/>
        <w:rPr>
          <w:rFonts w:ascii="仿宋" w:hAnsi="仿宋" w:cs="仿宋"/>
          <w:kern w:val="0"/>
        </w:rPr>
      </w:pPr>
      <w:r>
        <w:rPr>
          <w:rFonts w:hint="eastAsia" w:ascii="仿宋" w:hAnsi="仿宋" w:cs="仿宋"/>
          <w:kern w:val="0"/>
        </w:rPr>
        <w:t>9.行政运行：反映行政单位（包括实行公务员管理的事业单位）的基本支出。</w:t>
      </w:r>
    </w:p>
    <w:p>
      <w:pPr>
        <w:spacing w:line="600" w:lineRule="exact"/>
        <w:ind w:firstLine="640" w:firstLineChars="200"/>
        <w:rPr>
          <w:rFonts w:ascii="仿宋" w:hAnsi="仿宋" w:cs="仿宋"/>
          <w:kern w:val="0"/>
        </w:rPr>
      </w:pPr>
      <w:r>
        <w:rPr>
          <w:rFonts w:hint="eastAsia" w:ascii="仿宋" w:hAnsi="仿宋" w:cs="仿宋"/>
          <w:kern w:val="0"/>
        </w:rPr>
        <w:t>10.一般行政管理事务：反映行政单位（包括实行公务员管理的事业单位）未单独设置项级科目的其他项目支出。</w:t>
      </w:r>
    </w:p>
    <w:p>
      <w:pPr>
        <w:spacing w:line="600" w:lineRule="exact"/>
        <w:ind w:firstLine="640" w:firstLineChars="200"/>
        <w:rPr>
          <w:rFonts w:ascii="仿宋" w:hAnsi="仿宋" w:cs="仿宋"/>
          <w:kern w:val="0"/>
        </w:rPr>
      </w:pPr>
      <w:r>
        <w:rPr>
          <w:rFonts w:hint="eastAsia" w:ascii="仿宋" w:hAnsi="仿宋" w:cs="仿宋"/>
          <w:kern w:val="0"/>
        </w:rPr>
        <w:t>11.机关服务：反映为行政单位（包括实行公务员管理的事业单位）提供后勤服务的各类后勤服务中心。</w:t>
      </w:r>
    </w:p>
    <w:p>
      <w:pPr>
        <w:spacing w:line="600" w:lineRule="exact"/>
        <w:ind w:firstLine="640" w:firstLineChars="200"/>
        <w:rPr>
          <w:rFonts w:ascii="仿宋" w:hAnsi="仿宋" w:cs="仿宋"/>
          <w:kern w:val="0"/>
        </w:rPr>
      </w:pPr>
      <w:r>
        <w:rPr>
          <w:rFonts w:hint="eastAsia" w:ascii="仿宋" w:hAnsi="仿宋" w:cs="仿宋"/>
          <w:kern w:val="0"/>
        </w:rPr>
        <w:t>12.案件审判：反映人民法院对刑事、民事、行政、涉外等案件审判活动的支出。</w:t>
      </w:r>
    </w:p>
    <w:p>
      <w:pPr>
        <w:spacing w:line="600" w:lineRule="exact"/>
        <w:ind w:firstLine="640" w:firstLineChars="200"/>
        <w:rPr>
          <w:rFonts w:ascii="仿宋" w:hAnsi="仿宋" w:cs="仿宋"/>
          <w:kern w:val="0"/>
        </w:rPr>
      </w:pPr>
      <w:r>
        <w:rPr>
          <w:rFonts w:hint="eastAsia" w:ascii="仿宋" w:hAnsi="仿宋" w:cs="仿宋"/>
          <w:kern w:val="0"/>
        </w:rPr>
        <w:t>13.案件执行：反映人民法院对刑事、民事、行政、涉外等案件执行活动和对各种非诉讼执行活动的支出。</w:t>
      </w:r>
    </w:p>
    <w:p>
      <w:pPr>
        <w:spacing w:line="600" w:lineRule="exact"/>
        <w:ind w:firstLine="640" w:firstLineChars="200"/>
        <w:rPr>
          <w:rFonts w:ascii="仿宋" w:hAnsi="仿宋" w:cs="仿宋"/>
          <w:kern w:val="0"/>
        </w:rPr>
      </w:pPr>
      <w:r>
        <w:rPr>
          <w:rFonts w:hint="eastAsia" w:ascii="仿宋" w:hAnsi="仿宋" w:cs="仿宋"/>
          <w:kern w:val="0"/>
        </w:rPr>
        <w:t>14.“两庭”建设：反映人民法院办公用房、审判用房、刑场建设维修和设备购置，以及审判安全监控设备购置及运行管理等支出。</w:t>
      </w:r>
    </w:p>
    <w:p>
      <w:pPr>
        <w:spacing w:line="600" w:lineRule="exact"/>
        <w:ind w:firstLine="640" w:firstLineChars="200"/>
        <w:rPr>
          <w:rFonts w:ascii="仿宋" w:hAnsi="仿宋" w:cs="仿宋"/>
          <w:kern w:val="0"/>
        </w:rPr>
      </w:pPr>
      <w:r>
        <w:rPr>
          <w:rFonts w:hint="eastAsia" w:ascii="仿宋" w:hAnsi="仿宋" w:cs="仿宋"/>
          <w:kern w:val="0"/>
        </w:rPr>
        <w:t>15.事业运行：反映除为行政单位（包括实行公务员管理的事业单位）提供后勤保障的各类后勤服务中心、医务室等附属事业单位以外的其他事业单位基本支出。</w:t>
      </w:r>
    </w:p>
    <w:p>
      <w:pPr>
        <w:spacing w:line="600" w:lineRule="exact"/>
        <w:ind w:firstLine="640" w:firstLineChars="200"/>
        <w:rPr>
          <w:rFonts w:ascii="仿宋" w:hAnsi="仿宋" w:cs="仿宋"/>
          <w:kern w:val="0"/>
        </w:rPr>
      </w:pPr>
      <w:r>
        <w:rPr>
          <w:rFonts w:hint="eastAsia" w:ascii="仿宋" w:hAnsi="仿宋" w:cs="仿宋"/>
          <w:kern w:val="0"/>
        </w:rPr>
        <w:t>16.其他法院支出：反映除以上项目以外其他用于法院方面的支出。</w:t>
      </w:r>
    </w:p>
    <w:p>
      <w:pPr>
        <w:spacing w:line="600" w:lineRule="exact"/>
        <w:ind w:firstLine="640" w:firstLineChars="200"/>
        <w:rPr>
          <w:rFonts w:ascii="仿宋" w:hAnsi="仿宋" w:cs="仿宋"/>
          <w:kern w:val="0"/>
        </w:rPr>
      </w:pPr>
      <w:r>
        <w:rPr>
          <w:rFonts w:hint="eastAsia" w:ascii="仿宋" w:hAnsi="仿宋" w:cs="仿宋"/>
          <w:kern w:val="0"/>
        </w:rPr>
        <w:t>17.其他公共安全支出：反映除以上项目以外其他用于公共安全方面的支出。</w:t>
      </w:r>
    </w:p>
    <w:p>
      <w:pPr>
        <w:spacing w:line="600" w:lineRule="exact"/>
        <w:ind w:firstLine="640" w:firstLineChars="200"/>
        <w:rPr>
          <w:rFonts w:ascii="仿宋" w:hAnsi="仿宋" w:cs="仿宋"/>
          <w:kern w:val="0"/>
        </w:rPr>
      </w:pPr>
      <w:r>
        <w:rPr>
          <w:rFonts w:hint="eastAsia" w:ascii="仿宋" w:hAnsi="仿宋" w:cs="仿宋"/>
          <w:kern w:val="0"/>
        </w:rPr>
        <w:t>18.其他基础研究支出：反映其他用于基础研究类的支出。</w:t>
      </w:r>
    </w:p>
    <w:p>
      <w:pPr>
        <w:spacing w:line="600" w:lineRule="exact"/>
        <w:ind w:firstLine="640" w:firstLineChars="200"/>
        <w:rPr>
          <w:rFonts w:ascii="仿宋" w:hAnsi="仿宋" w:cs="仿宋"/>
          <w:kern w:val="0"/>
        </w:rPr>
      </w:pPr>
      <w:r>
        <w:rPr>
          <w:rFonts w:hint="eastAsia" w:ascii="仿宋" w:hAnsi="仿宋" w:cs="仿宋"/>
          <w:kern w:val="0"/>
        </w:rPr>
        <w:t>19.未归口管理行政单位离退休：反映实行未归口管理的行政单位开支的离退休支出。</w:t>
      </w:r>
    </w:p>
    <w:p>
      <w:pPr>
        <w:widowControl/>
        <w:spacing w:line="600" w:lineRule="exact"/>
        <w:ind w:firstLine="640" w:firstLineChars="200"/>
        <w:rPr>
          <w:rFonts w:ascii="仿宋" w:hAnsi="仿宋" w:cs="仿宋"/>
          <w:kern w:val="0"/>
        </w:rPr>
      </w:pPr>
      <w:r>
        <w:rPr>
          <w:rFonts w:hint="eastAsia" w:ascii="仿宋" w:hAnsi="仿宋" w:cs="仿宋"/>
          <w:kern w:val="0"/>
        </w:rPr>
        <w:t>20.机关事业单位基本养老保险缴费支出：反映机关事业单位实施养老保险制度由单位缴纳的基本养老保险费支出。</w:t>
      </w:r>
    </w:p>
    <w:p>
      <w:pPr>
        <w:widowControl/>
        <w:spacing w:line="600" w:lineRule="exact"/>
        <w:ind w:firstLine="640" w:firstLineChars="200"/>
        <w:rPr>
          <w:rFonts w:ascii="仿宋" w:hAnsi="仿宋" w:cs="仿宋"/>
          <w:kern w:val="0"/>
        </w:rPr>
      </w:pPr>
      <w:r>
        <w:rPr>
          <w:rFonts w:hint="eastAsia" w:ascii="仿宋" w:hAnsi="仿宋" w:cs="仿宋"/>
          <w:kern w:val="0"/>
        </w:rPr>
        <w:t>21.机关事业单位职业年金缴费支出：反映机关事业单位实施养老保险制度由单位实际缴纳的职业年金支出。</w:t>
      </w:r>
    </w:p>
    <w:p>
      <w:pPr>
        <w:widowControl/>
        <w:spacing w:line="600" w:lineRule="exact"/>
        <w:ind w:firstLine="640" w:firstLineChars="200"/>
        <w:rPr>
          <w:rFonts w:ascii="仿宋" w:hAnsi="仿宋" w:cs="仿宋"/>
          <w:kern w:val="0"/>
        </w:rPr>
      </w:pPr>
      <w:r>
        <w:rPr>
          <w:rFonts w:hint="eastAsia" w:ascii="仿宋" w:hAnsi="仿宋" w:cs="仿宋"/>
          <w:kern w:val="0"/>
        </w:rPr>
        <w:t>22.死亡抚恤：指按规定用于烈士牺牲、病故人员家属的一次性和定期抚恤金及丧葬补助费。</w:t>
      </w:r>
    </w:p>
    <w:p>
      <w:pPr>
        <w:widowControl/>
        <w:spacing w:line="600" w:lineRule="exact"/>
        <w:ind w:firstLine="640" w:firstLineChars="200"/>
        <w:rPr>
          <w:rFonts w:ascii="仿宋" w:hAnsi="仿宋" w:cs="仿宋"/>
          <w:kern w:val="0"/>
        </w:rPr>
      </w:pPr>
      <w:r>
        <w:rPr>
          <w:rFonts w:hint="eastAsia" w:ascii="仿宋" w:hAnsi="仿宋" w:cs="仿宋"/>
          <w:kern w:val="0"/>
        </w:rPr>
        <w:t>23.其他社会保障和就业支出：反映除以上项目外其他用于社会保障和就业方面的支出。</w:t>
      </w:r>
    </w:p>
    <w:p>
      <w:pPr>
        <w:widowControl/>
        <w:spacing w:line="600" w:lineRule="exact"/>
        <w:ind w:firstLine="640" w:firstLineChars="200"/>
        <w:rPr>
          <w:rFonts w:ascii="仿宋" w:hAnsi="仿宋" w:cs="仿宋"/>
          <w:kern w:val="0"/>
        </w:rPr>
      </w:pPr>
      <w:r>
        <w:rPr>
          <w:rFonts w:hint="eastAsia" w:ascii="仿宋" w:hAnsi="仿宋" w:cs="仿宋"/>
          <w:kern w:val="0"/>
        </w:rPr>
        <w:t>24.行政单位医疗支出：反映财政部门集中安排的行政单位基本医疗保险缴费经费，未参加医疗保险的行政单位的公费医疗经费，按国家规定享受离休人员、红军老战士待遇人员的医疗经费。</w:t>
      </w:r>
    </w:p>
    <w:p>
      <w:pPr>
        <w:widowControl/>
        <w:spacing w:line="600" w:lineRule="exact"/>
        <w:ind w:firstLine="640" w:firstLineChars="200"/>
        <w:rPr>
          <w:rFonts w:ascii="仿宋" w:hAnsi="仿宋" w:cs="仿宋"/>
          <w:kern w:val="0"/>
        </w:rPr>
      </w:pPr>
      <w:r>
        <w:rPr>
          <w:rFonts w:hint="eastAsia" w:ascii="仿宋" w:hAnsi="仿宋" w:cs="仿宋"/>
          <w:kern w:val="0"/>
        </w:rPr>
        <w:t>25.事业单位医疗支出：反映财政部门集中安排的事业单位基本医疗保险缴费经费，未参加医疗保险的事业单位的公费医疗经费，按国家规定享受离休人员待遇人员的医疗经费。</w:t>
      </w:r>
    </w:p>
    <w:p>
      <w:pPr>
        <w:widowControl/>
        <w:spacing w:line="600" w:lineRule="exact"/>
        <w:ind w:firstLine="640" w:firstLineChars="200"/>
        <w:rPr>
          <w:rFonts w:ascii="仿宋" w:hAnsi="仿宋" w:cs="仿宋"/>
          <w:kern w:val="0"/>
        </w:rPr>
      </w:pPr>
      <w:r>
        <w:rPr>
          <w:rFonts w:hint="eastAsia" w:ascii="仿宋" w:hAnsi="仿宋" w:cs="仿宋"/>
          <w:kern w:val="0"/>
        </w:rPr>
        <w:t>26.公务员医疗补助支出：反映财政部门集中安排的公务员医疗补助经费。</w:t>
      </w:r>
    </w:p>
    <w:p>
      <w:pPr>
        <w:widowControl/>
        <w:spacing w:line="600" w:lineRule="exact"/>
        <w:ind w:firstLine="640" w:firstLineChars="200"/>
        <w:rPr>
          <w:rFonts w:ascii="仿宋" w:hAnsi="仿宋" w:cs="仿宋"/>
          <w:kern w:val="0"/>
        </w:rPr>
      </w:pPr>
      <w:r>
        <w:rPr>
          <w:rFonts w:hint="eastAsia" w:ascii="仿宋" w:hAnsi="仿宋" w:cs="仿宋"/>
          <w:kern w:val="0"/>
        </w:rPr>
        <w:t>27.住房公积金支出：反映行政事业单位按人事部和财政部规定的基本工资和津贴补贴以及规定比例为职工缴纳的住房公积金。</w:t>
      </w:r>
    </w:p>
    <w:p>
      <w:pPr>
        <w:widowControl/>
        <w:spacing w:line="600" w:lineRule="exact"/>
        <w:ind w:firstLine="640" w:firstLineChars="200"/>
        <w:rPr>
          <w:rFonts w:ascii="仿宋" w:hAnsi="仿宋" w:cs="仿宋"/>
          <w:kern w:val="0"/>
        </w:rPr>
      </w:pPr>
      <w:r>
        <w:rPr>
          <w:rFonts w:hint="eastAsia" w:ascii="仿宋" w:hAnsi="仿宋" w:cs="仿宋"/>
          <w:kern w:val="0"/>
        </w:rPr>
        <w:t>28.购房补贴支出：反映按房改政策规定的标准，行政事业单位向职工（含离退休人员）发放的租金补贴。</w:t>
      </w:r>
    </w:p>
    <w:p>
      <w:pPr>
        <w:spacing w:line="600" w:lineRule="exact"/>
        <w:ind w:firstLine="640" w:firstLineChars="200"/>
        <w:rPr>
          <w:rFonts w:ascii="仿宋" w:hAnsi="仿宋" w:cs="仿宋"/>
          <w:kern w:val="0"/>
        </w:rPr>
      </w:pPr>
      <w:r>
        <w:rPr>
          <w:rFonts w:hint="eastAsia" w:ascii="仿宋" w:hAnsi="仿宋" w:cs="仿宋"/>
          <w:kern w:val="0"/>
        </w:rPr>
        <w:t>29.基本支出：指为保障机构正常运转、完成日常工作任务而发生的人员支出和公用支出。</w:t>
      </w:r>
    </w:p>
    <w:p>
      <w:pPr>
        <w:spacing w:line="600" w:lineRule="exact"/>
        <w:ind w:firstLine="640" w:firstLineChars="200"/>
        <w:rPr>
          <w:rFonts w:ascii="仿宋" w:hAnsi="仿宋" w:cs="仿宋"/>
          <w:kern w:val="0"/>
        </w:rPr>
      </w:pPr>
      <w:r>
        <w:rPr>
          <w:rFonts w:hint="eastAsia" w:ascii="仿宋" w:hAnsi="仿宋" w:cs="仿宋"/>
          <w:kern w:val="0"/>
        </w:rPr>
        <w:t xml:space="preserve">30.项目支出：指在基本支出之外为完成特定行政任务和事业发展目标所发生的支出。 </w:t>
      </w:r>
    </w:p>
    <w:p>
      <w:pPr>
        <w:spacing w:line="600" w:lineRule="exact"/>
        <w:ind w:firstLine="640" w:firstLineChars="200"/>
        <w:rPr>
          <w:rFonts w:ascii="仿宋" w:hAnsi="仿宋" w:cs="仿宋"/>
          <w:kern w:val="0"/>
        </w:rPr>
      </w:pPr>
      <w:r>
        <w:rPr>
          <w:rFonts w:hint="eastAsia" w:ascii="仿宋" w:hAnsi="仿宋" w:cs="仿宋"/>
          <w:kern w:val="0"/>
        </w:rPr>
        <w:t>31.经营支出：指事业单位在专业业务活动及其辅助活动之外开展非独立核算经营活动发生的支出。</w:t>
      </w:r>
    </w:p>
    <w:p>
      <w:pPr>
        <w:pStyle w:val="37"/>
        <w:spacing w:line="600" w:lineRule="exact"/>
        <w:ind w:firstLine="640" w:firstLineChars="200"/>
        <w:rPr>
          <w:rFonts w:hAnsi="仿宋"/>
          <w:color w:val="auto"/>
          <w:sz w:val="32"/>
          <w:szCs w:val="32"/>
        </w:rPr>
      </w:pPr>
      <w:r>
        <w:rPr>
          <w:rFonts w:hint="eastAsia" w:hAnsi="仿宋"/>
          <w:color w:val="auto"/>
          <w:sz w:val="32"/>
          <w:szCs w:val="32"/>
        </w:rPr>
        <w:t>32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7"/>
        <w:spacing w:line="600" w:lineRule="exact"/>
        <w:ind w:firstLine="640" w:firstLineChars="200"/>
        <w:rPr>
          <w:rFonts w:hAnsi="仿宋"/>
          <w:color w:val="auto"/>
          <w:sz w:val="32"/>
          <w:szCs w:val="32"/>
        </w:rPr>
      </w:pPr>
      <w:r>
        <w:rPr>
          <w:rFonts w:hint="eastAsia" w:hAnsi="仿宋"/>
          <w:color w:val="auto"/>
          <w:sz w:val="32"/>
          <w:szCs w:val="32"/>
        </w:rPr>
        <w:t>33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bookmarkStart w:id="116" w:name="_Toc6093"/>
      <w:bookmarkStart w:id="117" w:name="_Toc21269"/>
    </w:p>
    <w:p>
      <w:pPr>
        <w:spacing w:before="72"/>
      </w:pPr>
      <w:r>
        <w:br w:type="page"/>
      </w:r>
    </w:p>
    <w:p>
      <w:pPr>
        <w:pStyle w:val="2"/>
        <w:spacing w:before="72"/>
      </w:pPr>
    </w:p>
    <w:p>
      <w:pPr>
        <w:numPr>
          <w:ilvl w:val="0"/>
          <w:numId w:val="3"/>
        </w:numPr>
        <w:spacing w:line="600" w:lineRule="exact"/>
        <w:ind w:firstLine="660" w:firstLineChars="150"/>
        <w:jc w:val="center"/>
        <w:outlineLvl w:val="0"/>
        <w:rPr>
          <w:rFonts w:ascii="黑体" w:hAnsi="黑体" w:eastAsia="黑体"/>
          <w:sz w:val="44"/>
          <w:szCs w:val="44"/>
        </w:rPr>
      </w:pPr>
      <w:bookmarkStart w:id="118" w:name="_Toc7100"/>
      <w:bookmarkStart w:id="119" w:name="_Toc10509"/>
      <w:bookmarkStart w:id="120" w:name="_Toc15798"/>
      <w:bookmarkStart w:id="121" w:name="_Toc11533"/>
      <w:r>
        <w:rPr>
          <w:rFonts w:hint="eastAsia" w:ascii="黑体" w:hAnsi="黑体" w:eastAsia="黑体"/>
          <w:sz w:val="44"/>
          <w:szCs w:val="44"/>
        </w:rPr>
        <w:t>附件</w:t>
      </w:r>
      <w:bookmarkEnd w:id="116"/>
      <w:bookmarkEnd w:id="117"/>
      <w:bookmarkEnd w:id="118"/>
      <w:bookmarkEnd w:id="119"/>
      <w:bookmarkEnd w:id="120"/>
      <w:bookmarkEnd w:id="121"/>
    </w:p>
    <w:p>
      <w:pPr>
        <w:spacing w:line="700" w:lineRule="exact"/>
        <w:jc w:val="center"/>
        <w:rPr>
          <w:rFonts w:ascii="方正小标宋简体" w:hAnsi="宋体" w:eastAsia="方正小标宋简体"/>
          <w:spacing w:val="6"/>
          <w:sz w:val="44"/>
          <w:szCs w:val="44"/>
        </w:rPr>
      </w:pPr>
    </w:p>
    <w:p>
      <w:pPr>
        <w:spacing w:line="700" w:lineRule="exact"/>
        <w:jc w:val="center"/>
        <w:rPr>
          <w:rFonts w:ascii="方正小标宋简体" w:hAnsi="宋体" w:eastAsia="方正小标宋简体"/>
          <w:spacing w:val="6"/>
          <w:sz w:val="44"/>
          <w:szCs w:val="44"/>
        </w:rPr>
      </w:pPr>
      <w:r>
        <w:rPr>
          <w:rFonts w:hint="eastAsia" w:ascii="方正小标宋简体" w:hAnsi="宋体" w:eastAsia="方正小标宋简体"/>
          <w:spacing w:val="6"/>
          <w:sz w:val="44"/>
          <w:szCs w:val="44"/>
        </w:rPr>
        <w:t>四川省高级人民法院</w:t>
      </w:r>
    </w:p>
    <w:p>
      <w:pPr>
        <w:spacing w:line="700" w:lineRule="exact"/>
        <w:jc w:val="center"/>
        <w:rPr>
          <w:rFonts w:ascii="方正小标宋简体" w:hAnsi="宋体" w:eastAsia="方正小标宋简体"/>
          <w:spacing w:val="6"/>
          <w:sz w:val="44"/>
          <w:szCs w:val="44"/>
        </w:rPr>
      </w:pPr>
      <w:r>
        <w:rPr>
          <w:rFonts w:hint="eastAsia" w:ascii="方正小标宋简体" w:hAnsi="宋体" w:eastAsia="方正小标宋简体"/>
          <w:spacing w:val="6"/>
          <w:sz w:val="44"/>
          <w:szCs w:val="44"/>
        </w:rPr>
        <w:t>2021年部门整体支出绩效评价报告</w:t>
      </w:r>
    </w:p>
    <w:p>
      <w:pPr>
        <w:pStyle w:val="2"/>
        <w:spacing w:before="72"/>
      </w:pPr>
    </w:p>
    <w:p>
      <w:pPr>
        <w:tabs>
          <w:tab w:val="left" w:pos="3885"/>
        </w:tabs>
        <w:spacing w:line="600" w:lineRule="exact"/>
        <w:ind w:firstLine="664" w:firstLineChars="200"/>
        <w:rPr>
          <w:rFonts w:ascii="黑体" w:hAnsi="宋体" w:eastAsia="黑体"/>
          <w:spacing w:val="6"/>
          <w:szCs w:val="21"/>
        </w:rPr>
      </w:pPr>
      <w:r>
        <w:rPr>
          <w:rFonts w:hint="eastAsia" w:ascii="黑体" w:hAnsi="宋体" w:eastAsia="黑体" w:cs="宋体"/>
          <w:color w:val="000000"/>
          <w:spacing w:val="6"/>
          <w:kern w:val="0"/>
          <w:shd w:val="clear" w:color="auto" w:fill="FFFFFF"/>
        </w:rPr>
        <w:t>一、部门（单位）概况</w:t>
      </w:r>
    </w:p>
    <w:p>
      <w:pPr>
        <w:widowControl/>
        <w:spacing w:line="600" w:lineRule="exact"/>
        <w:ind w:firstLine="664" w:firstLineChars="200"/>
        <w:contextualSpacing/>
        <w:rPr>
          <w:rFonts w:ascii="楷体_GB2312" w:hAnsi="楷体_GB2312" w:eastAsia="楷体_GB2312" w:cs="楷体_GB2312"/>
          <w:color w:val="000000"/>
          <w:spacing w:val="6"/>
          <w:kern w:val="0"/>
          <w:shd w:val="clear" w:color="auto" w:fill="FFFFFF"/>
          <w:lang w:val="zh-CN"/>
        </w:rPr>
      </w:pPr>
      <w:r>
        <w:rPr>
          <w:rFonts w:hint="eastAsia" w:ascii="楷体_GB2312" w:hAnsi="楷体_GB2312" w:eastAsia="楷体_GB2312" w:cs="楷体_GB2312"/>
          <w:color w:val="000000"/>
          <w:spacing w:val="6"/>
          <w:kern w:val="0"/>
          <w:shd w:val="clear" w:color="auto" w:fill="FFFFFF"/>
          <w:lang w:val="zh-CN"/>
        </w:rPr>
        <w:t>（一）机构组成</w:t>
      </w:r>
    </w:p>
    <w:p>
      <w:pPr>
        <w:widowControl/>
        <w:spacing w:line="600" w:lineRule="exact"/>
        <w:ind w:firstLine="664" w:firstLineChars="200"/>
        <w:contextualSpacing/>
        <w:rPr>
          <w:rFonts w:ascii="仿宋" w:hAnsi="仿宋" w:cs="仿宋"/>
          <w:spacing w:val="6"/>
        </w:rPr>
      </w:pPr>
      <w:r>
        <w:rPr>
          <w:rFonts w:hint="eastAsia" w:ascii="仿宋" w:hAnsi="仿宋" w:cs="仿宋"/>
          <w:color w:val="000000"/>
          <w:spacing w:val="6"/>
          <w:kern w:val="0"/>
          <w:shd w:val="clear" w:color="auto" w:fill="FFFFFF"/>
          <w:lang w:val="zh-CN"/>
        </w:rPr>
        <w:t>从预算管理级次来看，四川省高级人民法院（以下简称“省法院”）为一级预算单位，辖省法院机关、省法院机关服务中心、</w:t>
      </w:r>
      <w:r>
        <w:rPr>
          <w:rFonts w:hint="eastAsia" w:ascii="仿宋" w:hAnsi="仿宋"/>
          <w:bCs/>
          <w:sz w:val="32"/>
          <w:szCs w:val="32"/>
          <w:lang w:eastAsia="zh-CN"/>
        </w:rPr>
        <w:t>省法院装财处</w:t>
      </w:r>
      <w:r>
        <w:rPr>
          <w:rFonts w:hint="eastAsia" w:ascii="仿宋" w:hAnsi="仿宋" w:cs="仿宋"/>
          <w:color w:val="000000"/>
          <w:spacing w:val="6"/>
          <w:kern w:val="0"/>
          <w:shd w:val="clear" w:color="auto" w:fill="FFFFFF"/>
          <w:lang w:val="zh-CN"/>
        </w:rPr>
        <w:t>、四川法官学院和成都铁路运输中级法院（以下简称“成铁中院”）</w:t>
      </w:r>
      <w:r>
        <w:rPr>
          <w:rFonts w:hint="eastAsia" w:ascii="仿宋" w:hAnsi="仿宋" w:cs="仿宋"/>
          <w:color w:val="000000"/>
          <w:spacing w:val="6"/>
          <w:kern w:val="0"/>
          <w:shd w:val="clear" w:color="auto" w:fill="FFFFFF"/>
          <w:lang w:val="en-US" w:eastAsia="zh-CN"/>
        </w:rPr>
        <w:t>5</w:t>
      </w:r>
      <w:r>
        <w:rPr>
          <w:rFonts w:hint="eastAsia" w:ascii="仿宋" w:hAnsi="仿宋" w:cs="仿宋"/>
          <w:color w:val="000000"/>
          <w:spacing w:val="6"/>
          <w:kern w:val="0"/>
          <w:shd w:val="clear" w:color="auto" w:fill="FFFFFF"/>
          <w:lang w:val="zh-CN"/>
        </w:rPr>
        <w:t>个二级预算单位。其中，成铁中院下辖成铁中院机关、成都铁路运输第一法院（以下简称“成铁一院”）和成都铁路运输第二法院（以下简称“成铁二院”）3个三级预算单位。从实体运行单位情况来看，省法院共有行政预算单位</w:t>
      </w:r>
      <w:r>
        <w:rPr>
          <w:rFonts w:hint="eastAsia" w:ascii="仿宋" w:hAnsi="仿宋" w:cs="仿宋"/>
          <w:color w:val="000000"/>
          <w:spacing w:val="6"/>
          <w:kern w:val="0"/>
          <w:shd w:val="clear" w:color="auto" w:fill="FFFFFF"/>
          <w:lang w:val="en-US" w:eastAsia="zh-CN"/>
        </w:rPr>
        <w:t>5</w:t>
      </w:r>
      <w:r>
        <w:rPr>
          <w:rFonts w:hint="eastAsia" w:ascii="仿宋" w:hAnsi="仿宋" w:cs="仿宋"/>
          <w:color w:val="000000"/>
          <w:spacing w:val="6"/>
          <w:kern w:val="0"/>
          <w:shd w:val="clear" w:color="auto" w:fill="FFFFFF"/>
          <w:lang w:val="zh-CN"/>
        </w:rPr>
        <w:t>个、事业预算单位2个。除省法院机关服务中心外，其余均为独立核算单位。</w:t>
      </w:r>
    </w:p>
    <w:p>
      <w:pPr>
        <w:widowControl/>
        <w:spacing w:line="600" w:lineRule="exact"/>
        <w:ind w:firstLine="664" w:firstLineChars="200"/>
        <w:contextualSpacing/>
        <w:rPr>
          <w:rFonts w:ascii="楷体_GB2312" w:hAnsi="楷体_GB2312" w:eastAsia="楷体_GB2312" w:cs="楷体_GB2312"/>
          <w:color w:val="000000"/>
          <w:spacing w:val="6"/>
          <w:kern w:val="0"/>
          <w:shd w:val="clear" w:color="auto" w:fill="FFFFFF"/>
          <w:lang w:val="zh-CN"/>
        </w:rPr>
      </w:pPr>
      <w:r>
        <w:rPr>
          <w:rFonts w:hint="eastAsia" w:ascii="楷体_GB2312" w:hAnsi="楷体_GB2312" w:eastAsia="楷体_GB2312" w:cs="楷体_GB2312"/>
          <w:color w:val="000000"/>
          <w:spacing w:val="6"/>
          <w:kern w:val="0"/>
          <w:shd w:val="clear" w:color="auto" w:fill="FFFFFF"/>
          <w:lang w:val="zh-CN"/>
        </w:rPr>
        <w:t>（二）机构职能</w:t>
      </w:r>
    </w:p>
    <w:p>
      <w:pPr>
        <w:spacing w:line="600" w:lineRule="exact"/>
        <w:ind w:firstLine="664" w:firstLineChars="200"/>
        <w:rPr>
          <w:rFonts w:ascii="仿宋" w:hAnsi="仿宋" w:cs="仿宋"/>
          <w:spacing w:val="6"/>
        </w:rPr>
      </w:pPr>
      <w:r>
        <w:rPr>
          <w:rFonts w:hint="eastAsia" w:ascii="仿宋" w:hAnsi="仿宋" w:cs="仿宋"/>
          <w:color w:val="000000"/>
          <w:spacing w:val="6"/>
          <w:kern w:val="0"/>
          <w:shd w:val="clear" w:color="auto" w:fill="FFFFFF"/>
          <w:lang w:val="zh-CN"/>
        </w:rPr>
        <w:t>根据《中华人民共和国宪法》和《中华人民共和国人民法院组织法》规定，我院作为国家审判机关，对四川省人民代表大会及其常务委员会负责，并接受其监督，同时接受最高人民法院指导。我院的主要职能是审判各类诉讼案件，惩治罪犯，保障人权，解决纠纷，调整社会关系，维护社会秩序，保卫国家制度和利益，保护公民、法人和其他组织的合法权益，并通过审判活动教育公民忠于祖国，自觉遵守宪法和法律。</w:t>
      </w:r>
    </w:p>
    <w:p>
      <w:pPr>
        <w:widowControl/>
        <w:spacing w:line="600" w:lineRule="exact"/>
        <w:ind w:firstLine="664" w:firstLineChars="200"/>
        <w:contextualSpacing/>
        <w:rPr>
          <w:rFonts w:ascii="仿宋_GB2312" w:hAnsi="宋体" w:eastAsia="仿宋_GB2312" w:cs="宋体"/>
          <w:color w:val="000000"/>
          <w:spacing w:val="6"/>
          <w:kern w:val="0"/>
          <w:shd w:val="clear" w:color="auto" w:fill="FFFFFF"/>
          <w:lang w:val="zh-CN"/>
        </w:rPr>
      </w:pPr>
      <w:r>
        <w:rPr>
          <w:rFonts w:hint="eastAsia" w:ascii="楷体_GB2312" w:hAnsi="楷体_GB2312" w:eastAsia="楷体_GB2312" w:cs="楷体_GB2312"/>
          <w:color w:val="000000"/>
          <w:spacing w:val="6"/>
          <w:kern w:val="0"/>
          <w:shd w:val="clear" w:color="auto" w:fill="FFFFFF"/>
          <w:lang w:val="zh-CN"/>
        </w:rPr>
        <w:t>（三）人员概况</w:t>
      </w:r>
    </w:p>
    <w:p>
      <w:pPr>
        <w:spacing w:line="600" w:lineRule="exact"/>
        <w:ind w:firstLine="664" w:firstLineChars="200"/>
        <w:rPr>
          <w:rFonts w:ascii="仿宋" w:hAnsi="仿宋" w:cs="仿宋"/>
          <w:spacing w:val="6"/>
        </w:rPr>
      </w:pPr>
      <w:r>
        <w:rPr>
          <w:rFonts w:hint="eastAsia" w:ascii="仿宋" w:hAnsi="仿宋" w:cs="仿宋"/>
          <w:color w:val="000000"/>
          <w:spacing w:val="6"/>
          <w:kern w:val="0"/>
          <w:shd w:val="clear" w:color="auto" w:fill="FFFFFF"/>
          <w:lang w:val="zh-CN"/>
        </w:rPr>
        <w:t>省法院现有行政编制数</w:t>
      </w:r>
      <w:r>
        <w:rPr>
          <w:rFonts w:hint="eastAsia" w:ascii="仿宋" w:hAnsi="仿宋" w:cs="仿宋"/>
          <w:color w:val="000000"/>
          <w:spacing w:val="6"/>
          <w:kern w:val="0"/>
          <w:shd w:val="clear" w:color="auto" w:fill="FFFFFF"/>
        </w:rPr>
        <w:t>825</w:t>
      </w:r>
      <w:r>
        <w:rPr>
          <w:rFonts w:hint="eastAsia" w:ascii="仿宋" w:hAnsi="仿宋" w:cs="仿宋"/>
          <w:color w:val="000000"/>
          <w:spacing w:val="6"/>
          <w:kern w:val="0"/>
          <w:shd w:val="clear" w:color="auto" w:fill="FFFFFF"/>
          <w:lang w:val="zh-CN"/>
        </w:rPr>
        <w:t>人，事业编制数52人</w:t>
      </w:r>
      <w:r>
        <w:rPr>
          <w:rFonts w:hint="eastAsia" w:ascii="仿宋" w:hAnsi="仿宋" w:cs="仿宋"/>
          <w:color w:val="000000"/>
          <w:spacing w:val="6"/>
          <w:kern w:val="0"/>
          <w:shd w:val="clear" w:color="auto" w:fill="FFFFFF"/>
        </w:rPr>
        <w:t>，工勤编制数11人</w:t>
      </w:r>
      <w:r>
        <w:rPr>
          <w:rFonts w:hint="eastAsia" w:ascii="仿宋" w:hAnsi="仿宋" w:cs="仿宋"/>
          <w:color w:val="000000"/>
          <w:spacing w:val="6"/>
          <w:kern w:val="0"/>
          <w:shd w:val="clear" w:color="auto" w:fill="FFFFFF"/>
          <w:lang w:val="zh-CN"/>
        </w:rPr>
        <w:t>。实有在职职工</w:t>
      </w:r>
      <w:r>
        <w:rPr>
          <w:rFonts w:hint="eastAsia" w:ascii="仿宋" w:hAnsi="仿宋" w:cs="仿宋"/>
          <w:color w:val="000000"/>
          <w:spacing w:val="6"/>
          <w:kern w:val="0"/>
          <w:shd w:val="clear" w:color="auto" w:fill="FFFFFF"/>
        </w:rPr>
        <w:t>784</w:t>
      </w:r>
      <w:r>
        <w:rPr>
          <w:rFonts w:hint="eastAsia" w:ascii="仿宋" w:hAnsi="仿宋" w:cs="仿宋"/>
          <w:color w:val="000000"/>
          <w:spacing w:val="6"/>
          <w:kern w:val="0"/>
          <w:shd w:val="clear" w:color="auto" w:fill="FFFFFF"/>
          <w:lang w:val="zh-CN"/>
        </w:rPr>
        <w:t>人（其中：省法院机关</w:t>
      </w:r>
      <w:r>
        <w:rPr>
          <w:rFonts w:hint="eastAsia" w:ascii="仿宋" w:hAnsi="仿宋" w:cs="仿宋"/>
          <w:color w:val="000000"/>
          <w:spacing w:val="6"/>
          <w:kern w:val="0"/>
          <w:shd w:val="clear" w:color="auto" w:fill="FFFFFF"/>
        </w:rPr>
        <w:t>597</w:t>
      </w:r>
      <w:r>
        <w:rPr>
          <w:rFonts w:hint="eastAsia" w:ascii="仿宋" w:hAnsi="仿宋" w:cs="仿宋"/>
          <w:color w:val="000000"/>
          <w:spacing w:val="6"/>
          <w:kern w:val="0"/>
          <w:shd w:val="clear" w:color="auto" w:fill="FFFFFF"/>
          <w:lang w:val="zh-CN"/>
        </w:rPr>
        <w:t>人，省法院机关服务中心</w:t>
      </w:r>
      <w:r>
        <w:rPr>
          <w:rFonts w:hint="eastAsia" w:ascii="仿宋" w:hAnsi="仿宋" w:cs="仿宋"/>
          <w:color w:val="000000"/>
          <w:spacing w:val="6"/>
          <w:kern w:val="0"/>
          <w:shd w:val="clear" w:color="auto" w:fill="FFFFFF"/>
        </w:rPr>
        <w:t>26</w:t>
      </w:r>
      <w:r>
        <w:rPr>
          <w:rFonts w:hint="eastAsia" w:ascii="仿宋" w:hAnsi="仿宋" w:cs="仿宋"/>
          <w:color w:val="000000"/>
          <w:spacing w:val="6"/>
          <w:kern w:val="0"/>
          <w:shd w:val="clear" w:color="auto" w:fill="FFFFFF"/>
          <w:lang w:val="zh-CN"/>
        </w:rPr>
        <w:t>人，四川法官学院</w:t>
      </w:r>
      <w:r>
        <w:rPr>
          <w:rFonts w:hint="eastAsia" w:ascii="仿宋" w:hAnsi="仿宋" w:cs="仿宋"/>
          <w:color w:val="000000"/>
          <w:spacing w:val="6"/>
          <w:kern w:val="0"/>
          <w:shd w:val="clear" w:color="auto" w:fill="FFFFFF"/>
        </w:rPr>
        <w:t>6</w:t>
      </w:r>
      <w:r>
        <w:rPr>
          <w:rFonts w:hint="eastAsia" w:ascii="仿宋" w:hAnsi="仿宋" w:cs="仿宋"/>
          <w:color w:val="000000"/>
          <w:spacing w:val="6"/>
          <w:kern w:val="0"/>
          <w:shd w:val="clear" w:color="auto" w:fill="FFFFFF"/>
          <w:lang w:val="zh-CN"/>
        </w:rPr>
        <w:t>人，成铁中院机关</w:t>
      </w:r>
      <w:r>
        <w:rPr>
          <w:rFonts w:hint="eastAsia" w:ascii="仿宋" w:hAnsi="仿宋" w:cs="仿宋"/>
          <w:color w:val="000000"/>
          <w:spacing w:val="6"/>
          <w:kern w:val="0"/>
          <w:shd w:val="clear" w:color="auto" w:fill="FFFFFF"/>
        </w:rPr>
        <w:t>85</w:t>
      </w:r>
      <w:r>
        <w:rPr>
          <w:rFonts w:hint="eastAsia" w:ascii="仿宋" w:hAnsi="仿宋" w:cs="仿宋"/>
          <w:color w:val="000000"/>
          <w:spacing w:val="6"/>
          <w:kern w:val="0"/>
          <w:shd w:val="clear" w:color="auto" w:fill="FFFFFF"/>
          <w:lang w:val="zh-CN"/>
        </w:rPr>
        <w:t>人，成铁一院</w:t>
      </w:r>
      <w:r>
        <w:rPr>
          <w:rFonts w:hint="eastAsia" w:ascii="仿宋" w:hAnsi="仿宋" w:cs="仿宋"/>
          <w:color w:val="000000"/>
          <w:spacing w:val="6"/>
          <w:kern w:val="0"/>
          <w:shd w:val="clear" w:color="auto" w:fill="FFFFFF"/>
        </w:rPr>
        <w:t>45</w:t>
      </w:r>
      <w:r>
        <w:rPr>
          <w:rFonts w:hint="eastAsia" w:ascii="仿宋" w:hAnsi="仿宋" w:cs="仿宋"/>
          <w:color w:val="000000"/>
          <w:spacing w:val="6"/>
          <w:kern w:val="0"/>
          <w:shd w:val="clear" w:color="auto" w:fill="FFFFFF"/>
          <w:lang w:val="zh-CN"/>
        </w:rPr>
        <w:t>人，成铁二院</w:t>
      </w:r>
      <w:r>
        <w:rPr>
          <w:rFonts w:hint="eastAsia" w:ascii="仿宋" w:hAnsi="仿宋" w:cs="仿宋"/>
          <w:color w:val="000000"/>
          <w:spacing w:val="6"/>
          <w:kern w:val="0"/>
          <w:shd w:val="clear" w:color="auto" w:fill="FFFFFF"/>
        </w:rPr>
        <w:t>25</w:t>
      </w:r>
      <w:r>
        <w:rPr>
          <w:rFonts w:hint="eastAsia" w:ascii="仿宋" w:hAnsi="仿宋" w:cs="仿宋"/>
          <w:color w:val="000000"/>
          <w:spacing w:val="6"/>
          <w:kern w:val="0"/>
          <w:shd w:val="clear" w:color="auto" w:fill="FFFFFF"/>
          <w:lang w:val="zh-CN"/>
        </w:rPr>
        <w:t>人），离休人员6人，退休人员</w:t>
      </w:r>
      <w:r>
        <w:rPr>
          <w:rFonts w:hint="eastAsia" w:ascii="仿宋" w:hAnsi="仿宋" w:cs="仿宋"/>
          <w:color w:val="000000"/>
          <w:spacing w:val="6"/>
          <w:kern w:val="0"/>
          <w:shd w:val="clear" w:color="auto" w:fill="FFFFFF"/>
        </w:rPr>
        <w:t>312</w:t>
      </w:r>
      <w:r>
        <w:rPr>
          <w:rFonts w:hint="eastAsia" w:ascii="仿宋" w:hAnsi="仿宋" w:cs="仿宋"/>
          <w:color w:val="000000"/>
          <w:spacing w:val="6"/>
          <w:kern w:val="0"/>
          <w:shd w:val="clear" w:color="auto" w:fill="FFFFFF"/>
          <w:lang w:val="zh-CN"/>
        </w:rPr>
        <w:t>人。</w:t>
      </w:r>
    </w:p>
    <w:p>
      <w:pPr>
        <w:spacing w:line="600" w:lineRule="exact"/>
        <w:ind w:firstLine="664" w:firstLineChars="200"/>
        <w:rPr>
          <w:spacing w:val="6"/>
        </w:rPr>
      </w:pPr>
      <w:r>
        <w:rPr>
          <w:rFonts w:hint="eastAsia" w:ascii="黑体" w:hAnsi="宋体" w:eastAsia="黑体" w:cs="宋体"/>
          <w:color w:val="000000"/>
          <w:spacing w:val="6"/>
          <w:kern w:val="0"/>
          <w:shd w:val="clear" w:color="auto" w:fill="FFFFFF"/>
        </w:rPr>
        <w:t>二、部门财政资金收支情况</w:t>
      </w:r>
    </w:p>
    <w:p>
      <w:pPr>
        <w:widowControl/>
        <w:spacing w:line="600" w:lineRule="exact"/>
        <w:ind w:firstLine="664" w:firstLineChars="200"/>
        <w:contextualSpacing/>
        <w:rPr>
          <w:rFonts w:ascii="仿宋_GB2312" w:hAnsi="宋体" w:eastAsia="仿宋_GB2312" w:cs="宋体"/>
          <w:color w:val="000000"/>
          <w:spacing w:val="6"/>
          <w:kern w:val="0"/>
          <w:shd w:val="clear" w:color="auto" w:fill="FFFFFF"/>
          <w:lang w:val="zh-CN"/>
        </w:rPr>
      </w:pPr>
      <w:r>
        <w:rPr>
          <w:rFonts w:hint="eastAsia" w:ascii="楷体_GB2312" w:hAnsi="楷体_GB2312" w:eastAsia="楷体_GB2312" w:cs="楷体_GB2312"/>
          <w:color w:val="000000"/>
          <w:spacing w:val="6"/>
          <w:kern w:val="0"/>
          <w:shd w:val="clear" w:color="auto" w:fill="FFFFFF"/>
          <w:lang w:val="zh-CN"/>
        </w:rPr>
        <w:t>（一）部门财政资金收入情况</w:t>
      </w:r>
    </w:p>
    <w:p>
      <w:pPr>
        <w:widowControl/>
        <w:spacing w:line="600" w:lineRule="exact"/>
        <w:ind w:firstLine="664" w:firstLineChars="200"/>
        <w:contextualSpacing/>
        <w:rPr>
          <w:rFonts w:ascii="仿宋" w:hAnsi="仿宋" w:cs="仿宋"/>
          <w:spacing w:val="6"/>
        </w:rPr>
      </w:pPr>
      <w:r>
        <w:rPr>
          <w:rFonts w:hint="eastAsia" w:ascii="仿宋" w:hAnsi="仿宋" w:cs="仿宋"/>
          <w:color w:val="000000"/>
          <w:spacing w:val="6"/>
          <w:kern w:val="0"/>
          <w:shd w:val="clear" w:color="auto" w:fill="FFFFFF"/>
          <w:lang w:val="zh-CN"/>
        </w:rPr>
        <w:t>2021年，省法院年初预算总额</w:t>
      </w:r>
      <w:r>
        <w:rPr>
          <w:rFonts w:hint="eastAsia" w:ascii="仿宋" w:hAnsi="仿宋" w:cs="仿宋"/>
          <w:color w:val="000000"/>
          <w:spacing w:val="6"/>
          <w:kern w:val="0"/>
          <w:shd w:val="clear" w:color="auto" w:fill="FFFFFF"/>
        </w:rPr>
        <w:t>35,331.01</w:t>
      </w:r>
      <w:r>
        <w:rPr>
          <w:rFonts w:hint="eastAsia" w:ascii="仿宋" w:hAnsi="仿宋" w:cs="仿宋"/>
          <w:color w:val="000000"/>
          <w:spacing w:val="6"/>
          <w:kern w:val="0"/>
          <w:shd w:val="clear" w:color="auto" w:fill="FFFFFF"/>
          <w:lang w:val="zh-CN"/>
        </w:rPr>
        <w:t>万元，其中：一般公共预算拨款收入</w:t>
      </w:r>
      <w:r>
        <w:rPr>
          <w:rFonts w:hint="eastAsia" w:ascii="仿宋" w:hAnsi="仿宋" w:cs="仿宋"/>
          <w:color w:val="000000"/>
          <w:spacing w:val="6"/>
          <w:kern w:val="0"/>
          <w:shd w:val="clear" w:color="auto" w:fill="FFFFFF"/>
        </w:rPr>
        <w:t>34,441.16</w:t>
      </w:r>
      <w:r>
        <w:rPr>
          <w:rFonts w:hint="eastAsia" w:ascii="仿宋" w:hAnsi="仿宋" w:cs="仿宋"/>
          <w:color w:val="000000"/>
          <w:spacing w:val="6"/>
          <w:kern w:val="0"/>
          <w:shd w:val="clear" w:color="auto" w:fill="FFFFFF"/>
          <w:lang w:val="zh-CN"/>
        </w:rPr>
        <w:t>万元，上年结转</w:t>
      </w:r>
      <w:r>
        <w:rPr>
          <w:rFonts w:hint="eastAsia" w:ascii="仿宋" w:hAnsi="仿宋" w:cs="仿宋"/>
          <w:color w:val="000000"/>
          <w:spacing w:val="6"/>
          <w:kern w:val="0"/>
          <w:shd w:val="clear" w:color="auto" w:fill="FFFFFF"/>
        </w:rPr>
        <w:t>889.85</w:t>
      </w:r>
      <w:r>
        <w:rPr>
          <w:rFonts w:hint="eastAsia" w:ascii="仿宋" w:hAnsi="仿宋" w:cs="仿宋"/>
          <w:color w:val="000000"/>
          <w:spacing w:val="6"/>
          <w:kern w:val="0"/>
          <w:shd w:val="clear" w:color="auto" w:fill="FFFFFF"/>
          <w:lang w:val="zh-CN"/>
        </w:rPr>
        <w:t>万元。</w:t>
      </w:r>
    </w:p>
    <w:p>
      <w:pPr>
        <w:widowControl/>
        <w:spacing w:line="600" w:lineRule="exact"/>
        <w:ind w:firstLine="664" w:firstLineChars="200"/>
        <w:contextualSpacing/>
        <w:rPr>
          <w:rFonts w:ascii="仿宋_GB2312" w:hAnsi="宋体" w:eastAsia="仿宋_GB2312" w:cs="宋体"/>
          <w:color w:val="000000"/>
          <w:spacing w:val="6"/>
          <w:kern w:val="0"/>
          <w:shd w:val="clear" w:color="auto" w:fill="FFFFFF"/>
          <w:lang w:val="zh-CN"/>
        </w:rPr>
      </w:pPr>
      <w:r>
        <w:rPr>
          <w:rFonts w:hint="eastAsia" w:ascii="楷体_GB2312" w:hAnsi="楷体_GB2312" w:eastAsia="楷体_GB2312" w:cs="楷体_GB2312"/>
          <w:color w:val="000000"/>
          <w:spacing w:val="6"/>
          <w:kern w:val="0"/>
          <w:shd w:val="clear" w:color="auto" w:fill="FFFFFF"/>
          <w:lang w:val="zh-CN"/>
        </w:rPr>
        <w:t>（二）部门财政资金支出情况</w:t>
      </w:r>
    </w:p>
    <w:p>
      <w:pPr>
        <w:widowControl/>
        <w:spacing w:line="600" w:lineRule="exact"/>
        <w:ind w:firstLine="664" w:firstLineChars="200"/>
        <w:contextualSpacing/>
        <w:rPr>
          <w:rFonts w:ascii="仿宋" w:hAnsi="仿宋" w:cs="仿宋"/>
          <w:spacing w:val="6"/>
        </w:rPr>
      </w:pPr>
      <w:r>
        <w:rPr>
          <w:rFonts w:hint="eastAsia" w:ascii="仿宋" w:hAnsi="仿宋" w:cs="仿宋"/>
          <w:color w:val="000000"/>
          <w:spacing w:val="6"/>
          <w:kern w:val="0"/>
          <w:shd w:val="clear" w:color="auto" w:fill="FFFFFF"/>
          <w:lang w:val="zh-CN"/>
        </w:rPr>
        <w:t>2021年，省法院决算支出41</w:t>
      </w:r>
      <w:r>
        <w:rPr>
          <w:rFonts w:hint="eastAsia" w:ascii="仿宋" w:hAnsi="仿宋" w:cs="仿宋"/>
          <w:color w:val="000000"/>
          <w:spacing w:val="6"/>
          <w:kern w:val="0"/>
          <w:shd w:val="clear" w:color="auto" w:fill="FFFFFF"/>
        </w:rPr>
        <w:t>,</w:t>
      </w:r>
      <w:r>
        <w:rPr>
          <w:rFonts w:hint="eastAsia" w:ascii="仿宋" w:hAnsi="仿宋" w:cs="仿宋"/>
          <w:color w:val="000000"/>
          <w:spacing w:val="6"/>
          <w:kern w:val="0"/>
          <w:shd w:val="clear" w:color="auto" w:fill="FFFFFF"/>
          <w:lang w:val="zh-CN"/>
        </w:rPr>
        <w:t>883.35万元，其中：基本支出27</w:t>
      </w:r>
      <w:r>
        <w:rPr>
          <w:rFonts w:hint="eastAsia" w:ascii="仿宋" w:hAnsi="仿宋" w:cs="仿宋"/>
          <w:color w:val="000000"/>
          <w:spacing w:val="6"/>
          <w:kern w:val="0"/>
          <w:shd w:val="clear" w:color="auto" w:fill="FFFFFF"/>
        </w:rPr>
        <w:t>,</w:t>
      </w:r>
      <w:r>
        <w:rPr>
          <w:rFonts w:hint="eastAsia" w:ascii="仿宋" w:hAnsi="仿宋" w:cs="仿宋"/>
          <w:color w:val="000000"/>
          <w:spacing w:val="6"/>
          <w:kern w:val="0"/>
          <w:shd w:val="clear" w:color="auto" w:fill="FFFFFF"/>
          <w:lang w:val="zh-CN"/>
        </w:rPr>
        <w:t>490.48万元（人员经费支出21</w:t>
      </w:r>
      <w:r>
        <w:rPr>
          <w:rFonts w:hint="eastAsia" w:ascii="仿宋" w:hAnsi="仿宋" w:cs="仿宋"/>
          <w:color w:val="000000"/>
          <w:spacing w:val="6"/>
          <w:kern w:val="0"/>
          <w:shd w:val="clear" w:color="auto" w:fill="FFFFFF"/>
        </w:rPr>
        <w:t>,</w:t>
      </w:r>
      <w:r>
        <w:rPr>
          <w:rFonts w:hint="eastAsia" w:ascii="仿宋" w:hAnsi="仿宋" w:cs="仿宋"/>
          <w:color w:val="000000"/>
          <w:spacing w:val="6"/>
          <w:kern w:val="0"/>
          <w:shd w:val="clear" w:color="auto" w:fill="FFFFFF"/>
          <w:lang w:val="zh-CN"/>
        </w:rPr>
        <w:t>297.72万元、公用经费支出6</w:t>
      </w:r>
      <w:r>
        <w:rPr>
          <w:rFonts w:hint="eastAsia" w:ascii="仿宋" w:hAnsi="仿宋" w:cs="仿宋"/>
          <w:color w:val="000000"/>
          <w:spacing w:val="6"/>
          <w:kern w:val="0"/>
          <w:shd w:val="clear" w:color="auto" w:fill="FFFFFF"/>
        </w:rPr>
        <w:t>,</w:t>
      </w:r>
      <w:r>
        <w:rPr>
          <w:rFonts w:hint="eastAsia" w:ascii="仿宋" w:hAnsi="仿宋" w:cs="仿宋"/>
          <w:color w:val="000000"/>
          <w:spacing w:val="6"/>
          <w:kern w:val="0"/>
          <w:shd w:val="clear" w:color="auto" w:fill="FFFFFF"/>
          <w:lang w:val="zh-CN"/>
        </w:rPr>
        <w:t>192.75万元），项目支出13</w:t>
      </w:r>
      <w:r>
        <w:rPr>
          <w:rFonts w:hint="eastAsia" w:ascii="仿宋" w:hAnsi="仿宋" w:cs="仿宋"/>
          <w:color w:val="000000"/>
          <w:spacing w:val="6"/>
          <w:kern w:val="0"/>
          <w:shd w:val="clear" w:color="auto" w:fill="FFFFFF"/>
        </w:rPr>
        <w:t>,</w:t>
      </w:r>
      <w:r>
        <w:rPr>
          <w:rFonts w:hint="eastAsia" w:ascii="仿宋" w:hAnsi="仿宋" w:cs="仿宋"/>
          <w:color w:val="000000"/>
          <w:spacing w:val="6"/>
          <w:kern w:val="0"/>
          <w:shd w:val="clear" w:color="auto" w:fill="FFFFFF"/>
          <w:lang w:val="zh-CN"/>
        </w:rPr>
        <w:t>918.15万元，年末结余结转474.73万元。</w:t>
      </w:r>
    </w:p>
    <w:p>
      <w:pPr>
        <w:spacing w:line="600" w:lineRule="exact"/>
        <w:ind w:firstLine="664" w:firstLineChars="200"/>
        <w:rPr>
          <w:rFonts w:ascii="黑体" w:hAnsi="宋体" w:eastAsia="黑体" w:cs="宋体"/>
          <w:color w:val="000000"/>
          <w:spacing w:val="6"/>
          <w:kern w:val="0"/>
          <w:shd w:val="clear" w:color="auto" w:fill="FFFFFF"/>
        </w:rPr>
      </w:pPr>
      <w:r>
        <w:rPr>
          <w:rFonts w:hint="eastAsia" w:ascii="黑体" w:hAnsi="宋体" w:eastAsia="黑体" w:cs="宋体"/>
          <w:color w:val="000000"/>
          <w:spacing w:val="6"/>
          <w:kern w:val="0"/>
          <w:shd w:val="clear" w:color="auto" w:fill="FFFFFF"/>
        </w:rPr>
        <w:t>三、部门整体预算绩效管理情况</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根据《财政厅关于开展2022年部门、政策和项目支出绩效评价工作的通知》（川财绩〔2022〕5号）文件附件《2022年省级部门整体支出绩效评价指标体系（适用于无专项预算项目的部门）》填表说明，此次部门自评满分为100分，共得</w:t>
      </w:r>
      <w:r>
        <w:rPr>
          <w:rFonts w:hint="eastAsia" w:ascii="仿宋" w:hAnsi="仿宋" w:cs="仿宋"/>
          <w:color w:val="000000"/>
          <w:spacing w:val="6"/>
          <w:kern w:val="0"/>
          <w:shd w:val="clear" w:color="auto" w:fill="FFFFFF"/>
        </w:rPr>
        <w:t>88.05</w:t>
      </w:r>
      <w:r>
        <w:rPr>
          <w:rFonts w:hint="eastAsia" w:ascii="仿宋" w:hAnsi="仿宋" w:cs="仿宋"/>
          <w:color w:val="000000"/>
          <w:spacing w:val="6"/>
          <w:kern w:val="0"/>
          <w:shd w:val="clear" w:color="auto" w:fill="FFFFFF"/>
          <w:lang w:val="zh-CN"/>
        </w:rPr>
        <w:t>分</w:t>
      </w:r>
      <w:r>
        <w:rPr>
          <w:rFonts w:hint="eastAsia" w:ascii="仿宋" w:hAnsi="仿宋" w:cs="仿宋"/>
          <w:szCs w:val="21"/>
        </w:rPr>
        <w:t>（见附件1）</w:t>
      </w:r>
      <w:r>
        <w:rPr>
          <w:rFonts w:hint="eastAsia" w:ascii="仿宋" w:hAnsi="仿宋" w:cs="仿宋"/>
          <w:color w:val="000000"/>
          <w:spacing w:val="6"/>
          <w:kern w:val="0"/>
          <w:shd w:val="clear" w:color="auto" w:fill="FFFFFF"/>
          <w:lang w:val="zh-CN"/>
        </w:rPr>
        <w:t>。具体如下：</w:t>
      </w:r>
    </w:p>
    <w:p>
      <w:pPr>
        <w:widowControl/>
        <w:spacing w:line="600" w:lineRule="exact"/>
        <w:ind w:firstLine="664" w:firstLineChars="200"/>
        <w:contextualSpacing/>
        <w:rPr>
          <w:spacing w:val="6"/>
        </w:rPr>
      </w:pPr>
      <w:r>
        <w:rPr>
          <w:rFonts w:hint="eastAsia" w:ascii="楷体_GB2312" w:hAnsi="楷体_GB2312" w:eastAsia="楷体_GB2312" w:cs="楷体_GB2312"/>
          <w:color w:val="000000"/>
          <w:spacing w:val="6"/>
          <w:kern w:val="0"/>
          <w:shd w:val="clear" w:color="auto" w:fill="FFFFFF"/>
          <w:lang w:val="zh-CN"/>
        </w:rPr>
        <w:t>（一）部门预算项目绩效管理（分值70分，得</w:t>
      </w:r>
      <w:r>
        <w:rPr>
          <w:rFonts w:ascii="楷体_GB2312" w:hAnsi="楷体_GB2312" w:eastAsia="楷体_GB2312" w:cs="楷体_GB2312"/>
          <w:color w:val="000000"/>
          <w:spacing w:val="6"/>
          <w:kern w:val="0"/>
          <w:shd w:val="clear" w:color="auto" w:fill="FFFFFF"/>
        </w:rPr>
        <w:t>58.05</w:t>
      </w:r>
      <w:r>
        <w:rPr>
          <w:rFonts w:hint="eastAsia" w:ascii="楷体_GB2312" w:hAnsi="楷体_GB2312" w:eastAsia="楷体_GB2312" w:cs="楷体_GB2312"/>
          <w:color w:val="000000"/>
          <w:spacing w:val="6"/>
          <w:kern w:val="0"/>
          <w:shd w:val="clear" w:color="auto" w:fill="FFFFFF"/>
          <w:lang w:val="zh-CN"/>
        </w:rPr>
        <w:t>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1.目标管理（分值30分，得</w:t>
      </w:r>
      <w:r>
        <w:rPr>
          <w:rFonts w:hint="eastAsia" w:ascii="仿宋" w:hAnsi="仿宋" w:cs="仿宋"/>
          <w:color w:val="000000"/>
          <w:spacing w:val="6"/>
          <w:kern w:val="0"/>
          <w:shd w:val="clear" w:color="auto" w:fill="FFFFFF"/>
        </w:rPr>
        <w:t>28.43</w:t>
      </w:r>
      <w:r>
        <w:rPr>
          <w:rFonts w:hint="eastAsia" w:ascii="仿宋" w:hAnsi="仿宋" w:cs="仿宋"/>
          <w:color w:val="000000"/>
          <w:spacing w:val="6"/>
          <w:kern w:val="0"/>
          <w:shd w:val="clear" w:color="auto" w:fill="FFFFFF"/>
          <w:lang w:val="zh-CN"/>
        </w:rPr>
        <w:t>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1</w:t>
      </w:r>
      <w:r>
        <w:rPr>
          <w:rFonts w:hint="eastAsia" w:ascii="仿宋" w:hAnsi="仿宋" w:cs="仿宋"/>
          <w:color w:val="000000"/>
          <w:spacing w:val="6"/>
          <w:kern w:val="0"/>
          <w:shd w:val="clear" w:color="auto" w:fill="FFFFFF"/>
          <w:lang w:val="zh-CN"/>
        </w:rPr>
        <w:t>）目标制定（分值15分，得15分）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2021年，省法院立足自身职能，并依据本部门当年工作规划设置整体支出绩效目标，与法律法规、政策、任务及社会发展要求相符；对所有超过100万元（含100万元）的重大项目，均严格按照绩效目标管理办法和项目具体情况设置绩效目标，项目名称、项目资金、年度目标、绩效指标各要素设置完整，其中绩效指标根据项目具体情况设置完成指标（包括数量指标、质量指标、时效指标、成本指标）、效益指标、满意度指标，绩效指标细化、量化，且评价部门绩效目标已纳入部门党组（委）会（办公会）集体决策范围。按计分标准，此项得15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2</w:t>
      </w:r>
      <w:r>
        <w:rPr>
          <w:rFonts w:hint="eastAsia" w:ascii="仿宋" w:hAnsi="仿宋" w:cs="仿宋"/>
          <w:color w:val="000000"/>
          <w:spacing w:val="6"/>
          <w:kern w:val="0"/>
          <w:shd w:val="clear" w:color="auto" w:fill="FFFFFF"/>
          <w:lang w:val="zh-CN"/>
        </w:rPr>
        <w:t>）目标实现（分值15分，得</w:t>
      </w:r>
      <w:r>
        <w:rPr>
          <w:rFonts w:hint="eastAsia" w:ascii="仿宋" w:hAnsi="仿宋" w:cs="仿宋"/>
          <w:color w:val="000000"/>
          <w:spacing w:val="6"/>
          <w:kern w:val="0"/>
          <w:shd w:val="clear" w:color="auto" w:fill="FFFFFF"/>
        </w:rPr>
        <w:t>13.43</w:t>
      </w:r>
      <w:r>
        <w:rPr>
          <w:rFonts w:hint="eastAsia" w:ascii="仿宋" w:hAnsi="仿宋" w:cs="仿宋"/>
          <w:color w:val="000000"/>
          <w:spacing w:val="6"/>
          <w:kern w:val="0"/>
          <w:shd w:val="clear" w:color="auto" w:fill="FFFFFF"/>
          <w:lang w:val="zh-CN"/>
        </w:rPr>
        <w:t>分）</w:t>
      </w:r>
    </w:p>
    <w:p>
      <w:pPr>
        <w:widowControl/>
        <w:spacing w:line="600" w:lineRule="exact"/>
        <w:ind w:firstLine="664" w:firstLineChars="200"/>
        <w:contextualSpacing/>
        <w:rPr>
          <w:rFonts w:ascii="仿宋" w:hAnsi="仿宋" w:cs="仿宋"/>
          <w:color w:val="FF0000"/>
          <w:spacing w:val="6"/>
          <w:kern w:val="0"/>
          <w:shd w:val="clear" w:color="auto" w:fill="FFFFFF"/>
          <w:lang w:val="zh-CN"/>
        </w:rPr>
      </w:pPr>
      <w:r>
        <w:rPr>
          <w:rFonts w:hint="eastAsia" w:ascii="仿宋" w:hAnsi="仿宋" w:cs="仿宋"/>
          <w:color w:val="000000"/>
          <w:spacing w:val="6"/>
          <w:kern w:val="0"/>
          <w:shd w:val="clear" w:color="auto" w:fill="FFFFFF"/>
        </w:rPr>
        <w:t>2021</w:t>
      </w:r>
      <w:r>
        <w:rPr>
          <w:rFonts w:hint="eastAsia" w:ascii="仿宋" w:hAnsi="仿宋" w:cs="仿宋"/>
          <w:color w:val="000000"/>
          <w:spacing w:val="6"/>
          <w:kern w:val="0"/>
          <w:shd w:val="clear" w:color="auto" w:fill="FFFFFF"/>
          <w:lang w:val="zh-CN"/>
        </w:rPr>
        <w:t>年，省法院纳入绩效目标管理的预算项目</w:t>
      </w:r>
      <w:r>
        <w:rPr>
          <w:rFonts w:hint="eastAsia" w:ascii="仿宋" w:hAnsi="仿宋" w:cs="仿宋"/>
          <w:color w:val="000000"/>
          <w:spacing w:val="6"/>
          <w:kern w:val="0"/>
          <w:shd w:val="clear" w:color="auto" w:fill="FFFFFF"/>
        </w:rPr>
        <w:t>29个（不含涉密项目）</w:t>
      </w:r>
      <w:r>
        <w:rPr>
          <w:rFonts w:hint="eastAsia" w:ascii="仿宋" w:hAnsi="仿宋" w:cs="仿宋"/>
          <w:color w:val="000000"/>
          <w:spacing w:val="6"/>
          <w:kern w:val="0"/>
          <w:shd w:val="clear" w:color="auto" w:fill="FFFFFF"/>
          <w:lang w:val="zh-CN"/>
        </w:rPr>
        <w:t>，资金预算总额</w:t>
      </w:r>
      <w:r>
        <w:rPr>
          <w:rFonts w:hint="eastAsia" w:ascii="仿宋" w:hAnsi="仿宋" w:cs="仿宋"/>
          <w:color w:val="000000"/>
          <w:spacing w:val="6"/>
          <w:kern w:val="0"/>
          <w:shd w:val="clear" w:color="auto" w:fill="FFFFFF"/>
        </w:rPr>
        <w:t>7,552.07</w:t>
      </w:r>
      <w:r>
        <w:rPr>
          <w:rFonts w:hint="eastAsia" w:ascii="仿宋" w:hAnsi="仿宋" w:cs="仿宋"/>
          <w:color w:val="000000"/>
          <w:spacing w:val="6"/>
          <w:kern w:val="0"/>
          <w:shd w:val="clear" w:color="auto" w:fill="FFFFFF"/>
          <w:lang w:val="zh-CN"/>
        </w:rPr>
        <w:t>万元，设置绩效指标</w:t>
      </w:r>
      <w:r>
        <w:rPr>
          <w:rFonts w:hint="eastAsia" w:ascii="仿宋" w:hAnsi="仿宋" w:cs="仿宋"/>
          <w:color w:val="000000"/>
          <w:spacing w:val="6"/>
          <w:kern w:val="0"/>
          <w:shd w:val="clear" w:color="auto" w:fill="FFFFFF"/>
        </w:rPr>
        <w:t>242</w:t>
      </w:r>
      <w:r>
        <w:rPr>
          <w:rFonts w:hint="eastAsia" w:ascii="仿宋" w:hAnsi="仿宋" w:cs="仿宋"/>
          <w:color w:val="000000"/>
          <w:spacing w:val="6"/>
          <w:kern w:val="0"/>
          <w:shd w:val="clear" w:color="auto" w:fill="FFFFFF"/>
          <w:lang w:val="zh-CN"/>
        </w:rPr>
        <w:t>个，其中数量指标</w:t>
      </w:r>
      <w:r>
        <w:rPr>
          <w:rFonts w:hint="eastAsia" w:ascii="仿宋" w:hAnsi="仿宋" w:cs="仿宋"/>
          <w:color w:val="000000"/>
          <w:spacing w:val="6"/>
          <w:kern w:val="0"/>
          <w:shd w:val="clear" w:color="auto" w:fill="FFFFFF"/>
        </w:rPr>
        <w:t>67</w:t>
      </w:r>
      <w:r>
        <w:rPr>
          <w:rFonts w:hint="eastAsia" w:ascii="仿宋" w:hAnsi="仿宋" w:cs="仿宋"/>
          <w:color w:val="000000"/>
          <w:spacing w:val="6"/>
          <w:kern w:val="0"/>
          <w:shd w:val="clear" w:color="auto" w:fill="FFFFFF"/>
          <w:lang w:val="zh-CN"/>
        </w:rPr>
        <w:t>个，达到预期值的数量指标</w:t>
      </w:r>
      <w:r>
        <w:rPr>
          <w:rFonts w:hint="eastAsia" w:ascii="仿宋" w:hAnsi="仿宋" w:cs="仿宋"/>
          <w:color w:val="000000"/>
          <w:spacing w:val="6"/>
          <w:kern w:val="0"/>
          <w:shd w:val="clear" w:color="auto" w:fill="FFFFFF"/>
        </w:rPr>
        <w:t>60</w:t>
      </w:r>
      <w:r>
        <w:rPr>
          <w:rFonts w:hint="eastAsia" w:ascii="仿宋" w:hAnsi="仿宋" w:cs="仿宋"/>
          <w:color w:val="000000"/>
          <w:spacing w:val="6"/>
          <w:kern w:val="0"/>
          <w:shd w:val="clear" w:color="auto" w:fill="FFFFFF"/>
          <w:lang w:val="zh-CN"/>
        </w:rPr>
        <w:t>个</w:t>
      </w:r>
      <w:r>
        <w:rPr>
          <w:rFonts w:hint="eastAsia" w:ascii="仿宋" w:hAnsi="仿宋" w:cs="仿宋"/>
          <w:color w:val="000000"/>
          <w:spacing w:val="6"/>
          <w:kern w:val="0"/>
          <w:shd w:val="clear" w:color="auto" w:fill="FFFFFF"/>
        </w:rPr>
        <w:t>。按</w:t>
      </w:r>
      <w:r>
        <w:rPr>
          <w:rFonts w:hint="eastAsia" w:ascii="仿宋" w:hAnsi="仿宋" w:cs="仿宋"/>
          <w:color w:val="000000"/>
          <w:spacing w:val="6"/>
          <w:kern w:val="0"/>
          <w:shd w:val="clear" w:color="auto" w:fill="FFFFFF"/>
          <w:lang w:val="zh-CN"/>
        </w:rPr>
        <w:t>计分标准，此项得分为</w:t>
      </w:r>
      <w:r>
        <w:rPr>
          <w:rFonts w:hint="eastAsia" w:ascii="仿宋" w:hAnsi="仿宋" w:cs="仿宋"/>
          <w:spacing w:val="6"/>
          <w:kern w:val="0"/>
          <w:shd w:val="clear" w:color="auto" w:fill="FFFFFF"/>
        </w:rPr>
        <w:t>60/67*15=13.43</w:t>
      </w:r>
      <w:r>
        <w:rPr>
          <w:rFonts w:hint="eastAsia" w:ascii="仿宋" w:hAnsi="仿宋" w:cs="仿宋"/>
          <w:spacing w:val="6"/>
          <w:kern w:val="0"/>
          <w:shd w:val="clear" w:color="auto" w:fill="FFFFFF"/>
          <w:lang w:val="zh-CN"/>
        </w:rPr>
        <w:t>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2.动态调整（分值20分，得</w:t>
      </w:r>
      <w:r>
        <w:rPr>
          <w:rFonts w:hint="eastAsia" w:ascii="仿宋" w:hAnsi="仿宋" w:cs="仿宋"/>
          <w:color w:val="000000"/>
          <w:spacing w:val="6"/>
          <w:kern w:val="0"/>
          <w:shd w:val="clear" w:color="auto" w:fill="FFFFFF"/>
        </w:rPr>
        <w:t>11.69</w:t>
      </w:r>
      <w:r>
        <w:rPr>
          <w:rFonts w:hint="eastAsia" w:ascii="仿宋" w:hAnsi="仿宋" w:cs="仿宋"/>
          <w:color w:val="000000"/>
          <w:spacing w:val="6"/>
          <w:kern w:val="0"/>
          <w:shd w:val="clear" w:color="auto" w:fill="FFFFFF"/>
          <w:lang w:val="zh-CN"/>
        </w:rPr>
        <w:t>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rPr>
        <w:t>（1）</w:t>
      </w:r>
      <w:r>
        <w:rPr>
          <w:rFonts w:hint="eastAsia" w:ascii="仿宋" w:hAnsi="仿宋" w:cs="仿宋"/>
          <w:color w:val="000000"/>
          <w:spacing w:val="6"/>
          <w:kern w:val="0"/>
          <w:shd w:val="clear" w:color="auto" w:fill="FFFFFF"/>
          <w:lang w:val="zh-CN"/>
        </w:rPr>
        <w:t>支出控制（分值5分，得</w:t>
      </w:r>
      <w:r>
        <w:rPr>
          <w:rFonts w:hint="eastAsia" w:ascii="仿宋" w:hAnsi="仿宋" w:cs="仿宋"/>
          <w:color w:val="000000"/>
          <w:spacing w:val="6"/>
          <w:kern w:val="0"/>
          <w:shd w:val="clear" w:color="auto" w:fill="FFFFFF"/>
        </w:rPr>
        <w:t>5</w:t>
      </w:r>
      <w:r>
        <w:rPr>
          <w:rFonts w:hint="eastAsia" w:ascii="仿宋" w:hAnsi="仿宋" w:cs="仿宋"/>
          <w:color w:val="000000"/>
          <w:spacing w:val="6"/>
          <w:kern w:val="0"/>
          <w:shd w:val="clear" w:color="auto" w:fill="FFFFFF"/>
          <w:lang w:val="zh-CN"/>
        </w:rPr>
        <w:t>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2021年，省法院日常公用经费、项目支出中“办公费、印刷费、水费、电费、物业管理费”科目年初预算数2</w:t>
      </w:r>
      <w:r>
        <w:rPr>
          <w:rFonts w:hint="eastAsia" w:ascii="仿宋" w:hAnsi="仿宋" w:cs="仿宋"/>
          <w:color w:val="000000"/>
          <w:spacing w:val="6"/>
          <w:kern w:val="0"/>
          <w:shd w:val="clear" w:color="auto" w:fill="FFFFFF"/>
        </w:rPr>
        <w:t>,</w:t>
      </w:r>
      <w:r>
        <w:rPr>
          <w:rFonts w:hint="eastAsia" w:ascii="仿宋" w:hAnsi="仿宋" w:cs="仿宋"/>
          <w:color w:val="000000"/>
          <w:spacing w:val="6"/>
          <w:kern w:val="0"/>
          <w:shd w:val="clear" w:color="auto" w:fill="FFFFFF"/>
          <w:lang w:val="zh-CN"/>
        </w:rPr>
        <w:t>441.27万元，调整后预算数2</w:t>
      </w:r>
      <w:r>
        <w:rPr>
          <w:rFonts w:hint="eastAsia" w:ascii="仿宋" w:hAnsi="仿宋" w:cs="仿宋"/>
          <w:color w:val="000000"/>
          <w:spacing w:val="6"/>
          <w:kern w:val="0"/>
          <w:shd w:val="clear" w:color="auto" w:fill="FFFFFF"/>
        </w:rPr>
        <w:t>,</w:t>
      </w:r>
      <w:r>
        <w:rPr>
          <w:rFonts w:hint="eastAsia" w:ascii="仿宋" w:hAnsi="仿宋" w:cs="仿宋"/>
          <w:color w:val="000000"/>
          <w:spacing w:val="6"/>
          <w:kern w:val="0"/>
          <w:shd w:val="clear" w:color="auto" w:fill="FFFFFF"/>
          <w:lang w:val="zh-CN"/>
        </w:rPr>
        <w:t>350.26万元，决算数2</w:t>
      </w:r>
      <w:r>
        <w:rPr>
          <w:rFonts w:hint="eastAsia" w:ascii="仿宋" w:hAnsi="仿宋" w:cs="仿宋"/>
          <w:color w:val="000000"/>
          <w:spacing w:val="6"/>
          <w:kern w:val="0"/>
          <w:shd w:val="clear" w:color="auto" w:fill="FFFFFF"/>
        </w:rPr>
        <w:t>,</w:t>
      </w:r>
      <w:r>
        <w:rPr>
          <w:rFonts w:hint="eastAsia" w:ascii="仿宋" w:hAnsi="仿宋" w:cs="仿宋"/>
          <w:color w:val="000000"/>
          <w:spacing w:val="6"/>
          <w:kern w:val="0"/>
          <w:shd w:val="clear" w:color="auto" w:fill="FFFFFF"/>
          <w:lang w:val="zh-CN"/>
        </w:rPr>
        <w:t>271.26万元，执行进度为</w:t>
      </w:r>
      <w:r>
        <w:rPr>
          <w:rFonts w:hint="eastAsia" w:ascii="仿宋" w:hAnsi="仿宋" w:cs="仿宋"/>
          <w:color w:val="000000"/>
          <w:spacing w:val="6"/>
          <w:kern w:val="0"/>
          <w:shd w:val="clear" w:color="auto" w:fill="FFFFFF"/>
        </w:rPr>
        <w:t>93.04%</w:t>
      </w:r>
      <w:r>
        <w:rPr>
          <w:rFonts w:hint="eastAsia" w:ascii="仿宋" w:hAnsi="仿宋" w:cs="仿宋"/>
          <w:color w:val="000000"/>
          <w:spacing w:val="6"/>
          <w:kern w:val="0"/>
          <w:shd w:val="clear" w:color="auto" w:fill="FFFFFF"/>
          <w:lang w:val="zh-CN"/>
        </w:rPr>
        <w:t>，预决算偏差程度为（2</w:t>
      </w:r>
      <w:r>
        <w:rPr>
          <w:rFonts w:hint="eastAsia" w:ascii="仿宋" w:hAnsi="仿宋" w:cs="仿宋"/>
          <w:color w:val="000000"/>
          <w:spacing w:val="6"/>
          <w:kern w:val="0"/>
          <w:shd w:val="clear" w:color="auto" w:fill="FFFFFF"/>
        </w:rPr>
        <w:t>,</w:t>
      </w:r>
      <w:r>
        <w:rPr>
          <w:rFonts w:hint="eastAsia" w:ascii="仿宋" w:hAnsi="仿宋" w:cs="仿宋"/>
          <w:color w:val="000000"/>
          <w:spacing w:val="6"/>
          <w:kern w:val="0"/>
          <w:shd w:val="clear" w:color="auto" w:fill="FFFFFF"/>
          <w:lang w:val="zh-CN"/>
        </w:rPr>
        <w:t>441.27-2</w:t>
      </w:r>
      <w:r>
        <w:rPr>
          <w:rFonts w:hint="eastAsia" w:ascii="仿宋" w:hAnsi="仿宋" w:cs="仿宋"/>
          <w:color w:val="000000"/>
          <w:spacing w:val="6"/>
          <w:kern w:val="0"/>
          <w:shd w:val="clear" w:color="auto" w:fill="FFFFFF"/>
        </w:rPr>
        <w:t>,</w:t>
      </w:r>
      <w:r>
        <w:rPr>
          <w:rFonts w:hint="eastAsia" w:ascii="仿宋" w:hAnsi="仿宋" w:cs="仿宋"/>
          <w:color w:val="000000"/>
          <w:spacing w:val="6"/>
          <w:kern w:val="0"/>
          <w:shd w:val="clear" w:color="auto" w:fill="FFFFFF"/>
          <w:lang w:val="zh-CN"/>
        </w:rPr>
        <w:t>271.26）/2</w:t>
      </w:r>
      <w:r>
        <w:rPr>
          <w:rFonts w:hint="eastAsia" w:ascii="仿宋" w:hAnsi="仿宋" w:cs="仿宋"/>
          <w:color w:val="000000"/>
          <w:spacing w:val="6"/>
          <w:kern w:val="0"/>
          <w:shd w:val="clear" w:color="auto" w:fill="FFFFFF"/>
        </w:rPr>
        <w:t>,</w:t>
      </w:r>
      <w:r>
        <w:rPr>
          <w:rFonts w:hint="eastAsia" w:ascii="仿宋" w:hAnsi="仿宋" w:cs="仿宋"/>
          <w:color w:val="000000"/>
          <w:spacing w:val="6"/>
          <w:kern w:val="0"/>
          <w:shd w:val="clear" w:color="auto" w:fill="FFFFFF"/>
          <w:lang w:val="zh-CN"/>
        </w:rPr>
        <w:t>441.27=6.96%，在10%以内。按计分标准，此项得</w:t>
      </w:r>
      <w:r>
        <w:rPr>
          <w:rFonts w:hint="eastAsia" w:ascii="仿宋" w:hAnsi="仿宋" w:cs="仿宋"/>
          <w:color w:val="000000"/>
          <w:spacing w:val="6"/>
          <w:kern w:val="0"/>
          <w:shd w:val="clear" w:color="auto" w:fill="FFFFFF"/>
        </w:rPr>
        <w:t>5</w:t>
      </w:r>
      <w:r>
        <w:rPr>
          <w:rFonts w:hint="eastAsia" w:ascii="仿宋" w:hAnsi="仿宋" w:cs="仿宋"/>
          <w:color w:val="000000"/>
          <w:spacing w:val="6"/>
          <w:kern w:val="0"/>
          <w:shd w:val="clear" w:color="auto" w:fill="FFFFFF"/>
          <w:lang w:val="zh-CN"/>
        </w:rPr>
        <w:t>分。</w:t>
      </w:r>
    </w:p>
    <w:p>
      <w:pPr>
        <w:widowControl/>
        <w:spacing w:line="600" w:lineRule="exact"/>
        <w:ind w:firstLine="664" w:firstLineChars="200"/>
        <w:contextualSpacing/>
        <w:rPr>
          <w:rFonts w:ascii="仿宋" w:hAnsi="仿宋" w:cs="仿宋"/>
          <w:spacing w:val="6"/>
          <w:kern w:val="0"/>
          <w:shd w:val="clear" w:color="auto" w:fill="FFFFFF"/>
          <w:lang w:val="zh-CN"/>
        </w:rPr>
      </w:pPr>
      <w:r>
        <w:rPr>
          <w:rFonts w:hint="eastAsia" w:ascii="仿宋" w:hAnsi="仿宋" w:cs="仿宋"/>
          <w:spacing w:val="6"/>
          <w:kern w:val="0"/>
          <w:shd w:val="clear" w:color="auto" w:fill="FFFFFF"/>
        </w:rPr>
        <w:t>（2）</w:t>
      </w:r>
      <w:r>
        <w:rPr>
          <w:rFonts w:hint="eastAsia" w:ascii="仿宋" w:hAnsi="仿宋" w:cs="仿宋"/>
          <w:spacing w:val="6"/>
          <w:kern w:val="0"/>
          <w:shd w:val="clear" w:color="auto" w:fill="FFFFFF"/>
          <w:lang w:val="zh-CN"/>
        </w:rPr>
        <w:t>及时处置（分值10分，得</w:t>
      </w:r>
      <w:r>
        <w:rPr>
          <w:rFonts w:hint="eastAsia" w:ascii="仿宋" w:hAnsi="仿宋" w:cs="仿宋"/>
          <w:spacing w:val="6"/>
          <w:kern w:val="0"/>
          <w:shd w:val="clear" w:color="auto" w:fill="FFFFFF"/>
        </w:rPr>
        <w:t>1.95</w:t>
      </w:r>
      <w:r>
        <w:rPr>
          <w:rFonts w:hint="eastAsia" w:ascii="仿宋" w:hAnsi="仿宋" w:cs="仿宋"/>
          <w:spacing w:val="6"/>
          <w:kern w:val="0"/>
          <w:shd w:val="clear" w:color="auto" w:fill="FFFFFF"/>
          <w:lang w:val="zh-CN"/>
        </w:rPr>
        <w:t>分）</w:t>
      </w:r>
    </w:p>
    <w:p>
      <w:pPr>
        <w:widowControl/>
        <w:spacing w:line="600" w:lineRule="exact"/>
        <w:ind w:firstLine="664" w:firstLineChars="200"/>
        <w:contextualSpacing/>
        <w:rPr>
          <w:rFonts w:ascii="仿宋" w:hAnsi="仿宋" w:cs="仿宋"/>
          <w:spacing w:val="6"/>
          <w:kern w:val="0"/>
          <w:shd w:val="clear" w:color="auto" w:fill="FFFFFF"/>
          <w:lang w:val="zh-CN"/>
        </w:rPr>
      </w:pPr>
      <w:r>
        <w:rPr>
          <w:rFonts w:hint="eastAsia" w:ascii="仿宋" w:hAnsi="仿宋" w:cs="仿宋"/>
          <w:spacing w:val="6"/>
          <w:kern w:val="0"/>
          <w:shd w:val="clear" w:color="auto" w:fill="FFFFFF"/>
          <w:lang w:val="zh-CN"/>
        </w:rPr>
        <w:t>2021年，省法院严格按照财政要求开展绩效运行监控，绩效监控调整取消额为373.90万元，年末财政收回结余指标2</w:t>
      </w:r>
      <w:r>
        <w:rPr>
          <w:rFonts w:hint="eastAsia" w:ascii="仿宋" w:hAnsi="仿宋" w:cs="仿宋"/>
          <w:spacing w:val="6"/>
          <w:kern w:val="0"/>
          <w:shd w:val="clear" w:color="auto" w:fill="FFFFFF"/>
        </w:rPr>
        <w:t>,</w:t>
      </w:r>
      <w:r>
        <w:rPr>
          <w:rFonts w:hint="eastAsia" w:ascii="仿宋" w:hAnsi="仿宋" w:cs="仿宋"/>
          <w:spacing w:val="6"/>
          <w:kern w:val="0"/>
          <w:shd w:val="clear" w:color="auto" w:fill="FFFFFF"/>
          <w:lang w:val="zh-CN"/>
        </w:rPr>
        <w:t>218.04万元，扣减结转金额678.13万元，实际结余注销额为1</w:t>
      </w:r>
      <w:r>
        <w:rPr>
          <w:rFonts w:hint="eastAsia" w:ascii="仿宋" w:hAnsi="仿宋" w:cs="仿宋"/>
          <w:spacing w:val="6"/>
          <w:kern w:val="0"/>
          <w:shd w:val="clear" w:color="auto" w:fill="FFFFFF"/>
        </w:rPr>
        <w:t>,</w:t>
      </w:r>
      <w:r>
        <w:rPr>
          <w:rFonts w:hint="eastAsia" w:ascii="仿宋" w:hAnsi="仿宋" w:cs="仿宋"/>
          <w:spacing w:val="6"/>
          <w:kern w:val="0"/>
          <w:shd w:val="clear" w:color="auto" w:fill="FFFFFF"/>
          <w:lang w:val="zh-CN"/>
        </w:rPr>
        <w:t>539.91万元</w:t>
      </w:r>
      <w:r>
        <w:rPr>
          <w:rFonts w:hint="eastAsia" w:ascii="仿宋" w:hAnsi="仿宋" w:cs="仿宋"/>
          <w:spacing w:val="6"/>
          <w:kern w:val="0"/>
          <w:shd w:val="clear" w:color="auto" w:fill="FFFFFF"/>
        </w:rPr>
        <w:t>。按</w:t>
      </w:r>
      <w:r>
        <w:rPr>
          <w:rFonts w:hint="eastAsia" w:ascii="仿宋" w:hAnsi="仿宋" w:cs="仿宋"/>
          <w:spacing w:val="6"/>
          <w:kern w:val="0"/>
          <w:shd w:val="clear" w:color="auto" w:fill="FFFFFF"/>
          <w:lang w:val="zh-CN"/>
        </w:rPr>
        <w:t>计分标准，此项得分为</w:t>
      </w:r>
      <w:r>
        <w:rPr>
          <w:rFonts w:hint="eastAsia" w:ascii="仿宋" w:hAnsi="仿宋" w:cs="仿宋"/>
          <w:spacing w:val="6"/>
          <w:kern w:val="0"/>
          <w:shd w:val="clear" w:color="auto" w:fill="FFFFFF"/>
        </w:rPr>
        <w:t>373.90/（373.90+1,539.91）*10=1.95</w:t>
      </w:r>
      <w:r>
        <w:rPr>
          <w:rFonts w:hint="eastAsia" w:ascii="仿宋" w:hAnsi="仿宋" w:cs="仿宋"/>
          <w:spacing w:val="6"/>
          <w:kern w:val="0"/>
          <w:shd w:val="clear" w:color="auto" w:fill="FFFFFF"/>
          <w:lang w:val="zh-CN"/>
        </w:rPr>
        <w:t>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3</w:t>
      </w:r>
      <w:r>
        <w:rPr>
          <w:rFonts w:hint="eastAsia" w:ascii="仿宋" w:hAnsi="仿宋" w:cs="仿宋"/>
          <w:color w:val="000000"/>
          <w:spacing w:val="6"/>
          <w:kern w:val="0"/>
          <w:shd w:val="clear" w:color="auto" w:fill="FFFFFF"/>
          <w:lang w:val="zh-CN"/>
        </w:rPr>
        <w:t>）执行进度（分值5分，得</w:t>
      </w:r>
      <w:r>
        <w:rPr>
          <w:rFonts w:hint="eastAsia" w:ascii="仿宋" w:hAnsi="仿宋" w:cs="仿宋"/>
          <w:color w:val="000000"/>
          <w:spacing w:val="6"/>
          <w:kern w:val="0"/>
          <w:shd w:val="clear" w:color="auto" w:fill="FFFFFF"/>
        </w:rPr>
        <w:t>4.74</w:t>
      </w:r>
      <w:r>
        <w:rPr>
          <w:rFonts w:hint="eastAsia" w:ascii="仿宋" w:hAnsi="仿宋" w:cs="仿宋"/>
          <w:color w:val="000000"/>
          <w:spacing w:val="6"/>
          <w:kern w:val="0"/>
          <w:shd w:val="clear" w:color="auto" w:fill="FFFFFF"/>
          <w:lang w:val="zh-CN"/>
        </w:rPr>
        <w:t>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2021年，省法院6、9、11月预算执行实际支出进度分别为39.8</w:t>
      </w:r>
      <w:r>
        <w:rPr>
          <w:rFonts w:hint="eastAsia" w:ascii="仿宋" w:hAnsi="仿宋" w:cs="仿宋"/>
          <w:color w:val="000000"/>
          <w:spacing w:val="6"/>
          <w:kern w:val="0"/>
          <w:shd w:val="clear" w:color="auto" w:fill="FFFFFF"/>
        </w:rPr>
        <w:t>0</w:t>
      </w:r>
      <w:r>
        <w:rPr>
          <w:rFonts w:hint="eastAsia" w:ascii="仿宋" w:hAnsi="仿宋" w:cs="仿宋"/>
          <w:color w:val="000000"/>
          <w:spacing w:val="6"/>
          <w:kern w:val="0"/>
          <w:shd w:val="clear" w:color="auto" w:fill="FFFFFF"/>
          <w:lang w:val="zh-CN"/>
        </w:rPr>
        <w:t>%、64.7</w:t>
      </w:r>
      <w:r>
        <w:rPr>
          <w:rFonts w:hint="eastAsia" w:ascii="仿宋" w:hAnsi="仿宋" w:cs="仿宋"/>
          <w:color w:val="000000"/>
          <w:spacing w:val="6"/>
          <w:kern w:val="0"/>
          <w:shd w:val="clear" w:color="auto" w:fill="FFFFFF"/>
        </w:rPr>
        <w:t>0</w:t>
      </w:r>
      <w:r>
        <w:rPr>
          <w:rFonts w:hint="eastAsia" w:ascii="仿宋" w:hAnsi="仿宋" w:cs="仿宋"/>
          <w:color w:val="000000"/>
          <w:spacing w:val="6"/>
          <w:kern w:val="0"/>
          <w:shd w:val="clear" w:color="auto" w:fill="FFFFFF"/>
          <w:lang w:val="zh-CN"/>
        </w:rPr>
        <w:t>%、74.9</w:t>
      </w:r>
      <w:r>
        <w:rPr>
          <w:rFonts w:hint="eastAsia" w:ascii="仿宋" w:hAnsi="仿宋" w:cs="仿宋"/>
          <w:color w:val="000000"/>
          <w:spacing w:val="6"/>
          <w:kern w:val="0"/>
          <w:shd w:val="clear" w:color="auto" w:fill="FFFFFF"/>
        </w:rPr>
        <w:t>0</w:t>
      </w:r>
      <w:r>
        <w:rPr>
          <w:rFonts w:hint="eastAsia" w:ascii="仿宋" w:hAnsi="仿宋" w:cs="仿宋"/>
          <w:color w:val="000000"/>
          <w:spacing w:val="6"/>
          <w:kern w:val="0"/>
          <w:shd w:val="clear" w:color="auto" w:fill="FFFFFF"/>
          <w:lang w:val="zh-CN"/>
        </w:rPr>
        <w:t>%（财政目标进度分别为40</w:t>
      </w:r>
      <w:r>
        <w:rPr>
          <w:rFonts w:hint="eastAsia" w:ascii="仿宋" w:hAnsi="仿宋" w:cs="仿宋"/>
          <w:color w:val="000000"/>
          <w:spacing w:val="6"/>
          <w:kern w:val="0"/>
          <w:shd w:val="clear" w:color="auto" w:fill="FFFFFF"/>
        </w:rPr>
        <w:t>.00</w:t>
      </w:r>
      <w:r>
        <w:rPr>
          <w:rFonts w:hint="eastAsia" w:ascii="仿宋" w:hAnsi="仿宋" w:cs="仿宋"/>
          <w:color w:val="000000"/>
          <w:spacing w:val="6"/>
          <w:kern w:val="0"/>
          <w:shd w:val="clear" w:color="auto" w:fill="FFFFFF"/>
          <w:lang w:val="zh-CN"/>
        </w:rPr>
        <w:t>%、67.5</w:t>
      </w:r>
      <w:r>
        <w:rPr>
          <w:rFonts w:hint="eastAsia" w:ascii="仿宋" w:hAnsi="仿宋" w:cs="仿宋"/>
          <w:color w:val="000000"/>
          <w:spacing w:val="6"/>
          <w:kern w:val="0"/>
          <w:shd w:val="clear" w:color="auto" w:fill="FFFFFF"/>
        </w:rPr>
        <w:t>0</w:t>
      </w:r>
      <w:r>
        <w:rPr>
          <w:rFonts w:hint="eastAsia" w:ascii="仿宋" w:hAnsi="仿宋" w:cs="仿宋"/>
          <w:color w:val="000000"/>
          <w:spacing w:val="6"/>
          <w:kern w:val="0"/>
          <w:shd w:val="clear" w:color="auto" w:fill="FFFFFF"/>
          <w:lang w:val="zh-CN"/>
        </w:rPr>
        <w:t>%、82.5</w:t>
      </w:r>
      <w:r>
        <w:rPr>
          <w:rFonts w:hint="eastAsia" w:ascii="仿宋" w:hAnsi="仿宋" w:cs="仿宋"/>
          <w:color w:val="000000"/>
          <w:spacing w:val="6"/>
          <w:kern w:val="0"/>
          <w:shd w:val="clear" w:color="auto" w:fill="FFFFFF"/>
        </w:rPr>
        <w:t>0</w:t>
      </w:r>
      <w:r>
        <w:rPr>
          <w:rFonts w:hint="eastAsia" w:ascii="仿宋" w:hAnsi="仿宋" w:cs="仿宋"/>
          <w:color w:val="000000"/>
          <w:spacing w:val="6"/>
          <w:kern w:val="0"/>
          <w:shd w:val="clear" w:color="auto" w:fill="FFFFFF"/>
          <w:lang w:val="zh-CN"/>
        </w:rPr>
        <w:t>%）。预算执行实际支出进度占目标进度的比重分别为</w:t>
      </w:r>
      <w:r>
        <w:rPr>
          <w:rFonts w:hint="eastAsia" w:ascii="仿宋" w:hAnsi="仿宋" w:cs="仿宋"/>
          <w:color w:val="000000"/>
          <w:spacing w:val="6"/>
          <w:kern w:val="0"/>
          <w:shd w:val="clear" w:color="auto" w:fill="FFFFFF"/>
        </w:rPr>
        <w:t>99.50</w:t>
      </w: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95.85</w:t>
      </w: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90.79</w:t>
      </w: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6、9、11月部门预算执行进度分值分别为1、2、2分。</w:t>
      </w:r>
      <w:r>
        <w:rPr>
          <w:rFonts w:hint="eastAsia" w:ascii="仿宋" w:hAnsi="仿宋" w:cs="仿宋"/>
          <w:color w:val="000000"/>
          <w:spacing w:val="6"/>
          <w:kern w:val="0"/>
          <w:shd w:val="clear" w:color="auto" w:fill="FFFFFF"/>
          <w:lang w:val="zh-CN"/>
        </w:rPr>
        <w:t>按计分标准，6月得1</w:t>
      </w:r>
      <w:r>
        <w:rPr>
          <w:rFonts w:hint="eastAsia" w:ascii="仿宋" w:hAnsi="仿宋" w:cs="仿宋"/>
          <w:color w:val="000000"/>
          <w:spacing w:val="6"/>
          <w:kern w:val="0"/>
          <w:shd w:val="clear" w:color="auto" w:fill="FFFFFF"/>
        </w:rPr>
        <w:t>.00</w:t>
      </w:r>
      <w:r>
        <w:rPr>
          <w:rFonts w:hint="eastAsia" w:ascii="仿宋" w:hAnsi="仿宋" w:cs="仿宋"/>
          <w:color w:val="000000"/>
          <w:spacing w:val="6"/>
          <w:kern w:val="0"/>
          <w:shd w:val="clear" w:color="auto" w:fill="FFFFFF"/>
          <w:lang w:val="zh-CN"/>
        </w:rPr>
        <w:t>分，9月得</w:t>
      </w:r>
      <w:r>
        <w:rPr>
          <w:rFonts w:hint="eastAsia" w:ascii="仿宋" w:hAnsi="仿宋" w:cs="仿宋"/>
          <w:color w:val="000000"/>
          <w:spacing w:val="6"/>
          <w:kern w:val="0"/>
          <w:shd w:val="clear" w:color="auto" w:fill="FFFFFF"/>
        </w:rPr>
        <w:t>1.92</w:t>
      </w:r>
      <w:r>
        <w:rPr>
          <w:rFonts w:hint="eastAsia" w:ascii="仿宋" w:hAnsi="仿宋" w:cs="仿宋"/>
          <w:color w:val="000000"/>
          <w:spacing w:val="6"/>
          <w:kern w:val="0"/>
          <w:shd w:val="clear" w:color="auto" w:fill="FFFFFF"/>
          <w:lang w:val="zh-CN"/>
        </w:rPr>
        <w:t>分，11月得</w:t>
      </w:r>
      <w:r>
        <w:rPr>
          <w:rFonts w:hint="eastAsia" w:ascii="仿宋" w:hAnsi="仿宋" w:cs="仿宋"/>
          <w:color w:val="000000"/>
          <w:spacing w:val="6"/>
          <w:kern w:val="0"/>
          <w:shd w:val="clear" w:color="auto" w:fill="FFFFFF"/>
        </w:rPr>
        <w:t>1.82</w:t>
      </w:r>
      <w:r>
        <w:rPr>
          <w:rFonts w:hint="eastAsia" w:ascii="仿宋" w:hAnsi="仿宋" w:cs="仿宋"/>
          <w:color w:val="000000"/>
          <w:spacing w:val="6"/>
          <w:kern w:val="0"/>
          <w:shd w:val="clear" w:color="auto" w:fill="FFFFFF"/>
          <w:lang w:val="zh-CN"/>
        </w:rPr>
        <w:t>分，共计</w:t>
      </w:r>
      <w:r>
        <w:rPr>
          <w:rFonts w:hint="eastAsia" w:ascii="仿宋" w:hAnsi="仿宋" w:cs="仿宋"/>
          <w:color w:val="000000"/>
          <w:spacing w:val="6"/>
          <w:kern w:val="0"/>
          <w:shd w:val="clear" w:color="auto" w:fill="FFFFFF"/>
        </w:rPr>
        <w:t>4.74</w:t>
      </w:r>
      <w:r>
        <w:rPr>
          <w:rFonts w:hint="eastAsia" w:ascii="仿宋" w:hAnsi="仿宋" w:cs="仿宋"/>
          <w:color w:val="000000"/>
          <w:spacing w:val="6"/>
          <w:kern w:val="0"/>
          <w:shd w:val="clear" w:color="auto" w:fill="FFFFFF"/>
          <w:lang w:val="zh-CN"/>
        </w:rPr>
        <w:t>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3.完成结果（分值20分，得</w:t>
      </w:r>
      <w:r>
        <w:rPr>
          <w:rFonts w:hint="eastAsia" w:ascii="仿宋" w:hAnsi="仿宋" w:cs="仿宋"/>
          <w:color w:val="000000"/>
          <w:spacing w:val="6"/>
          <w:kern w:val="0"/>
          <w:shd w:val="clear" w:color="auto" w:fill="FFFFFF"/>
        </w:rPr>
        <w:t>17.93</w:t>
      </w:r>
      <w:r>
        <w:rPr>
          <w:rFonts w:hint="eastAsia" w:ascii="仿宋" w:hAnsi="仿宋" w:cs="仿宋"/>
          <w:color w:val="000000"/>
          <w:spacing w:val="6"/>
          <w:kern w:val="0"/>
          <w:shd w:val="clear" w:color="auto" w:fill="FFFFFF"/>
          <w:lang w:val="zh-CN"/>
        </w:rPr>
        <w:t>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1</w:t>
      </w:r>
      <w:r>
        <w:rPr>
          <w:rFonts w:hint="eastAsia" w:ascii="仿宋" w:hAnsi="仿宋" w:cs="仿宋"/>
          <w:color w:val="000000"/>
          <w:spacing w:val="6"/>
          <w:kern w:val="0"/>
          <w:shd w:val="clear" w:color="auto" w:fill="FFFFFF"/>
          <w:lang w:val="zh-CN"/>
        </w:rPr>
        <w:t>）预算完成（分值10分，得9.48分）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根据财政数据，2021年省法院12月预算执行进度为94.8</w:t>
      </w:r>
      <w:r>
        <w:rPr>
          <w:rFonts w:hint="eastAsia" w:ascii="仿宋" w:hAnsi="仿宋" w:cs="仿宋"/>
          <w:color w:val="000000"/>
          <w:spacing w:val="6"/>
          <w:kern w:val="0"/>
          <w:shd w:val="clear" w:color="auto" w:fill="FFFFFF"/>
        </w:rPr>
        <w:t>0</w:t>
      </w:r>
      <w:r>
        <w:rPr>
          <w:rFonts w:hint="eastAsia" w:ascii="仿宋" w:hAnsi="仿宋" w:cs="仿宋"/>
          <w:color w:val="000000"/>
          <w:spacing w:val="6"/>
          <w:kern w:val="0"/>
          <w:shd w:val="clear" w:color="auto" w:fill="FFFFFF"/>
          <w:lang w:val="zh-CN"/>
        </w:rPr>
        <w:t>%。按计分标准，此项得9.48分。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2</w:t>
      </w:r>
      <w:r>
        <w:rPr>
          <w:rFonts w:hint="eastAsia" w:ascii="仿宋" w:hAnsi="仿宋" w:cs="仿宋"/>
          <w:color w:val="000000"/>
          <w:spacing w:val="6"/>
          <w:kern w:val="0"/>
          <w:shd w:val="clear" w:color="auto" w:fill="FFFFFF"/>
          <w:lang w:val="zh-CN"/>
        </w:rPr>
        <w:t>）资金结余率（分值5分，得分</w:t>
      </w:r>
      <w:r>
        <w:rPr>
          <w:rFonts w:hint="eastAsia" w:ascii="仿宋" w:hAnsi="仿宋" w:cs="仿宋"/>
          <w:color w:val="000000"/>
          <w:spacing w:val="6"/>
          <w:kern w:val="0"/>
          <w:shd w:val="clear" w:color="auto" w:fill="FFFFFF"/>
        </w:rPr>
        <w:t>3.45</w:t>
      </w:r>
      <w:r>
        <w:rPr>
          <w:rFonts w:hint="eastAsia" w:ascii="仿宋" w:hAnsi="仿宋" w:cs="仿宋"/>
          <w:color w:val="000000"/>
          <w:spacing w:val="6"/>
          <w:kern w:val="0"/>
          <w:shd w:val="clear" w:color="auto" w:fill="FFFFFF"/>
          <w:lang w:val="zh-CN"/>
        </w:rPr>
        <w:t>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2021年省法院纳入绩效目标管理的预算项目共计</w:t>
      </w:r>
      <w:r>
        <w:rPr>
          <w:rFonts w:hint="eastAsia" w:ascii="仿宋" w:hAnsi="仿宋" w:cs="仿宋"/>
          <w:color w:val="000000"/>
          <w:spacing w:val="6"/>
          <w:kern w:val="0"/>
          <w:shd w:val="clear" w:color="auto" w:fill="FFFFFF"/>
        </w:rPr>
        <w:t>29个（不含涉密项目）</w:t>
      </w:r>
      <w:r>
        <w:rPr>
          <w:rFonts w:hint="eastAsia" w:ascii="仿宋" w:hAnsi="仿宋" w:cs="仿宋"/>
          <w:color w:val="000000"/>
          <w:spacing w:val="6"/>
          <w:kern w:val="0"/>
          <w:shd w:val="clear" w:color="auto" w:fill="FFFFFF"/>
          <w:lang w:val="zh-CN"/>
        </w:rPr>
        <w:t>，其中资金结余率小于0.1的项目</w:t>
      </w:r>
      <w:r>
        <w:rPr>
          <w:rFonts w:hint="eastAsia" w:ascii="仿宋" w:hAnsi="仿宋" w:cs="仿宋"/>
          <w:color w:val="000000"/>
          <w:spacing w:val="6"/>
          <w:kern w:val="0"/>
          <w:shd w:val="clear" w:color="auto" w:fill="FFFFFF"/>
        </w:rPr>
        <w:t>20</w:t>
      </w:r>
      <w:r>
        <w:rPr>
          <w:rFonts w:hint="eastAsia" w:ascii="仿宋" w:hAnsi="仿宋" w:cs="仿宋"/>
          <w:color w:val="000000"/>
          <w:spacing w:val="6"/>
          <w:kern w:val="0"/>
          <w:shd w:val="clear" w:color="auto" w:fill="FFFFFF"/>
          <w:lang w:val="zh-CN"/>
        </w:rPr>
        <w:t>个。按计分标准，此项得分为</w:t>
      </w:r>
      <w:r>
        <w:rPr>
          <w:rFonts w:hint="eastAsia" w:ascii="仿宋" w:hAnsi="仿宋" w:cs="仿宋"/>
          <w:color w:val="000000"/>
          <w:spacing w:val="6"/>
          <w:kern w:val="0"/>
          <w:shd w:val="clear" w:color="auto" w:fill="FFFFFF"/>
        </w:rPr>
        <w:t>20</w:t>
      </w:r>
      <w:r>
        <w:rPr>
          <w:rFonts w:hint="eastAsia" w:ascii="仿宋" w:hAnsi="仿宋" w:cs="仿宋"/>
          <w:color w:val="000000"/>
          <w:spacing w:val="6"/>
          <w:kern w:val="0"/>
          <w:shd w:val="clear" w:color="auto" w:fill="FFFFFF"/>
          <w:lang w:val="zh-CN"/>
        </w:rPr>
        <w:t>/29</w:t>
      </w:r>
      <w:r>
        <w:rPr>
          <w:rFonts w:hint="eastAsia" w:ascii="仿宋" w:hAnsi="仿宋" w:cs="仿宋"/>
          <w:color w:val="000000"/>
          <w:spacing w:val="6"/>
          <w:kern w:val="0"/>
          <w:shd w:val="clear" w:color="auto" w:fill="FFFFFF"/>
        </w:rPr>
        <w:t>*5</w:t>
      </w: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3.45</w:t>
      </w:r>
      <w:r>
        <w:rPr>
          <w:rFonts w:hint="eastAsia" w:ascii="仿宋" w:hAnsi="仿宋" w:cs="仿宋"/>
          <w:color w:val="000000"/>
          <w:spacing w:val="6"/>
          <w:kern w:val="0"/>
          <w:shd w:val="clear" w:color="auto" w:fill="FFFFFF"/>
          <w:lang w:val="zh-CN"/>
        </w:rPr>
        <w:t>分。</w:t>
      </w:r>
    </w:p>
    <w:p>
      <w:pPr>
        <w:widowControl/>
        <w:spacing w:line="600" w:lineRule="exact"/>
        <w:ind w:firstLine="664" w:firstLineChars="200"/>
        <w:contextualSpacing/>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3</w:t>
      </w:r>
      <w:r>
        <w:rPr>
          <w:rFonts w:hint="eastAsia" w:ascii="仿宋" w:hAnsi="仿宋" w:cs="仿宋"/>
          <w:color w:val="000000"/>
          <w:spacing w:val="6"/>
          <w:kern w:val="0"/>
          <w:shd w:val="clear" w:color="auto" w:fill="FFFFFF"/>
          <w:lang w:val="zh-CN"/>
        </w:rPr>
        <w:t>）违规记录（分值5分，得5分）</w:t>
      </w:r>
    </w:p>
    <w:p>
      <w:pPr>
        <w:widowControl/>
        <w:spacing w:line="600" w:lineRule="exact"/>
        <w:ind w:firstLine="664" w:firstLineChars="200"/>
        <w:contextualSpacing/>
        <w:rPr>
          <w:rFonts w:ascii="仿宋" w:hAnsi="仿宋" w:cs="仿宋"/>
          <w:spacing w:val="6"/>
        </w:rPr>
      </w:pPr>
      <w:r>
        <w:rPr>
          <w:rFonts w:hint="eastAsia" w:ascii="仿宋" w:hAnsi="仿宋" w:cs="仿宋"/>
          <w:color w:val="000000"/>
          <w:spacing w:val="6"/>
          <w:kern w:val="0"/>
          <w:shd w:val="clear" w:color="auto" w:fill="FFFFFF"/>
          <w:lang w:val="zh-CN"/>
        </w:rPr>
        <w:t>2021年，依据审计监督、财政检查结果，省法院无预算管理方面违纪违规问题，预算管理合规。按计分标准，此项得5分。</w:t>
      </w:r>
    </w:p>
    <w:p>
      <w:pPr>
        <w:spacing w:line="600" w:lineRule="exact"/>
        <w:ind w:firstLine="664" w:firstLineChars="200"/>
        <w:rPr>
          <w:spacing w:val="6"/>
        </w:rPr>
      </w:pPr>
      <w:r>
        <w:rPr>
          <w:rFonts w:hint="eastAsia" w:ascii="楷体_GB2312" w:hAnsi="楷体_GB2312" w:eastAsia="楷体_GB2312" w:cs="楷体_GB2312"/>
          <w:color w:val="000000"/>
          <w:spacing w:val="6"/>
          <w:kern w:val="0"/>
          <w:shd w:val="clear" w:color="auto" w:fill="FFFFFF"/>
          <w:lang w:val="zh-CN"/>
        </w:rPr>
        <w:t>（二）绩效结果应用（分值20分，得20分）</w:t>
      </w:r>
    </w:p>
    <w:p>
      <w:pPr>
        <w:spacing w:line="600" w:lineRule="exact"/>
        <w:ind w:firstLine="664" w:firstLineChars="200"/>
        <w:rPr>
          <w:rFonts w:ascii="仿宋" w:hAnsi="仿宋" w:cs="仿宋"/>
          <w:spacing w:val="6"/>
        </w:rPr>
      </w:pPr>
      <w:r>
        <w:rPr>
          <w:rFonts w:hint="eastAsia" w:ascii="仿宋" w:hAnsi="仿宋" w:cs="仿宋"/>
          <w:color w:val="000000"/>
          <w:spacing w:val="6"/>
          <w:kern w:val="0"/>
          <w:shd w:val="clear" w:color="auto" w:fill="FFFFFF"/>
          <w:lang w:val="zh-CN"/>
        </w:rPr>
        <w:t>1.内部应用（分值6分，得6分）</w:t>
      </w:r>
    </w:p>
    <w:p>
      <w:pPr>
        <w:spacing w:line="600" w:lineRule="exact"/>
        <w:ind w:firstLine="664" w:firstLineChars="200"/>
        <w:rPr>
          <w:rFonts w:ascii="仿宋" w:hAnsi="仿宋" w:cs="仿宋"/>
          <w:spacing w:val="6"/>
        </w:rPr>
      </w:pPr>
      <w:r>
        <w:rPr>
          <w:rFonts w:hint="eastAsia" w:ascii="仿宋" w:hAnsi="仿宋" w:cs="仿宋"/>
          <w:color w:val="000000"/>
          <w:spacing w:val="6"/>
          <w:kern w:val="0"/>
          <w:shd w:val="clear" w:color="auto" w:fill="FFFFFF"/>
          <w:lang w:val="zh-CN"/>
        </w:rPr>
        <w:t>预算挂钩。制定相关管理制度，包括</w:t>
      </w:r>
      <w:r>
        <w:rPr>
          <w:rFonts w:hint="eastAsia" w:ascii="仿宋" w:hAnsi="仿宋" w:cs="仿宋"/>
          <w:color w:val="000000"/>
          <w:spacing w:val="6"/>
          <w:kern w:val="0"/>
          <w:shd w:val="clear" w:color="auto" w:fill="FFFFFF"/>
        </w:rPr>
        <w:t>《四川省高级人民法院预算绩效管理工作考核办法》</w:t>
      </w:r>
      <w:r>
        <w:rPr>
          <w:rFonts w:hint="eastAsia" w:ascii="仿宋" w:hAnsi="仿宋" w:cs="仿宋"/>
          <w:color w:val="000000"/>
          <w:spacing w:val="6"/>
          <w:kern w:val="0"/>
          <w:shd w:val="clear" w:color="auto" w:fill="FFFFFF"/>
          <w:lang w:val="zh-CN"/>
        </w:rPr>
        <w:t>（川高法办〔20</w:t>
      </w:r>
      <w:r>
        <w:rPr>
          <w:rFonts w:hint="eastAsia" w:ascii="仿宋" w:hAnsi="仿宋" w:cs="仿宋"/>
          <w:color w:val="000000"/>
          <w:spacing w:val="6"/>
          <w:kern w:val="0"/>
          <w:shd w:val="clear" w:color="auto" w:fill="FFFFFF"/>
        </w:rPr>
        <w:t>20</w:t>
      </w: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10</w:t>
      </w:r>
      <w:r>
        <w:rPr>
          <w:rFonts w:hint="eastAsia" w:ascii="仿宋" w:hAnsi="仿宋" w:cs="仿宋"/>
          <w:color w:val="000000"/>
          <w:spacing w:val="6"/>
          <w:kern w:val="0"/>
          <w:shd w:val="clear" w:color="auto" w:fill="FFFFFF"/>
          <w:lang w:val="zh-CN"/>
        </w:rPr>
        <w:t>号）等，</w:t>
      </w:r>
      <w:r>
        <w:rPr>
          <w:rFonts w:hint="eastAsia" w:ascii="仿宋" w:hAnsi="仿宋" w:cs="仿宋"/>
          <w:color w:val="000000"/>
          <w:spacing w:val="6"/>
          <w:kern w:val="0"/>
          <w:shd w:val="clear" w:color="auto" w:fill="FFFFFF"/>
        </w:rPr>
        <w:t>明确将预算绩效管理工作考核结果与预算安排、述职述廉、内部考核、集体评议及领导约谈相挂钩，</w:t>
      </w:r>
      <w:r>
        <w:rPr>
          <w:rFonts w:hint="eastAsia" w:ascii="仿宋" w:hAnsi="仿宋" w:cs="仿宋"/>
          <w:color w:val="000000"/>
          <w:spacing w:val="6"/>
          <w:kern w:val="0"/>
          <w:shd w:val="clear" w:color="auto" w:fill="FFFFFF"/>
          <w:lang w:val="zh-CN"/>
        </w:rPr>
        <w:t>建立对内设机构和下属单位预算与绩效挂钩机制，将内设机构和下属单位绩效自评纳入考核系统，并将部门项目绩效结果应用于资金投向调整、预算增减、清理退出等。按计分标准，此项得6分。</w:t>
      </w:r>
    </w:p>
    <w:p>
      <w:pPr>
        <w:spacing w:line="600" w:lineRule="exact"/>
        <w:ind w:firstLine="664" w:firstLineChars="200"/>
        <w:rPr>
          <w:rFonts w:ascii="仿宋" w:hAnsi="仿宋" w:cs="仿宋"/>
          <w:spacing w:val="6"/>
        </w:rPr>
      </w:pPr>
      <w:r>
        <w:rPr>
          <w:rFonts w:hint="eastAsia" w:ascii="仿宋" w:hAnsi="仿宋" w:cs="仿宋"/>
          <w:color w:val="000000"/>
          <w:spacing w:val="6"/>
          <w:kern w:val="0"/>
          <w:shd w:val="clear" w:color="auto" w:fill="FFFFFF"/>
        </w:rPr>
        <w:t>2</w:t>
      </w:r>
      <w:r>
        <w:rPr>
          <w:rFonts w:hint="eastAsia" w:ascii="仿宋" w:hAnsi="仿宋" w:cs="仿宋"/>
          <w:color w:val="000000"/>
          <w:spacing w:val="6"/>
          <w:kern w:val="0"/>
          <w:shd w:val="clear" w:color="auto" w:fill="FFFFFF"/>
          <w:lang w:val="zh-CN"/>
        </w:rPr>
        <w:t>.信息公开（分值4分，得4分）</w:t>
      </w:r>
    </w:p>
    <w:p>
      <w:pPr>
        <w:spacing w:line="600" w:lineRule="exact"/>
        <w:ind w:firstLine="664" w:firstLineChars="200"/>
        <w:rPr>
          <w:rFonts w:ascii="仿宋" w:hAnsi="仿宋" w:cs="仿宋"/>
          <w:spacing w:val="6"/>
        </w:rPr>
      </w:pPr>
      <w:r>
        <w:rPr>
          <w:rFonts w:hint="eastAsia" w:ascii="仿宋" w:hAnsi="仿宋" w:cs="仿宋"/>
          <w:color w:val="000000"/>
          <w:spacing w:val="6"/>
          <w:kern w:val="0"/>
          <w:shd w:val="clear" w:color="auto" w:fill="FFFFFF"/>
          <w:lang w:val="zh-CN"/>
        </w:rPr>
        <w:t>自评公开。2021年，省法院严格按照财政要求，将整体绩效自评情况向社会公开，并将相关绩效信息随决算同步在省法院门户网站及省政府门户网站统一公开。按计分标准，此项得4分。</w:t>
      </w:r>
    </w:p>
    <w:p>
      <w:pPr>
        <w:spacing w:line="600" w:lineRule="exact"/>
        <w:ind w:firstLine="664" w:firstLineChars="200"/>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rPr>
        <w:t>3</w:t>
      </w:r>
      <w:r>
        <w:rPr>
          <w:rFonts w:hint="eastAsia" w:ascii="仿宋" w:hAnsi="仿宋" w:cs="仿宋"/>
          <w:color w:val="000000"/>
          <w:spacing w:val="6"/>
          <w:kern w:val="0"/>
          <w:shd w:val="clear" w:color="auto" w:fill="FFFFFF"/>
          <w:lang w:val="zh-CN"/>
        </w:rPr>
        <w:t>.整改反馈（分值10分，得10分）</w:t>
      </w:r>
    </w:p>
    <w:p>
      <w:pPr>
        <w:spacing w:line="600" w:lineRule="exact"/>
        <w:ind w:firstLine="664" w:firstLineChars="200"/>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1</w:t>
      </w:r>
      <w:r>
        <w:rPr>
          <w:rFonts w:hint="eastAsia" w:ascii="仿宋" w:hAnsi="仿宋" w:cs="仿宋"/>
          <w:color w:val="000000"/>
          <w:spacing w:val="6"/>
          <w:kern w:val="0"/>
          <w:shd w:val="clear" w:color="auto" w:fill="FFFFFF"/>
          <w:lang w:val="zh-CN"/>
        </w:rPr>
        <w:t>）结果整改（分值5分，得5分）</w:t>
      </w:r>
    </w:p>
    <w:p>
      <w:pPr>
        <w:spacing w:line="600" w:lineRule="exact"/>
        <w:ind w:firstLine="664" w:firstLineChars="200"/>
        <w:rPr>
          <w:rFonts w:ascii="仿宋" w:hAnsi="仿宋" w:cs="仿宋"/>
          <w:color w:val="000000"/>
          <w:spacing w:val="6"/>
          <w:kern w:val="0"/>
          <w:shd w:val="clear" w:color="auto" w:fill="FFFFFF"/>
        </w:rPr>
      </w:pPr>
      <w:r>
        <w:rPr>
          <w:rFonts w:hint="eastAsia" w:ascii="仿宋" w:hAnsi="仿宋" w:cs="仿宋"/>
          <w:color w:val="000000"/>
          <w:spacing w:val="6"/>
          <w:kern w:val="0"/>
          <w:shd w:val="clear" w:color="auto" w:fill="FFFFFF"/>
          <w:lang w:val="zh-CN"/>
        </w:rPr>
        <w:t>我院严格按照绩效目标核查、绩效监控核查和重点绩效评价提出的问题进行整改。在核查过程中发现的两个问题：一是预算执行进度滞后。</w:t>
      </w:r>
      <w:r>
        <w:rPr>
          <w:rFonts w:hint="eastAsia" w:ascii="仿宋" w:hAnsi="仿宋" w:cs="仿宋"/>
          <w:color w:val="000000"/>
          <w:spacing w:val="6"/>
          <w:kern w:val="0"/>
          <w:shd w:val="clear" w:color="auto" w:fill="FFFFFF"/>
        </w:rPr>
        <w:t>针对这一问题，我院积极推进各项目执行进度，主动提醒各项目归口管理部门加快实施进度、及时进行报账，有效推动预算执行进度，同时进一步加强项目运行动态监控，发现问题，及时整改；二是绩效目标出现偏差。510000-01-086539-全省法院系统第三方审计服务项目的2条数量指标“完成对2020年度收支情况的检查”、“撰写被检查法院的检查报告”设置较高，我院根据实际，整改调整。此外，我院还根据绩效管理结果完善政策、改进管理，制定《四川省高级人民法院预算绩效管理办法》</w:t>
      </w:r>
      <w:r>
        <w:rPr>
          <w:rFonts w:hint="eastAsia" w:ascii="仿宋" w:hAnsi="仿宋" w:cs="仿宋"/>
          <w:color w:val="000000"/>
          <w:spacing w:val="6"/>
          <w:kern w:val="0"/>
          <w:shd w:val="clear" w:color="auto" w:fill="FFFFFF"/>
          <w:lang w:val="zh-CN"/>
        </w:rPr>
        <w:t>（川高法办〔20</w:t>
      </w:r>
      <w:r>
        <w:rPr>
          <w:rFonts w:hint="eastAsia" w:ascii="仿宋" w:hAnsi="仿宋" w:cs="仿宋"/>
          <w:color w:val="000000"/>
          <w:spacing w:val="6"/>
          <w:kern w:val="0"/>
          <w:shd w:val="clear" w:color="auto" w:fill="FFFFFF"/>
        </w:rPr>
        <w:t>20</w:t>
      </w:r>
      <w:r>
        <w:rPr>
          <w:rFonts w:hint="eastAsia" w:ascii="仿宋" w:hAnsi="仿宋" w:cs="仿宋"/>
          <w:color w:val="000000"/>
          <w:spacing w:val="6"/>
          <w:kern w:val="0"/>
          <w:shd w:val="clear" w:color="auto" w:fill="FFFFFF"/>
          <w:lang w:val="zh-CN"/>
        </w:rPr>
        <w:t>〕</w:t>
      </w:r>
      <w:r>
        <w:rPr>
          <w:rFonts w:hint="eastAsia" w:ascii="仿宋" w:hAnsi="仿宋" w:cs="仿宋"/>
          <w:color w:val="000000"/>
          <w:spacing w:val="6"/>
          <w:kern w:val="0"/>
          <w:shd w:val="clear" w:color="auto" w:fill="FFFFFF"/>
        </w:rPr>
        <w:t>14</w:t>
      </w:r>
      <w:r>
        <w:rPr>
          <w:rFonts w:hint="eastAsia" w:ascii="仿宋" w:hAnsi="仿宋" w:cs="仿宋"/>
          <w:color w:val="000000"/>
          <w:spacing w:val="6"/>
          <w:kern w:val="0"/>
          <w:shd w:val="clear" w:color="auto" w:fill="FFFFFF"/>
          <w:lang w:val="zh-CN"/>
        </w:rPr>
        <w:t>号）</w:t>
      </w:r>
      <w:r>
        <w:rPr>
          <w:rFonts w:hint="eastAsia" w:ascii="仿宋" w:hAnsi="仿宋" w:cs="仿宋"/>
          <w:color w:val="000000"/>
          <w:spacing w:val="6"/>
          <w:kern w:val="0"/>
          <w:shd w:val="clear" w:color="auto" w:fill="FFFFFF"/>
        </w:rPr>
        <w:t>等管理制度。按计分标准，此项得5分。</w:t>
      </w:r>
    </w:p>
    <w:p>
      <w:pPr>
        <w:spacing w:line="600" w:lineRule="exact"/>
        <w:ind w:firstLine="664" w:firstLineChars="200"/>
        <w:rPr>
          <w:rFonts w:ascii="仿宋_GB2312" w:hAnsi="宋体" w:eastAsia="仿宋_GB2312" w:cs="宋体"/>
          <w:color w:val="000000"/>
          <w:spacing w:val="6"/>
          <w:kern w:val="0"/>
          <w:shd w:val="clear" w:color="auto" w:fill="FFFFFF"/>
          <w:lang w:val="zh-CN"/>
        </w:rPr>
      </w:pPr>
      <w:r>
        <w:rPr>
          <w:rFonts w:hint="eastAsia" w:ascii="仿宋_GB2312" w:hAnsi="宋体" w:eastAsia="仿宋_GB2312" w:cs="宋体"/>
          <w:color w:val="000000"/>
          <w:spacing w:val="6"/>
          <w:kern w:val="0"/>
          <w:shd w:val="clear" w:color="auto" w:fill="FFFFFF"/>
          <w:lang w:val="zh-CN"/>
        </w:rPr>
        <w:t>（</w:t>
      </w:r>
      <w:r>
        <w:rPr>
          <w:rFonts w:hint="eastAsia" w:ascii="仿宋_GB2312" w:hAnsi="宋体" w:eastAsia="仿宋_GB2312" w:cs="宋体"/>
          <w:color w:val="000000"/>
          <w:spacing w:val="6"/>
          <w:kern w:val="0"/>
          <w:shd w:val="clear" w:color="auto" w:fill="FFFFFF"/>
        </w:rPr>
        <w:t>2</w:t>
      </w:r>
      <w:r>
        <w:rPr>
          <w:rFonts w:hint="eastAsia" w:ascii="仿宋_GB2312" w:hAnsi="宋体" w:eastAsia="仿宋_GB2312" w:cs="宋体"/>
          <w:color w:val="000000"/>
          <w:spacing w:val="6"/>
          <w:kern w:val="0"/>
          <w:shd w:val="clear" w:color="auto" w:fill="FFFFFF"/>
          <w:lang w:val="zh-CN"/>
        </w:rPr>
        <w:t>）应用反馈（分值5分，得5分）</w:t>
      </w:r>
    </w:p>
    <w:p>
      <w:pPr>
        <w:spacing w:line="600" w:lineRule="exact"/>
        <w:ind w:firstLine="664" w:firstLineChars="200"/>
        <w:rPr>
          <w:spacing w:val="6"/>
        </w:rPr>
      </w:pPr>
      <w:r>
        <w:rPr>
          <w:rFonts w:hint="eastAsia" w:ascii="仿宋" w:hAnsi="仿宋" w:cs="仿宋"/>
          <w:color w:val="000000"/>
          <w:spacing w:val="6"/>
          <w:kern w:val="0"/>
          <w:shd w:val="clear" w:color="auto" w:fill="FFFFFF"/>
          <w:lang w:val="zh-CN"/>
        </w:rPr>
        <w:t>我院严格按要求及时向财政部门反馈绩效结果应用情况，并在规定时间内报送。按计分标准，此项得5分。</w:t>
      </w:r>
    </w:p>
    <w:p>
      <w:pPr>
        <w:spacing w:line="600" w:lineRule="exact"/>
        <w:ind w:firstLine="664" w:firstLineChars="200"/>
        <w:rPr>
          <w:spacing w:val="6"/>
        </w:rPr>
      </w:pPr>
      <w:r>
        <w:rPr>
          <w:rFonts w:hint="eastAsia" w:ascii="楷体_GB2312" w:hAnsi="楷体_GB2312" w:eastAsia="楷体_GB2312" w:cs="楷体_GB2312"/>
          <w:color w:val="000000"/>
          <w:spacing w:val="6"/>
          <w:kern w:val="0"/>
          <w:shd w:val="clear" w:color="auto" w:fill="FFFFFF"/>
          <w:lang w:val="zh-CN"/>
        </w:rPr>
        <w:t>（三）自评质量（分值10分，得10分）</w:t>
      </w:r>
    </w:p>
    <w:p>
      <w:pPr>
        <w:spacing w:line="600" w:lineRule="exact"/>
        <w:ind w:firstLine="664" w:firstLineChars="200"/>
        <w:rPr>
          <w:rFonts w:ascii="仿宋" w:hAnsi="仿宋" w:cs="仿宋"/>
          <w:color w:val="000000"/>
          <w:spacing w:val="6"/>
          <w:kern w:val="0"/>
          <w:shd w:val="clear" w:color="auto" w:fill="FFFFFF"/>
          <w:lang w:val="zh-CN"/>
        </w:rPr>
      </w:pPr>
      <w:r>
        <w:rPr>
          <w:rFonts w:hint="eastAsia" w:ascii="仿宋" w:hAnsi="仿宋" w:cs="仿宋"/>
          <w:color w:val="000000"/>
          <w:spacing w:val="6"/>
          <w:kern w:val="0"/>
          <w:shd w:val="clear" w:color="auto" w:fill="FFFFFF"/>
        </w:rPr>
        <w:t>参照评价标准对部门及下属单位自评进行抽查，抽查差异在5%以内。按照计分标准，此项得10分。</w:t>
      </w:r>
    </w:p>
    <w:p>
      <w:pPr>
        <w:spacing w:line="600" w:lineRule="exact"/>
        <w:ind w:firstLine="664" w:firstLineChars="200"/>
        <w:rPr>
          <w:rFonts w:ascii="黑体" w:hAnsi="宋体" w:eastAsia="黑体" w:cs="宋体"/>
          <w:color w:val="000000"/>
          <w:spacing w:val="6"/>
          <w:kern w:val="0"/>
          <w:shd w:val="clear" w:color="auto" w:fill="FFFFFF"/>
        </w:rPr>
      </w:pPr>
      <w:r>
        <w:rPr>
          <w:rFonts w:hint="eastAsia" w:ascii="黑体" w:hAnsi="宋体" w:eastAsia="黑体" w:cs="宋体"/>
          <w:color w:val="000000"/>
          <w:spacing w:val="6"/>
          <w:kern w:val="0"/>
          <w:shd w:val="clear" w:color="auto" w:fill="FFFFFF"/>
        </w:rPr>
        <w:t>四、评价结论及建议</w:t>
      </w:r>
    </w:p>
    <w:p>
      <w:pPr>
        <w:spacing w:line="600" w:lineRule="exact"/>
        <w:ind w:firstLine="664" w:firstLineChars="200"/>
        <w:rPr>
          <w:rFonts w:ascii="楷体_GB2312" w:hAnsi="楷体_GB2312" w:eastAsia="楷体_GB2312" w:cs="楷体_GB2312"/>
          <w:color w:val="000000"/>
          <w:spacing w:val="6"/>
          <w:kern w:val="0"/>
          <w:shd w:val="clear" w:color="auto" w:fill="FFFFFF"/>
          <w:lang w:val="zh-CN"/>
        </w:rPr>
      </w:pPr>
      <w:r>
        <w:rPr>
          <w:rFonts w:hint="eastAsia" w:ascii="楷体_GB2312" w:hAnsi="楷体_GB2312" w:eastAsia="楷体_GB2312" w:cs="楷体_GB2312"/>
          <w:color w:val="000000"/>
          <w:spacing w:val="6"/>
          <w:kern w:val="0"/>
          <w:shd w:val="clear" w:color="auto" w:fill="FFFFFF"/>
          <w:lang w:val="zh-CN"/>
        </w:rPr>
        <w:t>（一）评价结论</w:t>
      </w:r>
    </w:p>
    <w:p>
      <w:pPr>
        <w:spacing w:line="600" w:lineRule="exact"/>
        <w:ind w:firstLine="664" w:firstLineChars="200"/>
        <w:rPr>
          <w:rFonts w:ascii="仿宋" w:hAnsi="仿宋" w:cs="仿宋"/>
          <w:color w:val="000000"/>
          <w:spacing w:val="6"/>
          <w:kern w:val="0"/>
          <w:shd w:val="clear" w:color="auto" w:fill="FFFFFF"/>
        </w:rPr>
      </w:pPr>
      <w:r>
        <w:rPr>
          <w:rFonts w:hint="eastAsia" w:ascii="仿宋" w:hAnsi="仿宋" w:cs="仿宋"/>
          <w:color w:val="000000"/>
          <w:spacing w:val="6"/>
          <w:kern w:val="0"/>
          <w:shd w:val="clear" w:color="auto" w:fill="FFFFFF"/>
        </w:rPr>
        <w:t>为深入贯彻落实全面实施预算绩效管理的战略部署，实现全过程预算绩效管理，进一步提高财政资金使用效益和预算绩效管理水平，我院认真学习相关制度，积极推进各项工作，切实加强组织领导，把绩效自评工作列入重点工作，按照内部职责分工及时组织开展相关工作，保证工作有序、有力、有效进行。2021年我院及时完成预算绩效管理各项工作，贯穿预算编制、预算执行、动态监控、结果应用全过程，整体支出绩效完成情况良好。</w:t>
      </w:r>
    </w:p>
    <w:p>
      <w:pPr>
        <w:spacing w:line="600" w:lineRule="exact"/>
        <w:ind w:firstLine="664" w:firstLineChars="200"/>
        <w:rPr>
          <w:rFonts w:ascii="仿宋" w:hAnsi="仿宋" w:cs="仿宋"/>
          <w:color w:val="000000"/>
          <w:spacing w:val="6"/>
          <w:kern w:val="0"/>
          <w:shd w:val="clear" w:color="auto" w:fill="FFFFFF"/>
        </w:rPr>
      </w:pPr>
      <w:r>
        <w:rPr>
          <w:rFonts w:hint="eastAsia" w:ascii="仿宋" w:hAnsi="仿宋" w:cs="仿宋"/>
          <w:color w:val="000000"/>
          <w:spacing w:val="6"/>
          <w:kern w:val="0"/>
          <w:shd w:val="clear" w:color="auto" w:fill="FFFFFF"/>
        </w:rPr>
        <w:t>在预算编制环节，我院对部门整体支出和100万元以上（含100万元）的项目进行了统一梳理，明确了政策依据、资金性质、支持范围、工作任务等，并据此预计项目产出和效果，进一步细化分解项目支出目标。在预算执行环节，我院积极推进各项目执行进度，有效推动预算执行进度。2021年总体目标实现情况较好，预算编制较科学准确，支出控制情况与执行进度情况较好。</w:t>
      </w:r>
    </w:p>
    <w:p>
      <w:pPr>
        <w:spacing w:line="600" w:lineRule="exact"/>
        <w:ind w:firstLine="664" w:firstLineChars="200"/>
        <w:rPr>
          <w:rFonts w:ascii="仿宋" w:hAnsi="仿宋" w:cs="仿宋"/>
          <w:color w:val="000000"/>
          <w:spacing w:val="6"/>
          <w:kern w:val="0"/>
          <w:shd w:val="clear" w:color="auto" w:fill="FFFFFF"/>
        </w:rPr>
      </w:pPr>
      <w:r>
        <w:rPr>
          <w:rFonts w:hint="eastAsia" w:ascii="仿宋" w:hAnsi="仿宋" w:cs="仿宋"/>
          <w:color w:val="000000"/>
          <w:spacing w:val="6"/>
          <w:kern w:val="0"/>
          <w:shd w:val="clear" w:color="auto" w:fill="FFFFFF"/>
        </w:rPr>
        <w:t>在绩效管理过程中，持续推进绩效申报、绩效跟踪、绩效评价、评价结果反馈应用、评价结果信息公开等各项工作。2021年结余注销额为1,539.91万元，较上年度下降784.08万元，部门绩效管理工作整体完成情况较好，且无违纪违规问题。</w:t>
      </w:r>
    </w:p>
    <w:p>
      <w:pPr>
        <w:spacing w:line="600" w:lineRule="exact"/>
        <w:ind w:firstLine="664" w:firstLineChars="200"/>
        <w:rPr>
          <w:rFonts w:ascii="仿宋_GB2312" w:hAnsi="宋体" w:eastAsia="仿宋_GB2312" w:cs="宋体"/>
          <w:color w:val="000000"/>
          <w:spacing w:val="6"/>
          <w:kern w:val="0"/>
          <w:shd w:val="clear" w:color="auto" w:fill="FFFFFF"/>
          <w:lang w:val="zh-CN"/>
        </w:rPr>
      </w:pPr>
      <w:r>
        <w:rPr>
          <w:rFonts w:hint="eastAsia" w:ascii="楷体_GB2312" w:hAnsi="楷体_GB2312" w:eastAsia="楷体_GB2312" w:cs="楷体_GB2312"/>
          <w:color w:val="000000"/>
          <w:spacing w:val="6"/>
          <w:kern w:val="0"/>
          <w:shd w:val="clear" w:color="auto" w:fill="FFFFFF"/>
          <w:lang w:val="zh-CN"/>
        </w:rPr>
        <w:t>（二）存在问题</w:t>
      </w:r>
    </w:p>
    <w:p>
      <w:pPr>
        <w:spacing w:line="600" w:lineRule="exact"/>
        <w:ind w:firstLine="664" w:firstLineChars="200"/>
        <w:rPr>
          <w:rFonts w:ascii="仿宋" w:hAnsi="仿宋" w:cs="仿宋"/>
          <w:color w:val="000000"/>
          <w:spacing w:val="6"/>
          <w:kern w:val="0"/>
          <w:shd w:val="clear" w:color="auto" w:fill="FFFFFF"/>
        </w:rPr>
      </w:pPr>
      <w:r>
        <w:rPr>
          <w:rFonts w:hint="eastAsia" w:ascii="仿宋" w:hAnsi="仿宋" w:cs="仿宋"/>
          <w:color w:val="000000"/>
          <w:spacing w:val="6"/>
          <w:kern w:val="0"/>
          <w:shd w:val="clear" w:color="auto" w:fill="FFFFFF"/>
        </w:rPr>
        <w:t>通过整体支出绩效自评得分情况，2021年省法院绩效评价工作总体完成较好，但仍存在以下四个问题：一是绩效指标设置有待完善。2021年我院已达到绩效目标设置要素完整与绩效指标设置细化量化的要求，但存在部分项目绩效指标设置不够精确，影响项目的总体产出和效果，不利于资金发挥最大效益。二是预算执行进度需更均衡。2021年1-6月预算执行进度低于序时进度的预算项目24个，究其原因，一部分是由于政府采购程序多、时间长，加之过程中受流标、供货商质疑等因素影响，导致执行进度较差；另一部分是由于部分项目实行“一采三年”，此类项目支付时间集中在年底，导致执行进度缓慢。三是绩效运行监控有待提升。部分项目绩效指标未完成，反映需提升绩效运行监控水平。四是监督指导力度还需加强。我院所属下级预算单位绩效管理工作尚有较大提升空间，包括绩效指标设置、绩效动态监控等，需加强对下属单位相关工作的监督指导力度。</w:t>
      </w:r>
    </w:p>
    <w:p>
      <w:pPr>
        <w:spacing w:line="600" w:lineRule="exact"/>
        <w:ind w:firstLine="664" w:firstLineChars="200"/>
        <w:rPr>
          <w:rFonts w:ascii="楷体_GB2312" w:hAnsi="楷体_GB2312" w:eastAsia="楷体_GB2312" w:cs="楷体_GB2312"/>
          <w:color w:val="000000"/>
          <w:spacing w:val="6"/>
          <w:kern w:val="0"/>
          <w:shd w:val="clear" w:color="auto" w:fill="FFFFFF"/>
          <w:lang w:val="zh-CN"/>
        </w:rPr>
      </w:pPr>
      <w:r>
        <w:rPr>
          <w:rFonts w:hint="eastAsia" w:ascii="楷体_GB2312" w:hAnsi="楷体_GB2312" w:eastAsia="楷体_GB2312" w:cs="楷体_GB2312"/>
          <w:color w:val="000000"/>
          <w:spacing w:val="6"/>
          <w:kern w:val="0"/>
          <w:shd w:val="clear" w:color="auto" w:fill="FFFFFF"/>
          <w:lang w:val="zh-CN"/>
        </w:rPr>
        <w:t>（三）改进建议</w:t>
      </w:r>
    </w:p>
    <w:p>
      <w:pPr>
        <w:spacing w:line="600" w:lineRule="exact"/>
        <w:ind w:firstLine="664" w:firstLineChars="200"/>
        <w:rPr>
          <w:rFonts w:ascii="仿宋" w:hAnsi="仿宋" w:cs="仿宋"/>
          <w:color w:val="000000"/>
          <w:spacing w:val="6"/>
          <w:kern w:val="0"/>
          <w:shd w:val="clear" w:color="auto" w:fill="FFFFFF"/>
        </w:rPr>
      </w:pPr>
      <w:r>
        <w:rPr>
          <w:rFonts w:hint="eastAsia" w:ascii="仿宋" w:hAnsi="仿宋" w:cs="仿宋"/>
          <w:color w:val="000000"/>
          <w:spacing w:val="6"/>
          <w:kern w:val="0"/>
          <w:shd w:val="clear" w:color="auto" w:fill="FFFFFF"/>
        </w:rPr>
        <w:t>在接下来的工作中，我院将继续严格按照财政预算绩效管理工作的部署和安排，有序开展各项相关工作。为了更好地完成预算绩效管理工作，结合本次自评情况，提出以下四点改进建议：一是完善绩效指标设置。继续梳理完善法院系统绩效指标体系，实现动态维护，持续优化指标。部门整体支出绩效目标的设置要最大限度贴合本部门年度任务与目标，体现重点工作，全面科学设置。并对业务部门组织开展绩效管理培训，提高各项目归口管理部门及下属单位相关人员的专业性，设置绩效目标时要符合“指向明确、细化量化、合理匹配、财力约束”等要求。二是均衡预算执行进度。增进各业务处室间的交流，业务与财务密切配合。一方面业务处室项目实施安排与财务处室预算资金情况相匹配，双方应积极沟通，避免预算执行进度不均衡；另一方面财务处室及时上报政府采购计划，相关处室协调支持，优化采购流程、缩短采购时间，共同推进预算执行进度。三是提升绩效运行监控。高度重视对项目执行进度、投入产出、绩效指标的阶段性完成情况，进行动态跟踪监控，加大纠偏工作力度。进一步提高财政资金使用效益，提升预算绩效管理水平，以绩效目标为牵引，强化绩效运行结果应用，实现动态调整。四是加强监督指导力度。省法院机关将在继续做好自身预算绩效管理工作的基础上，加强对下属单位相关工作的监督指导力度，并组织开展培训，推动整个部门的预算绩效管理工作。</w:t>
      </w:r>
    </w:p>
    <w:p>
      <w:pPr>
        <w:spacing w:line="600" w:lineRule="exact"/>
        <w:ind w:firstLine="664" w:firstLineChars="200"/>
        <w:rPr>
          <w:rFonts w:ascii="仿宋_GB2312" w:hAnsi="宋体" w:eastAsia="仿宋_GB2312" w:cs="宋体"/>
          <w:color w:val="000000"/>
          <w:spacing w:val="6"/>
          <w:kern w:val="0"/>
          <w:shd w:val="clear" w:color="auto" w:fill="FFFFFF"/>
        </w:rPr>
      </w:pPr>
    </w:p>
    <w:p>
      <w:pPr>
        <w:rPr>
          <w:rFonts w:ascii="黑体" w:hAnsi="黑体" w:eastAsia="黑体" w:cs="黑体"/>
          <w:color w:val="000000"/>
          <w:kern w:val="0"/>
          <w:shd w:val="clear" w:color="auto" w:fill="FFFFFF"/>
          <w:lang w:val="zh-CN"/>
        </w:rPr>
      </w:pPr>
      <w:r>
        <w:rPr>
          <w:rFonts w:ascii="黑体" w:hAnsi="黑体" w:eastAsia="黑体" w:cs="黑体"/>
          <w:color w:val="000000"/>
          <w:kern w:val="0"/>
          <w:shd w:val="clear" w:color="auto" w:fill="FFFFFF"/>
          <w:lang w:val="zh-CN"/>
        </w:rPr>
        <w:br w:type="page"/>
      </w:r>
    </w:p>
    <w:p>
      <w:pPr>
        <w:spacing w:line="600" w:lineRule="exact"/>
        <w:rPr>
          <w:spacing w:val="6"/>
          <w:lang w:val="zh-CN"/>
        </w:rPr>
      </w:pPr>
      <w:r>
        <w:rPr>
          <w:rFonts w:hint="eastAsia" w:ascii="黑体" w:hAnsi="黑体" w:eastAsia="黑体" w:cs="黑体"/>
          <w:color w:val="000000"/>
          <w:kern w:val="0"/>
          <w:shd w:val="clear" w:color="auto" w:fill="FFFFFF"/>
          <w:lang w:val="zh-CN"/>
        </w:rPr>
        <w:t>附表</w:t>
      </w:r>
      <w:r>
        <w:rPr>
          <w:rFonts w:hint="eastAsia" w:ascii="仿宋_GB2312" w:hAnsi="宋体" w:eastAsia="仿宋_GB2312" w:cs="宋体"/>
          <w:color w:val="000000"/>
          <w:kern w:val="0"/>
          <w:shd w:val="clear" w:color="auto" w:fill="FFFFFF"/>
          <w:lang w:val="zh-CN"/>
        </w:rPr>
        <w:t>：</w:t>
      </w:r>
    </w:p>
    <w:p>
      <w:pPr>
        <w:spacing w:line="600" w:lineRule="exact"/>
        <w:jc w:val="center"/>
      </w:pPr>
      <w:r>
        <w:rPr>
          <w:rFonts w:hint="eastAsia" w:ascii="宋体" w:hAnsi="宋体" w:eastAsia="宋体" w:cs="宋体"/>
          <w:b/>
          <w:color w:val="000000"/>
        </w:rPr>
        <w:t>2021年100万元以上（含）特定目标类部门预算项目绩效自评</w:t>
      </w:r>
    </w:p>
    <w:tbl>
      <w:tblPr>
        <w:tblStyle w:val="14"/>
        <w:tblW w:w="9119" w:type="dxa"/>
        <w:tblInd w:w="0" w:type="dxa"/>
        <w:tblLayout w:type="autofit"/>
        <w:tblCellMar>
          <w:top w:w="0" w:type="dxa"/>
          <w:left w:w="0" w:type="dxa"/>
          <w:bottom w:w="0" w:type="dxa"/>
          <w:right w:w="0" w:type="dxa"/>
        </w:tblCellMar>
      </w:tblPr>
      <w:tblGrid>
        <w:gridCol w:w="751"/>
        <w:gridCol w:w="1161"/>
        <w:gridCol w:w="1080"/>
        <w:gridCol w:w="629"/>
        <w:gridCol w:w="1713"/>
        <w:gridCol w:w="1820"/>
        <w:gridCol w:w="1965"/>
      </w:tblGrid>
      <w:tr>
        <w:tblPrEx>
          <w:tblCellMar>
            <w:top w:w="0" w:type="dxa"/>
            <w:left w:w="0" w:type="dxa"/>
            <w:bottom w:w="0" w:type="dxa"/>
            <w:right w:w="0" w:type="dxa"/>
          </w:tblCellMar>
        </w:tblPrEx>
        <w:trPr>
          <w:trHeight w:val="130" w:hRule="atLeast"/>
        </w:trPr>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项目名称</w:t>
            </w:r>
          </w:p>
        </w:tc>
        <w:tc>
          <w:tcPr>
            <w:tcW w:w="720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聘用制书记员、警辅人员经费</w:t>
            </w:r>
          </w:p>
        </w:tc>
      </w:tr>
      <w:tr>
        <w:tblPrEx>
          <w:tblCellMar>
            <w:top w:w="0" w:type="dxa"/>
            <w:left w:w="0" w:type="dxa"/>
            <w:bottom w:w="0" w:type="dxa"/>
            <w:right w:w="0" w:type="dxa"/>
          </w:tblCellMar>
        </w:tblPrEx>
        <w:trPr>
          <w:trHeight w:val="250" w:hRule="atLeast"/>
        </w:trPr>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主管部门及代码</w:t>
            </w:r>
          </w:p>
        </w:tc>
        <w:tc>
          <w:tcPr>
            <w:tcW w:w="342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四川省高级人民法院</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实施单位</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四川省高级人民法院</w:t>
            </w:r>
          </w:p>
        </w:tc>
      </w:tr>
      <w:tr>
        <w:tblPrEx>
          <w:tblCellMar>
            <w:top w:w="0" w:type="dxa"/>
            <w:left w:w="0" w:type="dxa"/>
            <w:bottom w:w="0" w:type="dxa"/>
            <w:right w:w="0" w:type="dxa"/>
          </w:tblCellMar>
        </w:tblPrEx>
        <w:trPr>
          <w:trHeight w:val="130" w:hRule="atLeast"/>
        </w:trPr>
        <w:tc>
          <w:tcPr>
            <w:tcW w:w="191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项目预算</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执行情况</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（万元）</w:t>
            </w:r>
          </w:p>
        </w:tc>
        <w:tc>
          <w:tcPr>
            <w:tcW w:w="17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预算数：</w:t>
            </w:r>
          </w:p>
        </w:tc>
        <w:tc>
          <w:tcPr>
            <w:tcW w:w="1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1022.43</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执行数：</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749.18</w:t>
            </w:r>
          </w:p>
        </w:tc>
      </w:tr>
      <w:tr>
        <w:tblPrEx>
          <w:tblCellMar>
            <w:top w:w="0" w:type="dxa"/>
            <w:left w:w="0" w:type="dxa"/>
            <w:bottom w:w="0" w:type="dxa"/>
            <w:right w:w="0" w:type="dxa"/>
          </w:tblCellMar>
        </w:tblPrEx>
        <w:trPr>
          <w:trHeight w:val="250" w:hRule="atLeast"/>
        </w:trPr>
        <w:tc>
          <w:tcPr>
            <w:tcW w:w="191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7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其中：财政拨款</w:t>
            </w:r>
          </w:p>
        </w:tc>
        <w:tc>
          <w:tcPr>
            <w:tcW w:w="1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1022.43</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其中：财政拨款</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749.18</w:t>
            </w:r>
          </w:p>
        </w:tc>
      </w:tr>
      <w:tr>
        <w:tblPrEx>
          <w:tblCellMar>
            <w:top w:w="0" w:type="dxa"/>
            <w:left w:w="0" w:type="dxa"/>
            <w:bottom w:w="0" w:type="dxa"/>
            <w:right w:w="0" w:type="dxa"/>
          </w:tblCellMar>
        </w:tblPrEx>
        <w:trPr>
          <w:trHeight w:val="250" w:hRule="atLeast"/>
        </w:trPr>
        <w:tc>
          <w:tcPr>
            <w:tcW w:w="191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7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其他资金</w:t>
            </w:r>
          </w:p>
        </w:tc>
        <w:tc>
          <w:tcPr>
            <w:tcW w:w="1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0.0</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其他资金</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0.0</w:t>
            </w:r>
          </w:p>
        </w:tc>
      </w:tr>
      <w:tr>
        <w:tblPrEx>
          <w:tblCellMar>
            <w:top w:w="0" w:type="dxa"/>
            <w:left w:w="0" w:type="dxa"/>
            <w:bottom w:w="0" w:type="dxa"/>
            <w:right w:w="0" w:type="dxa"/>
          </w:tblCellMar>
        </w:tblPrEx>
        <w:trPr>
          <w:trHeight w:val="130" w:hRule="atLeast"/>
        </w:trPr>
        <w:tc>
          <w:tcPr>
            <w:tcW w:w="7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度</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总</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体</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目</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完</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成</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情</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况</w:t>
            </w:r>
          </w:p>
        </w:tc>
        <w:tc>
          <w:tcPr>
            <w:tcW w:w="458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预期目标</w:t>
            </w:r>
          </w:p>
        </w:tc>
        <w:tc>
          <w:tcPr>
            <w:tcW w:w="37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目标实际完成情况</w:t>
            </w:r>
          </w:p>
        </w:tc>
      </w:tr>
      <w:tr>
        <w:tblPrEx>
          <w:tblCellMar>
            <w:top w:w="0" w:type="dxa"/>
            <w:left w:w="0" w:type="dxa"/>
            <w:bottom w:w="0" w:type="dxa"/>
            <w:right w:w="0" w:type="dxa"/>
          </w:tblCellMar>
        </w:tblPrEx>
        <w:trPr>
          <w:trHeight w:val="1081"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458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根据最高院部署，保障司法审判正常运转，对员额法官按照1:1:1的比例配备法官助理及聘用制书记员。截止目前，省法院机关聘用制书记员92人，新招录30人，该项目年度总体目标就是保障好122人的工资薪酬、社保公积金以及零星公用。</w:t>
            </w:r>
          </w:p>
        </w:tc>
        <w:tc>
          <w:tcPr>
            <w:tcW w:w="37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完成保障聘用制书记员、警辅人员的工资薪酬、社保公积金以及零星公用。</w:t>
            </w:r>
          </w:p>
        </w:tc>
      </w:tr>
      <w:tr>
        <w:tblPrEx>
          <w:tblCellMar>
            <w:top w:w="0" w:type="dxa"/>
            <w:left w:w="0" w:type="dxa"/>
            <w:bottom w:w="0" w:type="dxa"/>
            <w:right w:w="0" w:type="dxa"/>
          </w:tblCellMar>
        </w:tblPrEx>
        <w:trPr>
          <w:trHeight w:val="250" w:hRule="atLeast"/>
        </w:trPr>
        <w:tc>
          <w:tcPr>
            <w:tcW w:w="7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年度绩效指标完成情况</w:t>
            </w:r>
          </w:p>
        </w:tc>
        <w:tc>
          <w:tcPr>
            <w:tcW w:w="11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一级指标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二级指标</w:t>
            </w:r>
          </w:p>
        </w:tc>
        <w:tc>
          <w:tcPr>
            <w:tcW w:w="2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三级指标</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预期指标值</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实际完成指标值</w:t>
            </w:r>
          </w:p>
        </w:tc>
      </w:tr>
      <w:tr>
        <w:tblPrEx>
          <w:tblCellMar>
            <w:top w:w="0" w:type="dxa"/>
            <w:left w:w="0" w:type="dxa"/>
            <w:bottom w:w="0" w:type="dxa"/>
            <w:right w:w="0" w:type="dxa"/>
          </w:tblCellMar>
        </w:tblPrEx>
        <w:trPr>
          <w:trHeight w:val="360"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16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完成</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数量指标</w:t>
            </w:r>
          </w:p>
        </w:tc>
        <w:tc>
          <w:tcPr>
            <w:tcW w:w="2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年度保障人数</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122</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cs="宋体"/>
                <w:spacing w:val="6"/>
                <w:sz w:val="24"/>
                <w:szCs w:val="24"/>
                <w:lang w:val="en-US" w:eastAsia="zh-CN"/>
              </w:rPr>
              <w:t>157</w:t>
            </w:r>
          </w:p>
        </w:tc>
      </w:tr>
      <w:tr>
        <w:tblPrEx>
          <w:tblCellMar>
            <w:top w:w="0" w:type="dxa"/>
            <w:left w:w="0" w:type="dxa"/>
            <w:bottom w:w="0" w:type="dxa"/>
            <w:right w:w="0" w:type="dxa"/>
          </w:tblCellMar>
        </w:tblPrEx>
        <w:trPr>
          <w:trHeight w:val="210"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161" w:type="dxa"/>
            <w:vMerge w:val="continue"/>
            <w:tcBorders>
              <w:left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质量指标</w:t>
            </w:r>
          </w:p>
        </w:tc>
        <w:tc>
          <w:tcPr>
            <w:tcW w:w="2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保障质量</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地区最低收入标准以上</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地区最低收入标准以上</w:t>
            </w:r>
          </w:p>
        </w:tc>
      </w:tr>
      <w:tr>
        <w:tblPrEx>
          <w:tblCellMar>
            <w:top w:w="0" w:type="dxa"/>
            <w:left w:w="0" w:type="dxa"/>
            <w:bottom w:w="0" w:type="dxa"/>
            <w:right w:w="0" w:type="dxa"/>
          </w:tblCellMar>
        </w:tblPrEx>
        <w:trPr>
          <w:trHeight w:val="130"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161" w:type="dxa"/>
            <w:vMerge w:val="continue"/>
            <w:tcBorders>
              <w:left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时效指标</w:t>
            </w:r>
          </w:p>
        </w:tc>
        <w:tc>
          <w:tcPr>
            <w:tcW w:w="2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完成时限（保障期限）</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2021年12月31日前</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2021年12月31日前</w:t>
            </w:r>
          </w:p>
        </w:tc>
      </w:tr>
      <w:tr>
        <w:tblPrEx>
          <w:tblCellMar>
            <w:top w:w="0" w:type="dxa"/>
            <w:left w:w="0" w:type="dxa"/>
            <w:bottom w:w="0" w:type="dxa"/>
            <w:right w:w="0" w:type="dxa"/>
          </w:tblCellMar>
        </w:tblPrEx>
        <w:trPr>
          <w:trHeight w:val="130"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161" w:type="dxa"/>
            <w:vMerge w:val="continue"/>
            <w:tcBorders>
              <w:left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成本指标</w:t>
            </w:r>
          </w:p>
        </w:tc>
        <w:tc>
          <w:tcPr>
            <w:tcW w:w="2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人均成本</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7.97万元/人</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7.97万元/人</w:t>
            </w:r>
          </w:p>
        </w:tc>
      </w:tr>
      <w:tr>
        <w:tblPrEx>
          <w:tblCellMar>
            <w:top w:w="0" w:type="dxa"/>
            <w:left w:w="0" w:type="dxa"/>
            <w:bottom w:w="0" w:type="dxa"/>
            <w:right w:w="0" w:type="dxa"/>
          </w:tblCellMar>
        </w:tblPrEx>
        <w:trPr>
          <w:trHeight w:val="130"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16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2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一次性装备保障成本</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0.75万元/人</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0.75万元/人</w:t>
            </w:r>
          </w:p>
        </w:tc>
      </w:tr>
      <w:tr>
        <w:tblPrEx>
          <w:tblCellMar>
            <w:top w:w="0" w:type="dxa"/>
            <w:left w:w="0" w:type="dxa"/>
            <w:bottom w:w="0" w:type="dxa"/>
            <w:right w:w="0" w:type="dxa"/>
          </w:tblCellMar>
        </w:tblPrEx>
        <w:trPr>
          <w:trHeight w:val="210"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1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效</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益</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社会效益指标</w:t>
            </w:r>
          </w:p>
        </w:tc>
        <w:tc>
          <w:tcPr>
            <w:tcW w:w="2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对工作的促进作用</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辅助员额法官及时完成司法审判任务</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辅助员额法官及时完成司法审判任务</w:t>
            </w:r>
          </w:p>
        </w:tc>
      </w:tr>
      <w:tr>
        <w:tblPrEx>
          <w:tblCellMar>
            <w:top w:w="0" w:type="dxa"/>
            <w:left w:w="0" w:type="dxa"/>
            <w:bottom w:w="0" w:type="dxa"/>
            <w:right w:w="0" w:type="dxa"/>
          </w:tblCellMar>
        </w:tblPrEx>
        <w:trPr>
          <w:trHeight w:val="542"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1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可持续</w:t>
            </w:r>
          </w:p>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影响</w:t>
            </w:r>
          </w:p>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指标</w:t>
            </w:r>
          </w:p>
        </w:tc>
        <w:tc>
          <w:tcPr>
            <w:tcW w:w="2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可持续影响</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1年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1年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p>
        </w:tc>
      </w:tr>
      <w:tr>
        <w:tblPrEx>
          <w:tblCellMar>
            <w:top w:w="0" w:type="dxa"/>
            <w:left w:w="0" w:type="dxa"/>
            <w:bottom w:w="0" w:type="dxa"/>
            <w:right w:w="0" w:type="dxa"/>
          </w:tblCellMar>
        </w:tblPrEx>
        <w:trPr>
          <w:trHeight w:val="514" w:hRule="atLeast"/>
        </w:trPr>
        <w:tc>
          <w:tcPr>
            <w:tcW w:w="7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满</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意</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度</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满意度</w:t>
            </w:r>
          </w:p>
          <w:p>
            <w:pPr>
              <w:keepNext w:val="0"/>
              <w:keepLines w:val="0"/>
              <w:pageBreakBefore w:val="0"/>
              <w:widowControl w:val="0"/>
              <w:kinsoku/>
              <w:wordWrap/>
              <w:overflowPunct/>
              <w:topLinePunct w:val="0"/>
              <w:bidi w:val="0"/>
              <w:adjustRightInd/>
              <w:spacing w:line="600" w:lineRule="exact"/>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指标</w:t>
            </w:r>
          </w:p>
        </w:tc>
        <w:tc>
          <w:tcPr>
            <w:tcW w:w="2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使用部门满意度</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≥95%</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≥95%</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br w:type="textWrapping"/>
            </w:r>
          </w:p>
        </w:tc>
      </w:tr>
    </w:tbl>
    <w:p>
      <w:pPr>
        <w:keepNext w:val="0"/>
        <w:keepLines w:val="0"/>
        <w:pageBreakBefore w:val="0"/>
        <w:widowControl w:val="0"/>
        <w:kinsoku/>
        <w:wordWrap/>
        <w:overflowPunct/>
        <w:topLinePunct w:val="0"/>
        <w:bidi w:val="0"/>
        <w:adjustRightInd/>
        <w:spacing w:line="600" w:lineRule="exact"/>
        <w:textAlignment w:val="auto"/>
        <w:rPr>
          <w:rFonts w:hint="default"/>
          <w:spacing w:val="6"/>
          <w:lang w:val="en-US" w:eastAsia="zh-CN"/>
        </w:rPr>
        <w:sectPr>
          <w:footerReference r:id="rId3" w:type="default"/>
          <w:pgSz w:w="11910" w:h="16840"/>
          <w:pgMar w:top="1580" w:right="1320" w:bottom="1620" w:left="1500" w:header="0" w:footer="1427" w:gutter="0"/>
          <w:cols w:space="720" w:num="1"/>
        </w:sectPr>
      </w:pPr>
    </w:p>
    <w:tbl>
      <w:tblPr>
        <w:tblStyle w:val="14"/>
        <w:tblW w:w="9099" w:type="dxa"/>
        <w:tblInd w:w="0" w:type="dxa"/>
        <w:tblLayout w:type="autofit"/>
        <w:tblCellMar>
          <w:top w:w="0" w:type="dxa"/>
          <w:left w:w="0" w:type="dxa"/>
          <w:bottom w:w="0" w:type="dxa"/>
          <w:right w:w="0" w:type="dxa"/>
        </w:tblCellMar>
      </w:tblPr>
      <w:tblGrid>
        <w:gridCol w:w="751"/>
        <w:gridCol w:w="1074"/>
        <w:gridCol w:w="1140"/>
        <w:gridCol w:w="652"/>
        <w:gridCol w:w="1573"/>
        <w:gridCol w:w="1954"/>
        <w:gridCol w:w="1955"/>
      </w:tblGrid>
      <w:tr>
        <w:tblPrEx>
          <w:tblCellMar>
            <w:top w:w="0" w:type="dxa"/>
            <w:left w:w="0" w:type="dxa"/>
            <w:bottom w:w="0" w:type="dxa"/>
            <w:right w:w="0" w:type="dxa"/>
          </w:tblCellMar>
        </w:tblPrEx>
        <w:trPr>
          <w:trHeight w:val="589" w:hRule="atLeast"/>
        </w:trPr>
        <w:tc>
          <w:tcPr>
            <w:tcW w:w="1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项目名称</w:t>
            </w:r>
          </w:p>
        </w:tc>
        <w:tc>
          <w:tcPr>
            <w:tcW w:w="727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四川法院政法教育整顿专项经费</w:t>
            </w:r>
          </w:p>
        </w:tc>
      </w:tr>
      <w:tr>
        <w:tblPrEx>
          <w:tblCellMar>
            <w:top w:w="0" w:type="dxa"/>
            <w:left w:w="0" w:type="dxa"/>
            <w:bottom w:w="0" w:type="dxa"/>
            <w:right w:w="0" w:type="dxa"/>
          </w:tblCellMar>
        </w:tblPrEx>
        <w:trPr>
          <w:trHeight w:val="589" w:hRule="atLeast"/>
        </w:trPr>
        <w:tc>
          <w:tcPr>
            <w:tcW w:w="1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主管部门及代码</w:t>
            </w:r>
          </w:p>
        </w:tc>
        <w:tc>
          <w:tcPr>
            <w:tcW w:w="33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实施单位</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r>
      <w:tr>
        <w:tblPrEx>
          <w:tblCellMar>
            <w:top w:w="0" w:type="dxa"/>
            <w:left w:w="0" w:type="dxa"/>
            <w:bottom w:w="0" w:type="dxa"/>
            <w:right w:w="0" w:type="dxa"/>
          </w:tblCellMar>
        </w:tblPrEx>
        <w:trPr>
          <w:trHeight w:val="589" w:hRule="atLeast"/>
        </w:trPr>
        <w:tc>
          <w:tcPr>
            <w:tcW w:w="1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项目预算</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执行情况</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（万元）</w:t>
            </w:r>
          </w:p>
        </w:tc>
        <w:tc>
          <w:tcPr>
            <w:tcW w:w="17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预算数：</w:t>
            </w:r>
          </w:p>
        </w:tc>
        <w:tc>
          <w:tcPr>
            <w:tcW w:w="1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670.0</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执行数：</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666.18</w:t>
            </w:r>
          </w:p>
        </w:tc>
      </w:tr>
      <w:tr>
        <w:tblPrEx>
          <w:tblCellMar>
            <w:top w:w="0" w:type="dxa"/>
            <w:left w:w="0" w:type="dxa"/>
            <w:bottom w:w="0" w:type="dxa"/>
            <w:right w:w="0" w:type="dxa"/>
          </w:tblCellMar>
        </w:tblPrEx>
        <w:trPr>
          <w:trHeight w:val="779" w:hRule="atLeast"/>
        </w:trPr>
        <w:tc>
          <w:tcPr>
            <w:tcW w:w="1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670.0</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666.18</w:t>
            </w:r>
          </w:p>
        </w:tc>
      </w:tr>
      <w:tr>
        <w:tblPrEx>
          <w:tblCellMar>
            <w:top w:w="0" w:type="dxa"/>
            <w:left w:w="0" w:type="dxa"/>
            <w:bottom w:w="0" w:type="dxa"/>
            <w:right w:w="0" w:type="dxa"/>
          </w:tblCellMar>
        </w:tblPrEx>
        <w:trPr>
          <w:trHeight w:val="779" w:hRule="atLeast"/>
        </w:trPr>
        <w:tc>
          <w:tcPr>
            <w:tcW w:w="1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r>
      <w:tr>
        <w:tblPrEx>
          <w:tblCellMar>
            <w:top w:w="0" w:type="dxa"/>
            <w:left w:w="0" w:type="dxa"/>
            <w:bottom w:w="0" w:type="dxa"/>
            <w:right w:w="0" w:type="dxa"/>
          </w:tblCellMar>
        </w:tblPrEx>
        <w:trPr>
          <w:trHeight w:val="589" w:hRule="atLeast"/>
        </w:trPr>
        <w:tc>
          <w:tcPr>
            <w:tcW w:w="7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度</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总</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体</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目</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完</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成</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情</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况</w:t>
            </w:r>
          </w:p>
        </w:tc>
        <w:tc>
          <w:tcPr>
            <w:tcW w:w="4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预期目标</w:t>
            </w:r>
          </w:p>
        </w:tc>
        <w:tc>
          <w:tcPr>
            <w:tcW w:w="39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目标实际完成情况</w:t>
            </w:r>
          </w:p>
        </w:tc>
      </w:tr>
      <w:tr>
        <w:tblPrEx>
          <w:tblCellMar>
            <w:top w:w="0" w:type="dxa"/>
            <w:left w:w="0" w:type="dxa"/>
            <w:bottom w:w="0" w:type="dxa"/>
            <w:right w:w="0" w:type="dxa"/>
          </w:tblCellMar>
        </w:tblPrEx>
        <w:trPr>
          <w:trHeight w:val="3327" w:hRule="atLeast"/>
        </w:trPr>
        <w:tc>
          <w:tcPr>
            <w:tcW w:w="7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4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落实中央政法整顿教育专项工作部署，完成四川法院系统政法整顿教育工作。</w:t>
            </w:r>
          </w:p>
        </w:tc>
        <w:tc>
          <w:tcPr>
            <w:tcW w:w="39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完成四川法院系统政法整顿教育工作。</w:t>
            </w:r>
          </w:p>
        </w:tc>
      </w:tr>
      <w:tr>
        <w:tblPrEx>
          <w:tblCellMar>
            <w:top w:w="0" w:type="dxa"/>
            <w:left w:w="0" w:type="dxa"/>
            <w:bottom w:w="0" w:type="dxa"/>
            <w:right w:w="0" w:type="dxa"/>
          </w:tblCellMar>
        </w:tblPrEx>
        <w:trPr>
          <w:trHeight w:val="779" w:hRule="atLeast"/>
        </w:trPr>
        <w:tc>
          <w:tcPr>
            <w:tcW w:w="7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年度绩效指标完成情况</w:t>
            </w:r>
          </w:p>
        </w:tc>
        <w:tc>
          <w:tcPr>
            <w:tcW w:w="107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一级指标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二级指标</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三级指标</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预期指标值</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实际完成指标值</w:t>
            </w:r>
          </w:p>
        </w:tc>
      </w:tr>
      <w:tr>
        <w:tblPrEx>
          <w:tblCellMar>
            <w:top w:w="0" w:type="dxa"/>
            <w:left w:w="0" w:type="dxa"/>
            <w:bottom w:w="0" w:type="dxa"/>
            <w:right w:w="0" w:type="dxa"/>
          </w:tblCellMar>
        </w:tblPrEx>
        <w:trPr>
          <w:trHeight w:val="749"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7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完成</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指标</w:t>
            </w:r>
          </w:p>
        </w:tc>
        <w:tc>
          <w:tcPr>
            <w:tcW w:w="1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数量指标</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会议次数</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不少于3次</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16</w:t>
            </w:r>
            <w:r>
              <w:rPr>
                <w:rFonts w:hint="eastAsia" w:ascii="宋体" w:hAnsi="宋体" w:eastAsia="宋体" w:cs="宋体"/>
                <w:spacing w:val="6"/>
                <w:sz w:val="24"/>
                <w:szCs w:val="24"/>
                <w:lang w:val="en-US" w:eastAsia="zh-CN"/>
              </w:rPr>
              <w:t>次</w:t>
            </w:r>
          </w:p>
        </w:tc>
      </w:tr>
      <w:tr>
        <w:tblPrEx>
          <w:tblCellMar>
            <w:top w:w="0" w:type="dxa"/>
            <w:left w:w="0" w:type="dxa"/>
            <w:bottom w:w="0" w:type="dxa"/>
            <w:right w:w="0" w:type="dxa"/>
          </w:tblCellMar>
        </w:tblPrEx>
        <w:trPr>
          <w:trHeight w:val="638"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7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专用设备购置</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10件</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eastAsia" w:ascii="宋体" w:hAnsi="宋体" w:cs="宋体"/>
                <w:spacing w:val="6"/>
                <w:sz w:val="24"/>
                <w:szCs w:val="24"/>
                <w:lang w:val="en-US" w:eastAsia="zh-CN"/>
              </w:rPr>
              <w:t>12</w:t>
            </w:r>
            <w:r>
              <w:rPr>
                <w:rFonts w:hint="default" w:ascii="宋体" w:hAnsi="宋体" w:eastAsia="宋体" w:cs="宋体"/>
                <w:spacing w:val="6"/>
                <w:sz w:val="24"/>
                <w:szCs w:val="24"/>
                <w:lang w:val="en-US" w:eastAsia="zh-CN"/>
              </w:rPr>
              <w:t>件</w:t>
            </w:r>
          </w:p>
        </w:tc>
      </w:tr>
      <w:tr>
        <w:tblPrEx>
          <w:tblCellMar>
            <w:top w:w="0" w:type="dxa"/>
            <w:left w:w="0" w:type="dxa"/>
            <w:bottom w:w="0" w:type="dxa"/>
            <w:right w:w="0" w:type="dxa"/>
          </w:tblCellMar>
        </w:tblPrEx>
        <w:trPr>
          <w:trHeight w:val="933"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7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质量指标</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工作完成率</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≥90%</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≥90%</w:t>
            </w:r>
          </w:p>
        </w:tc>
      </w:tr>
      <w:tr>
        <w:tblPrEx>
          <w:tblCellMar>
            <w:top w:w="0" w:type="dxa"/>
            <w:left w:w="0" w:type="dxa"/>
            <w:bottom w:w="0" w:type="dxa"/>
            <w:right w:w="0" w:type="dxa"/>
          </w:tblCellMar>
        </w:tblPrEx>
        <w:trPr>
          <w:trHeight w:val="638"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74"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时效指标</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完成时间</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2021年12月31日前</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2021年12月31日前</w:t>
            </w:r>
          </w:p>
        </w:tc>
      </w:tr>
      <w:tr>
        <w:tblPrEx>
          <w:tblCellMar>
            <w:top w:w="0" w:type="dxa"/>
            <w:left w:w="0" w:type="dxa"/>
            <w:bottom w:w="0" w:type="dxa"/>
            <w:right w:w="0" w:type="dxa"/>
          </w:tblCellMar>
        </w:tblPrEx>
        <w:trPr>
          <w:trHeight w:val="684"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74" w:type="dxa"/>
            <w:vMerge w:val="restart"/>
            <w:tcBorders>
              <w:top w:val="single" w:color="auto"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效</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益</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社会效益指标</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对工作的促进作用</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推进四川法院政法整顿教育工作，提升司法公信力</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推进四川法院政法整顿教育工作，提升司法公信力</w:t>
            </w:r>
          </w:p>
        </w:tc>
      </w:tr>
      <w:tr>
        <w:tblPrEx>
          <w:tblCellMar>
            <w:top w:w="0" w:type="dxa"/>
            <w:left w:w="0" w:type="dxa"/>
            <w:bottom w:w="0" w:type="dxa"/>
            <w:right w:w="0" w:type="dxa"/>
          </w:tblCellMar>
        </w:tblPrEx>
        <w:trPr>
          <w:trHeight w:val="654" w:hRule="atLeast"/>
        </w:trPr>
        <w:tc>
          <w:tcPr>
            <w:tcW w:w="75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可持续</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影响</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指标</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可持续影响</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r>
      <w:tr>
        <w:tblPrEx>
          <w:tblCellMar>
            <w:top w:w="0" w:type="dxa"/>
            <w:left w:w="0" w:type="dxa"/>
            <w:bottom w:w="0" w:type="dxa"/>
            <w:right w:w="0" w:type="dxa"/>
          </w:tblCellMar>
        </w:tblPrEx>
        <w:trPr>
          <w:trHeight w:val="1644" w:hRule="atLeast"/>
        </w:trPr>
        <w:tc>
          <w:tcPr>
            <w:tcW w:w="75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意</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度</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满意度</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指标</w:t>
            </w:r>
          </w:p>
        </w:tc>
        <w:tc>
          <w:tcPr>
            <w:tcW w:w="22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服务部门满意度</w:t>
            </w:r>
          </w:p>
        </w:tc>
        <w:tc>
          <w:tcPr>
            <w:tcW w:w="1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≥90%</w:t>
            </w:r>
          </w:p>
        </w:tc>
        <w:tc>
          <w:tcPr>
            <w:tcW w:w="1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≥90%</w:t>
            </w:r>
          </w:p>
        </w:tc>
      </w:tr>
    </w:tbl>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tbl>
      <w:tblPr>
        <w:tblStyle w:val="14"/>
        <w:tblW w:w="8759" w:type="dxa"/>
        <w:tblInd w:w="0" w:type="dxa"/>
        <w:tblLayout w:type="autofit"/>
        <w:tblCellMar>
          <w:top w:w="0" w:type="dxa"/>
          <w:left w:w="0" w:type="dxa"/>
          <w:bottom w:w="0" w:type="dxa"/>
          <w:right w:w="0" w:type="dxa"/>
        </w:tblCellMar>
      </w:tblPr>
      <w:tblGrid>
        <w:gridCol w:w="722"/>
        <w:gridCol w:w="1193"/>
        <w:gridCol w:w="1290"/>
        <w:gridCol w:w="540"/>
        <w:gridCol w:w="1080"/>
        <w:gridCol w:w="2052"/>
        <w:gridCol w:w="1882"/>
      </w:tblGrid>
      <w:tr>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项目名称</w:t>
            </w:r>
          </w:p>
        </w:tc>
        <w:tc>
          <w:tcPr>
            <w:tcW w:w="684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案件审判经费</w:t>
            </w:r>
          </w:p>
        </w:tc>
      </w:tr>
      <w:tr>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主管部门及代码</w:t>
            </w:r>
          </w:p>
        </w:tc>
        <w:tc>
          <w:tcPr>
            <w:tcW w:w="29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实施单位</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r>
      <w:tr>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项目预算</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执行情况</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预算数：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509.46</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执行数：</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505.76</w:t>
            </w:r>
          </w:p>
        </w:tc>
      </w:tr>
      <w:tr>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509.46</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505.76</w:t>
            </w:r>
          </w:p>
        </w:tc>
      </w:tr>
      <w:tr>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r>
      <w:tr>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度</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总</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体</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目</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完</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成</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情</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况</w:t>
            </w:r>
          </w:p>
        </w:tc>
        <w:tc>
          <w:tcPr>
            <w:tcW w:w="41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预期目标</w:t>
            </w:r>
          </w:p>
        </w:tc>
        <w:tc>
          <w:tcPr>
            <w:tcW w:w="3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目标实际完成情况</w:t>
            </w:r>
          </w:p>
        </w:tc>
      </w:tr>
      <w:tr>
        <w:tblPrEx>
          <w:tblCellMar>
            <w:top w:w="0" w:type="dxa"/>
            <w:left w:w="0" w:type="dxa"/>
            <w:bottom w:w="0" w:type="dxa"/>
            <w:right w:w="0" w:type="dxa"/>
          </w:tblCellMar>
        </w:tblPrEx>
        <w:trPr>
          <w:trHeight w:val="3302" w:hRule="atLeast"/>
        </w:trPr>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41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保障人民法院用于履行审判职责，完成日常和特定的办理案件及开展业务工作任务所发生的经费支出。主要包括解决法律文书、案件执行、负责审判、翻译公告以及案件审判其他相关事宜零星支出等。</w:t>
            </w:r>
          </w:p>
        </w:tc>
        <w:tc>
          <w:tcPr>
            <w:tcW w:w="39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完成保障人民法院用于履行审判职责，支付日常和特定的办理案件及开展业务工作任务所发生的经费。</w:t>
            </w:r>
          </w:p>
        </w:tc>
      </w:tr>
      <w:tr>
        <w:tblPrEx>
          <w:tblCellMar>
            <w:top w:w="0" w:type="dxa"/>
            <w:left w:w="0" w:type="dxa"/>
            <w:bottom w:w="0" w:type="dxa"/>
            <w:right w:w="0" w:type="dxa"/>
          </w:tblCellMar>
        </w:tblPrEx>
        <w:trPr>
          <w:trHeight w:val="762" w:hRule="atLeast"/>
        </w:trPr>
        <w:tc>
          <w:tcPr>
            <w:tcW w:w="7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年度绩效指标完成情况</w:t>
            </w:r>
          </w:p>
        </w:tc>
        <w:tc>
          <w:tcPr>
            <w:tcW w:w="11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二级指标</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三级指标</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预期指标值</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实际完成指标值</w:t>
            </w:r>
          </w:p>
        </w:tc>
      </w:tr>
      <w:tr>
        <w:tblPrEx>
          <w:tblCellMar>
            <w:top w:w="0" w:type="dxa"/>
            <w:left w:w="0" w:type="dxa"/>
            <w:bottom w:w="0" w:type="dxa"/>
            <w:right w:w="0" w:type="dxa"/>
          </w:tblCellMar>
        </w:tblPrEx>
        <w:trPr>
          <w:trHeight w:val="1100" w:hRule="atLeast"/>
        </w:trPr>
        <w:tc>
          <w:tcPr>
            <w:tcW w:w="72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9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成</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数量指标</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年度案件审判总量</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15000余件</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eastAsia" w:ascii="宋体" w:hAnsi="宋体" w:cs="宋体"/>
                <w:spacing w:val="6"/>
                <w:sz w:val="24"/>
                <w:szCs w:val="24"/>
                <w:lang w:val="en-US" w:eastAsia="zh-CN"/>
              </w:rPr>
              <w:t>19320</w:t>
            </w:r>
            <w:r>
              <w:rPr>
                <w:rFonts w:hint="eastAsia" w:ascii="宋体" w:hAnsi="宋体" w:eastAsia="宋体" w:cs="宋体"/>
                <w:spacing w:val="6"/>
                <w:sz w:val="24"/>
                <w:szCs w:val="24"/>
                <w:lang w:val="en-US" w:eastAsia="zh-CN"/>
              </w:rPr>
              <w:t>件</w:t>
            </w:r>
          </w:p>
        </w:tc>
      </w:tr>
      <w:tr>
        <w:tblPrEx>
          <w:tblCellMar>
            <w:top w:w="0" w:type="dxa"/>
            <w:left w:w="0" w:type="dxa"/>
            <w:bottom w:w="0" w:type="dxa"/>
            <w:right w:w="0" w:type="dxa"/>
          </w:tblCellMar>
        </w:tblPrEx>
        <w:trPr>
          <w:trHeight w:val="396" w:hRule="atLeast"/>
        </w:trPr>
        <w:tc>
          <w:tcPr>
            <w:tcW w:w="72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质量指标</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人大赞成率</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&gt;92%</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97.41%</w:t>
            </w:r>
          </w:p>
        </w:tc>
      </w:tr>
      <w:tr>
        <w:tblPrEx>
          <w:tblCellMar>
            <w:top w:w="0" w:type="dxa"/>
            <w:left w:w="0" w:type="dxa"/>
            <w:bottom w:w="0" w:type="dxa"/>
            <w:right w:w="0" w:type="dxa"/>
          </w:tblCellMar>
        </w:tblPrEx>
        <w:trPr>
          <w:trHeight w:val="396" w:hRule="atLeast"/>
        </w:trPr>
        <w:tc>
          <w:tcPr>
            <w:tcW w:w="72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时效指标</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完成时间</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2021年12月31日前</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2021年12月31日前</w:t>
            </w:r>
          </w:p>
        </w:tc>
      </w:tr>
      <w:tr>
        <w:tblPrEx>
          <w:tblCellMar>
            <w:top w:w="0" w:type="dxa"/>
            <w:left w:w="0" w:type="dxa"/>
            <w:bottom w:w="0" w:type="dxa"/>
            <w:right w:w="0" w:type="dxa"/>
          </w:tblCellMar>
        </w:tblPrEx>
        <w:trPr>
          <w:trHeight w:val="396" w:hRule="atLeast"/>
        </w:trPr>
        <w:tc>
          <w:tcPr>
            <w:tcW w:w="72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成本指标</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案均成本</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300元</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200</w:t>
            </w:r>
            <w:r>
              <w:rPr>
                <w:rFonts w:hint="eastAsia" w:ascii="宋体" w:hAnsi="宋体" w:eastAsia="宋体" w:cs="宋体"/>
                <w:spacing w:val="6"/>
                <w:sz w:val="24"/>
                <w:szCs w:val="24"/>
                <w:lang w:val="en-US" w:eastAsia="zh-CN"/>
              </w:rPr>
              <w:t>元</w:t>
            </w:r>
          </w:p>
        </w:tc>
      </w:tr>
      <w:tr>
        <w:tblPrEx>
          <w:tblCellMar>
            <w:top w:w="0" w:type="dxa"/>
            <w:left w:w="0" w:type="dxa"/>
            <w:bottom w:w="0" w:type="dxa"/>
            <w:right w:w="0" w:type="dxa"/>
          </w:tblCellMar>
        </w:tblPrEx>
        <w:trPr>
          <w:trHeight w:val="2169" w:hRule="atLeast"/>
        </w:trPr>
        <w:tc>
          <w:tcPr>
            <w:tcW w:w="72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效</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益</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社会效益</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指标</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对工作的促进作用</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把握治蜀兴川法制保障新要求，充分发挥刑事、民事、行政等各类审判作用，重点打击突出犯罪，努力为四川法制创造安全稳定的社会环境。</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把握治蜀兴川法制保障新要求，充分发挥刑事、民事、行政等各类审判作用，重点打击突出犯罪，努力为四川法制创造安全稳定的社会环境。</w:t>
            </w:r>
          </w:p>
        </w:tc>
      </w:tr>
      <w:tr>
        <w:tblPrEx>
          <w:tblCellMar>
            <w:top w:w="0" w:type="dxa"/>
            <w:left w:w="0" w:type="dxa"/>
            <w:bottom w:w="0" w:type="dxa"/>
            <w:right w:w="0" w:type="dxa"/>
          </w:tblCellMar>
        </w:tblPrEx>
        <w:trPr>
          <w:trHeight w:val="640" w:hRule="atLeast"/>
        </w:trPr>
        <w:tc>
          <w:tcPr>
            <w:tcW w:w="72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可持续影响指标</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持续影响年限</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r>
      <w:tr>
        <w:tblPrEx>
          <w:tblCellMar>
            <w:top w:w="0" w:type="dxa"/>
            <w:left w:w="0" w:type="dxa"/>
            <w:bottom w:w="0" w:type="dxa"/>
            <w:right w:w="0" w:type="dxa"/>
          </w:tblCellMar>
        </w:tblPrEx>
        <w:trPr>
          <w:trHeight w:val="1569" w:hRule="atLeast"/>
        </w:trPr>
        <w:tc>
          <w:tcPr>
            <w:tcW w:w="7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意</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度</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满意度指标</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各相关部门</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满意度</w:t>
            </w:r>
          </w:p>
        </w:tc>
        <w:tc>
          <w:tcPr>
            <w:tcW w:w="2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&gt;95%</w:t>
            </w:r>
          </w:p>
        </w:tc>
        <w:tc>
          <w:tcPr>
            <w:tcW w:w="1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&gt;95%</w:t>
            </w:r>
          </w:p>
        </w:tc>
      </w:tr>
    </w:tbl>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p>
      <w:pPr>
        <w:keepNext w:val="0"/>
        <w:keepLines w:val="0"/>
        <w:pageBreakBefore w:val="0"/>
        <w:widowControl w:val="0"/>
        <w:kinsoku/>
        <w:wordWrap/>
        <w:overflowPunct/>
        <w:topLinePunct w:val="0"/>
        <w:bidi w:val="0"/>
        <w:adjustRightInd/>
        <w:spacing w:line="600" w:lineRule="exact"/>
        <w:textAlignment w:val="auto"/>
        <w:rPr>
          <w:spacing w:val="6"/>
        </w:rPr>
      </w:pPr>
    </w:p>
    <w:tbl>
      <w:tblPr>
        <w:tblStyle w:val="14"/>
        <w:tblpPr w:leftFromText="180" w:rightFromText="180" w:vertAnchor="text" w:horzAnchor="page" w:tblpX="1514" w:tblpY="52"/>
        <w:tblOverlap w:val="never"/>
        <w:tblW w:w="9039" w:type="dxa"/>
        <w:tblInd w:w="0" w:type="dxa"/>
        <w:tblLayout w:type="autofit"/>
        <w:tblCellMar>
          <w:top w:w="0" w:type="dxa"/>
          <w:left w:w="0" w:type="dxa"/>
          <w:bottom w:w="0" w:type="dxa"/>
          <w:right w:w="0" w:type="dxa"/>
        </w:tblCellMar>
      </w:tblPr>
      <w:tblGrid>
        <w:gridCol w:w="745"/>
        <w:gridCol w:w="1105"/>
        <w:gridCol w:w="1176"/>
        <w:gridCol w:w="564"/>
        <w:gridCol w:w="1565"/>
        <w:gridCol w:w="1940"/>
        <w:gridCol w:w="1944"/>
      </w:tblGrid>
      <w:tr>
        <w:tblPrEx>
          <w:tblCellMar>
            <w:top w:w="0" w:type="dxa"/>
            <w:left w:w="0" w:type="dxa"/>
            <w:bottom w:w="0" w:type="dxa"/>
            <w:right w:w="0" w:type="dxa"/>
          </w:tblCellMar>
        </w:tblPrEx>
        <w:trPr>
          <w:trHeight w:val="354" w:hRule="atLeast"/>
        </w:trPr>
        <w:tc>
          <w:tcPr>
            <w:tcW w:w="18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项目名称</w:t>
            </w:r>
          </w:p>
        </w:tc>
        <w:tc>
          <w:tcPr>
            <w:tcW w:w="718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天府新区过渡办公运行维护经费</w:t>
            </w:r>
          </w:p>
        </w:tc>
      </w:tr>
      <w:tr>
        <w:tblPrEx>
          <w:tblCellMar>
            <w:top w:w="0" w:type="dxa"/>
            <w:left w:w="0" w:type="dxa"/>
            <w:bottom w:w="0" w:type="dxa"/>
            <w:right w:w="0" w:type="dxa"/>
          </w:tblCellMar>
        </w:tblPrEx>
        <w:trPr>
          <w:trHeight w:val="683" w:hRule="atLeast"/>
        </w:trPr>
        <w:tc>
          <w:tcPr>
            <w:tcW w:w="18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主管部门及代码</w:t>
            </w:r>
          </w:p>
        </w:tc>
        <w:tc>
          <w:tcPr>
            <w:tcW w:w="33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实施单位</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成都铁路运输</w:t>
            </w:r>
          </w:p>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第二法院</w:t>
            </w:r>
          </w:p>
        </w:tc>
      </w:tr>
      <w:tr>
        <w:tblPrEx>
          <w:tblCellMar>
            <w:top w:w="0" w:type="dxa"/>
            <w:left w:w="0" w:type="dxa"/>
            <w:bottom w:w="0" w:type="dxa"/>
            <w:right w:w="0" w:type="dxa"/>
          </w:tblCellMar>
        </w:tblPrEx>
        <w:trPr>
          <w:trHeight w:val="354" w:hRule="atLeast"/>
        </w:trPr>
        <w:tc>
          <w:tcPr>
            <w:tcW w:w="185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项目预算</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执行情况</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（万元）</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预算数：</w:t>
            </w:r>
          </w:p>
        </w:tc>
        <w:tc>
          <w:tcPr>
            <w:tcW w:w="1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496.43</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执行数：</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283.05</w:t>
            </w:r>
          </w:p>
        </w:tc>
      </w:tr>
      <w:tr>
        <w:tblPrEx>
          <w:tblCellMar>
            <w:top w:w="0" w:type="dxa"/>
            <w:left w:w="0" w:type="dxa"/>
            <w:bottom w:w="0" w:type="dxa"/>
            <w:right w:w="0" w:type="dxa"/>
          </w:tblCellMar>
        </w:tblPrEx>
        <w:trPr>
          <w:trHeight w:val="354" w:hRule="atLeast"/>
        </w:trPr>
        <w:tc>
          <w:tcPr>
            <w:tcW w:w="185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496.43</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283.05</w:t>
            </w:r>
          </w:p>
        </w:tc>
      </w:tr>
      <w:tr>
        <w:tblPrEx>
          <w:tblCellMar>
            <w:top w:w="0" w:type="dxa"/>
            <w:left w:w="0" w:type="dxa"/>
            <w:bottom w:w="0" w:type="dxa"/>
            <w:right w:w="0" w:type="dxa"/>
          </w:tblCellMar>
        </w:tblPrEx>
        <w:trPr>
          <w:trHeight w:val="354" w:hRule="atLeast"/>
        </w:trPr>
        <w:tc>
          <w:tcPr>
            <w:tcW w:w="185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r>
      <w:tr>
        <w:tblPrEx>
          <w:tblCellMar>
            <w:top w:w="0" w:type="dxa"/>
            <w:left w:w="0" w:type="dxa"/>
            <w:bottom w:w="0" w:type="dxa"/>
            <w:right w:w="0" w:type="dxa"/>
          </w:tblCellMar>
        </w:tblPrEx>
        <w:trPr>
          <w:trHeight w:val="500" w:hRule="atLeast"/>
        </w:trPr>
        <w:tc>
          <w:tcPr>
            <w:tcW w:w="7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度</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总</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体</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目</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完</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成</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情</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况</w:t>
            </w:r>
          </w:p>
        </w:tc>
        <w:tc>
          <w:tcPr>
            <w:tcW w:w="44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预期目标</w:t>
            </w:r>
          </w:p>
        </w:tc>
        <w:tc>
          <w:tcPr>
            <w:tcW w:w="38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目标实际完成情况</w:t>
            </w:r>
          </w:p>
        </w:tc>
      </w:tr>
      <w:tr>
        <w:tblPrEx>
          <w:tblCellMar>
            <w:top w:w="0" w:type="dxa"/>
            <w:left w:w="0" w:type="dxa"/>
            <w:bottom w:w="0" w:type="dxa"/>
            <w:right w:w="0" w:type="dxa"/>
          </w:tblCellMar>
        </w:tblPrEx>
        <w:trPr>
          <w:trHeight w:val="816" w:hRule="atLeast"/>
        </w:trPr>
        <w:tc>
          <w:tcPr>
            <w:tcW w:w="7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44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依照《最高人民法院关于同意成都铁路运输法院、西昌铁路运输法院更名的批复》（法〔2020〕315号），我院已更名为成都铁路运输第二法院。同时根据在川铁路法院转型改革方案，我院将于2021年3月整体搬迁至天府中央法务区，下设大熊猫生态法庭，集中受理大熊猫国家公园四川省管理局下设7个管理分局保护区域内环境资源保护刑事、民事、行政一审案件和恢复性司法执行案件，受理原成都、西昌两院依据《最高人民法院关于铁路运输法院案件管辖范围的若干规定》规定的刑事、民事和执行案件。2021年改革落地后，我院受理案件预计在2100件左右，其中环资类案件数量预计为1500件左右，传统涉铁类案件预计为600件左右。为圆满完成审判任务。</w:t>
            </w:r>
          </w:p>
        </w:tc>
        <w:tc>
          <w:tcPr>
            <w:tcW w:w="38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我院于2021年3月完成整体搬迁至天府中央法务区的工作，二是已设大熊猫生态法庭，集中受理大熊猫国家公园四川省管理局下设7个管理分局保护区域内环境资源保护的刑事、民事、行政一审案件和恢复性司法执行案件，受理原成都、西昌两院依据《最高人民法院关于铁路运输法院案件管辖范围的若干规定》规定的刑事、民事和执行案件。</w:t>
            </w:r>
          </w:p>
        </w:tc>
      </w:tr>
      <w:tr>
        <w:tblPrEx>
          <w:tblCellMar>
            <w:top w:w="0" w:type="dxa"/>
            <w:left w:w="0" w:type="dxa"/>
            <w:bottom w:w="0" w:type="dxa"/>
            <w:right w:w="0" w:type="dxa"/>
          </w:tblCellMar>
        </w:tblPrEx>
        <w:trPr>
          <w:trHeight w:val="683" w:hRule="atLeast"/>
        </w:trPr>
        <w:tc>
          <w:tcPr>
            <w:tcW w:w="7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年度绩效指标完成情况</w:t>
            </w:r>
          </w:p>
        </w:tc>
        <w:tc>
          <w:tcPr>
            <w:tcW w:w="11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一级指标</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二级指标</w:t>
            </w:r>
          </w:p>
        </w:tc>
        <w:tc>
          <w:tcPr>
            <w:tcW w:w="21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三级指标</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预期指标值</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实际完成指标值</w:t>
            </w:r>
          </w:p>
        </w:tc>
      </w:tr>
      <w:tr>
        <w:tblPrEx>
          <w:tblCellMar>
            <w:top w:w="0" w:type="dxa"/>
            <w:left w:w="0" w:type="dxa"/>
            <w:bottom w:w="0" w:type="dxa"/>
            <w:right w:w="0" w:type="dxa"/>
          </w:tblCellMar>
        </w:tblPrEx>
        <w:trPr>
          <w:trHeight w:val="984" w:hRule="atLeast"/>
        </w:trPr>
        <w:tc>
          <w:tcPr>
            <w:tcW w:w="7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成</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数量指标</w:t>
            </w:r>
          </w:p>
        </w:tc>
        <w:tc>
          <w:tcPr>
            <w:tcW w:w="21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年度工作完成率</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100%</w:t>
            </w:r>
          </w:p>
        </w:tc>
      </w:tr>
      <w:tr>
        <w:tblPrEx>
          <w:tblCellMar>
            <w:top w:w="0" w:type="dxa"/>
            <w:left w:w="0" w:type="dxa"/>
            <w:bottom w:w="0" w:type="dxa"/>
            <w:right w:w="0" w:type="dxa"/>
          </w:tblCellMar>
        </w:tblPrEx>
        <w:trPr>
          <w:trHeight w:val="354" w:hRule="atLeast"/>
        </w:trPr>
        <w:tc>
          <w:tcPr>
            <w:tcW w:w="7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质量指标</w:t>
            </w:r>
          </w:p>
        </w:tc>
        <w:tc>
          <w:tcPr>
            <w:tcW w:w="21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工作完成率</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100%</w:t>
            </w:r>
          </w:p>
        </w:tc>
      </w:tr>
      <w:tr>
        <w:tblPrEx>
          <w:tblCellMar>
            <w:top w:w="0" w:type="dxa"/>
            <w:left w:w="0" w:type="dxa"/>
            <w:bottom w:w="0" w:type="dxa"/>
            <w:right w:w="0" w:type="dxa"/>
          </w:tblCellMar>
        </w:tblPrEx>
        <w:trPr>
          <w:trHeight w:val="354" w:hRule="atLeast"/>
        </w:trPr>
        <w:tc>
          <w:tcPr>
            <w:tcW w:w="7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时效指标</w:t>
            </w:r>
          </w:p>
        </w:tc>
        <w:tc>
          <w:tcPr>
            <w:tcW w:w="21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完成时限</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100%</w:t>
            </w:r>
          </w:p>
        </w:tc>
      </w:tr>
      <w:tr>
        <w:tblPrEx>
          <w:tblCellMar>
            <w:top w:w="0" w:type="dxa"/>
            <w:left w:w="0" w:type="dxa"/>
            <w:bottom w:w="0" w:type="dxa"/>
            <w:right w:w="0" w:type="dxa"/>
          </w:tblCellMar>
        </w:tblPrEx>
        <w:trPr>
          <w:trHeight w:val="354" w:hRule="atLeast"/>
        </w:trPr>
        <w:tc>
          <w:tcPr>
            <w:tcW w:w="7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成本指标</w:t>
            </w:r>
          </w:p>
        </w:tc>
        <w:tc>
          <w:tcPr>
            <w:tcW w:w="21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经费额度</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100%</w:t>
            </w:r>
          </w:p>
        </w:tc>
      </w:tr>
      <w:tr>
        <w:tblPrEx>
          <w:tblCellMar>
            <w:top w:w="0" w:type="dxa"/>
            <w:left w:w="0" w:type="dxa"/>
            <w:bottom w:w="0" w:type="dxa"/>
            <w:right w:w="0" w:type="dxa"/>
          </w:tblCellMar>
        </w:tblPrEx>
        <w:trPr>
          <w:trHeight w:val="573" w:hRule="atLeast"/>
        </w:trPr>
        <w:tc>
          <w:tcPr>
            <w:tcW w:w="7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效</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益</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经济效益指标</w:t>
            </w:r>
          </w:p>
        </w:tc>
        <w:tc>
          <w:tcPr>
            <w:tcW w:w="21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经济效益</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r>
      <w:tr>
        <w:tblPrEx>
          <w:tblCellMar>
            <w:top w:w="0" w:type="dxa"/>
            <w:left w:w="0" w:type="dxa"/>
            <w:bottom w:w="0" w:type="dxa"/>
            <w:right w:w="0" w:type="dxa"/>
          </w:tblCellMar>
        </w:tblPrEx>
        <w:trPr>
          <w:trHeight w:val="573" w:hRule="atLeast"/>
        </w:trPr>
        <w:tc>
          <w:tcPr>
            <w:tcW w:w="7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社会效益指标</w:t>
            </w:r>
          </w:p>
        </w:tc>
        <w:tc>
          <w:tcPr>
            <w:tcW w:w="21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服务范围</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r>
      <w:tr>
        <w:tblPrEx>
          <w:tblCellMar>
            <w:top w:w="0" w:type="dxa"/>
            <w:left w:w="0" w:type="dxa"/>
            <w:bottom w:w="0" w:type="dxa"/>
            <w:right w:w="0" w:type="dxa"/>
          </w:tblCellMar>
        </w:tblPrEx>
        <w:trPr>
          <w:trHeight w:val="573" w:hRule="atLeast"/>
        </w:trPr>
        <w:tc>
          <w:tcPr>
            <w:tcW w:w="7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生态效益指标</w:t>
            </w:r>
          </w:p>
        </w:tc>
        <w:tc>
          <w:tcPr>
            <w:tcW w:w="21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生态环境保护</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100%</w:t>
            </w:r>
          </w:p>
        </w:tc>
      </w:tr>
      <w:tr>
        <w:tblPrEx>
          <w:tblCellMar>
            <w:top w:w="0" w:type="dxa"/>
            <w:left w:w="0" w:type="dxa"/>
            <w:bottom w:w="0" w:type="dxa"/>
            <w:right w:w="0" w:type="dxa"/>
          </w:tblCellMar>
        </w:tblPrEx>
        <w:trPr>
          <w:trHeight w:val="573" w:hRule="atLeast"/>
        </w:trPr>
        <w:tc>
          <w:tcPr>
            <w:tcW w:w="7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可持续</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影响指标</w:t>
            </w:r>
          </w:p>
        </w:tc>
        <w:tc>
          <w:tcPr>
            <w:tcW w:w="21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项目持续影响度</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r>
      <w:tr>
        <w:tblPrEx>
          <w:tblCellMar>
            <w:top w:w="0" w:type="dxa"/>
            <w:left w:w="0" w:type="dxa"/>
            <w:bottom w:w="0" w:type="dxa"/>
            <w:right w:w="0" w:type="dxa"/>
          </w:tblCellMar>
        </w:tblPrEx>
        <w:trPr>
          <w:trHeight w:val="1405" w:hRule="atLeast"/>
        </w:trPr>
        <w:tc>
          <w:tcPr>
            <w:tcW w:w="7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意</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度</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满意度</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指标</w:t>
            </w:r>
          </w:p>
        </w:tc>
        <w:tc>
          <w:tcPr>
            <w:tcW w:w="21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服务对象满意度</w:t>
            </w:r>
          </w:p>
        </w:tc>
        <w:tc>
          <w:tcPr>
            <w:tcW w:w="1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99%</w:t>
            </w:r>
          </w:p>
        </w:tc>
      </w:tr>
    </w:tbl>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spacing w:val="6"/>
        </w:rPr>
      </w:pPr>
    </w:p>
    <w:p>
      <w:pPr>
        <w:pStyle w:val="2"/>
        <w:rPr>
          <w:spacing w:val="6"/>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spacing w:val="6"/>
        </w:rPr>
      </w:pPr>
    </w:p>
    <w:p>
      <w:pPr>
        <w:pStyle w:val="2"/>
        <w:rPr>
          <w:spacing w:val="6"/>
        </w:rPr>
      </w:pPr>
    </w:p>
    <w:p>
      <w:pPr>
        <w:pStyle w:val="2"/>
        <w:rPr>
          <w:spacing w:val="6"/>
        </w:rPr>
      </w:pPr>
    </w:p>
    <w:p>
      <w:pPr>
        <w:pStyle w:val="2"/>
        <w:rPr>
          <w:spacing w:val="6"/>
        </w:rPr>
      </w:pPr>
    </w:p>
    <w:tbl>
      <w:tblPr>
        <w:tblStyle w:val="14"/>
        <w:tblpPr w:leftFromText="180" w:rightFromText="180" w:vertAnchor="text" w:horzAnchor="page" w:tblpX="1559" w:tblpYSpec="top"/>
        <w:tblOverlap w:val="never"/>
        <w:tblW w:w="8939" w:type="dxa"/>
        <w:tblInd w:w="0" w:type="dxa"/>
        <w:tblLayout w:type="autofit"/>
        <w:tblCellMar>
          <w:top w:w="0" w:type="dxa"/>
          <w:left w:w="0" w:type="dxa"/>
          <w:bottom w:w="0" w:type="dxa"/>
          <w:right w:w="0" w:type="dxa"/>
        </w:tblCellMar>
      </w:tblPr>
      <w:tblGrid>
        <w:gridCol w:w="736"/>
        <w:gridCol w:w="1106"/>
        <w:gridCol w:w="1140"/>
        <w:gridCol w:w="840"/>
        <w:gridCol w:w="1274"/>
        <w:gridCol w:w="1918"/>
        <w:gridCol w:w="1925"/>
      </w:tblGrid>
      <w:tr>
        <w:tblPrEx>
          <w:tblCellMar>
            <w:top w:w="0" w:type="dxa"/>
            <w:left w:w="0" w:type="dxa"/>
            <w:bottom w:w="0" w:type="dxa"/>
            <w:right w:w="0" w:type="dxa"/>
          </w:tblCellMar>
        </w:tblPrEx>
        <w:trPr>
          <w:trHeight w:val="495" w:hRule="atLeast"/>
        </w:trPr>
        <w:tc>
          <w:tcPr>
            <w:tcW w:w="18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项目名称</w:t>
            </w:r>
          </w:p>
        </w:tc>
        <w:tc>
          <w:tcPr>
            <w:tcW w:w="709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天府新区过渡办公运行维护经费</w:t>
            </w:r>
          </w:p>
        </w:tc>
      </w:tr>
      <w:tr>
        <w:tblPrEx>
          <w:tblCellMar>
            <w:top w:w="0" w:type="dxa"/>
            <w:left w:w="0" w:type="dxa"/>
            <w:bottom w:w="0" w:type="dxa"/>
            <w:right w:w="0" w:type="dxa"/>
          </w:tblCellMar>
        </w:tblPrEx>
        <w:trPr>
          <w:trHeight w:val="908" w:hRule="atLeast"/>
        </w:trPr>
        <w:tc>
          <w:tcPr>
            <w:tcW w:w="18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主管部门及代码</w:t>
            </w:r>
          </w:p>
        </w:tc>
        <w:tc>
          <w:tcPr>
            <w:tcW w:w="32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c>
          <w:tcPr>
            <w:tcW w:w="1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实施单位</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成都铁路运输</w:t>
            </w:r>
          </w:p>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第一法院</w:t>
            </w:r>
          </w:p>
        </w:tc>
      </w:tr>
      <w:tr>
        <w:tblPrEx>
          <w:tblCellMar>
            <w:top w:w="0" w:type="dxa"/>
            <w:left w:w="0" w:type="dxa"/>
            <w:bottom w:w="0" w:type="dxa"/>
            <w:right w:w="0" w:type="dxa"/>
          </w:tblCellMar>
        </w:tblPrEx>
        <w:trPr>
          <w:trHeight w:val="495" w:hRule="atLeast"/>
        </w:trPr>
        <w:tc>
          <w:tcPr>
            <w:tcW w:w="184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项目预算</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执行情况</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（万元）</w:t>
            </w:r>
          </w:p>
        </w:tc>
        <w:tc>
          <w:tcPr>
            <w:tcW w:w="19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预算数：</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463.57</w:t>
            </w:r>
          </w:p>
        </w:tc>
        <w:tc>
          <w:tcPr>
            <w:tcW w:w="1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执行数：</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319.72</w:t>
            </w:r>
          </w:p>
        </w:tc>
      </w:tr>
      <w:tr>
        <w:tblPrEx>
          <w:tblCellMar>
            <w:top w:w="0" w:type="dxa"/>
            <w:left w:w="0" w:type="dxa"/>
            <w:bottom w:w="0" w:type="dxa"/>
            <w:right w:w="0" w:type="dxa"/>
          </w:tblCellMar>
        </w:tblPrEx>
        <w:trPr>
          <w:trHeight w:val="908" w:hRule="atLeast"/>
        </w:trPr>
        <w:tc>
          <w:tcPr>
            <w:tcW w:w="184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9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463.57</w:t>
            </w:r>
          </w:p>
        </w:tc>
        <w:tc>
          <w:tcPr>
            <w:tcW w:w="1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319.72</w:t>
            </w:r>
          </w:p>
        </w:tc>
      </w:tr>
      <w:tr>
        <w:tblPrEx>
          <w:tblCellMar>
            <w:top w:w="0" w:type="dxa"/>
            <w:left w:w="0" w:type="dxa"/>
            <w:bottom w:w="0" w:type="dxa"/>
            <w:right w:w="0" w:type="dxa"/>
          </w:tblCellMar>
        </w:tblPrEx>
        <w:trPr>
          <w:trHeight w:val="908" w:hRule="atLeast"/>
        </w:trPr>
        <w:tc>
          <w:tcPr>
            <w:tcW w:w="184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9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c>
          <w:tcPr>
            <w:tcW w:w="1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r>
      <w:tr>
        <w:tblPrEx>
          <w:tblCellMar>
            <w:top w:w="0" w:type="dxa"/>
            <w:left w:w="0" w:type="dxa"/>
            <w:bottom w:w="0" w:type="dxa"/>
            <w:right w:w="0" w:type="dxa"/>
          </w:tblCellMar>
        </w:tblPrEx>
        <w:trPr>
          <w:trHeight w:val="495" w:hRule="atLeast"/>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度</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总</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体</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目</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完</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成</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情</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况</w:t>
            </w:r>
          </w:p>
        </w:tc>
        <w:tc>
          <w:tcPr>
            <w:tcW w:w="436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预期目标</w:t>
            </w:r>
          </w:p>
        </w:tc>
        <w:tc>
          <w:tcPr>
            <w:tcW w:w="3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目标实际完成情况</w:t>
            </w:r>
          </w:p>
        </w:tc>
      </w:tr>
      <w:tr>
        <w:tblPrEx>
          <w:tblCellMar>
            <w:top w:w="0" w:type="dxa"/>
            <w:left w:w="0" w:type="dxa"/>
            <w:bottom w:w="0" w:type="dxa"/>
            <w:right w:w="0" w:type="dxa"/>
          </w:tblCellMar>
        </w:tblPrEx>
        <w:trPr>
          <w:trHeight w:val="3772" w:hRule="atLeast"/>
        </w:trPr>
        <w:tc>
          <w:tcPr>
            <w:tcW w:w="7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436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我院搬迁天府新区过渡办公，保障互联网法庭的顺利运行。</w:t>
            </w:r>
          </w:p>
        </w:tc>
        <w:tc>
          <w:tcPr>
            <w:tcW w:w="3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顺利完成保障互联网法庭的运行。</w:t>
            </w:r>
          </w:p>
        </w:tc>
      </w:tr>
      <w:tr>
        <w:tblPrEx>
          <w:tblCellMar>
            <w:top w:w="0" w:type="dxa"/>
            <w:left w:w="0" w:type="dxa"/>
            <w:bottom w:w="0" w:type="dxa"/>
            <w:right w:w="0" w:type="dxa"/>
          </w:tblCellMar>
        </w:tblPrEx>
        <w:trPr>
          <w:trHeight w:val="908" w:hRule="atLeast"/>
        </w:trPr>
        <w:tc>
          <w:tcPr>
            <w:tcW w:w="7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年度绩效指标完成情况</w:t>
            </w:r>
          </w:p>
        </w:tc>
        <w:tc>
          <w:tcPr>
            <w:tcW w:w="110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一级指标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二级指标</w:t>
            </w:r>
          </w:p>
        </w:tc>
        <w:tc>
          <w:tcPr>
            <w:tcW w:w="21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三级指标</w:t>
            </w:r>
          </w:p>
        </w:tc>
        <w:tc>
          <w:tcPr>
            <w:tcW w:w="1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预期指标值</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实际完成指标值</w:t>
            </w:r>
          </w:p>
        </w:tc>
      </w:tr>
      <w:tr>
        <w:tblPrEx>
          <w:tblCellMar>
            <w:top w:w="0" w:type="dxa"/>
            <w:left w:w="0" w:type="dxa"/>
            <w:bottom w:w="0" w:type="dxa"/>
            <w:right w:w="0" w:type="dxa"/>
          </w:tblCellMar>
        </w:tblPrEx>
        <w:trPr>
          <w:trHeight w:val="1288" w:hRule="atLeast"/>
        </w:trPr>
        <w:tc>
          <w:tcPr>
            <w:tcW w:w="73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成</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数量指标</w:t>
            </w:r>
          </w:p>
        </w:tc>
        <w:tc>
          <w:tcPr>
            <w:tcW w:w="21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聘用人员</w:t>
            </w:r>
          </w:p>
        </w:tc>
        <w:tc>
          <w:tcPr>
            <w:tcW w:w="1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10人</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10人</w:t>
            </w:r>
          </w:p>
        </w:tc>
      </w:tr>
      <w:tr>
        <w:tblPrEx>
          <w:tblCellMar>
            <w:top w:w="0" w:type="dxa"/>
            <w:left w:w="0" w:type="dxa"/>
            <w:bottom w:w="0" w:type="dxa"/>
            <w:right w:w="0" w:type="dxa"/>
          </w:tblCellMar>
        </w:tblPrEx>
        <w:trPr>
          <w:trHeight w:val="495" w:hRule="atLeast"/>
        </w:trPr>
        <w:tc>
          <w:tcPr>
            <w:tcW w:w="73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1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新增案件量</w:t>
            </w:r>
          </w:p>
        </w:tc>
        <w:tc>
          <w:tcPr>
            <w:tcW w:w="1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7000件</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6632</w:t>
            </w:r>
          </w:p>
        </w:tc>
      </w:tr>
      <w:tr>
        <w:tblPrEx>
          <w:tblCellMar>
            <w:top w:w="0" w:type="dxa"/>
            <w:left w:w="0" w:type="dxa"/>
            <w:bottom w:w="0" w:type="dxa"/>
            <w:right w:w="0" w:type="dxa"/>
          </w:tblCellMar>
        </w:tblPrEx>
        <w:trPr>
          <w:trHeight w:val="495" w:hRule="atLeast"/>
        </w:trPr>
        <w:tc>
          <w:tcPr>
            <w:tcW w:w="73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成本指标</w:t>
            </w:r>
          </w:p>
        </w:tc>
        <w:tc>
          <w:tcPr>
            <w:tcW w:w="21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聘用人员工资</w:t>
            </w:r>
          </w:p>
        </w:tc>
        <w:tc>
          <w:tcPr>
            <w:tcW w:w="1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8万元/年</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8万元/年</w:t>
            </w:r>
          </w:p>
        </w:tc>
      </w:tr>
      <w:tr>
        <w:tblPrEx>
          <w:tblCellMar>
            <w:top w:w="0" w:type="dxa"/>
            <w:left w:w="0" w:type="dxa"/>
            <w:bottom w:w="0" w:type="dxa"/>
            <w:right w:w="0" w:type="dxa"/>
          </w:tblCellMar>
        </w:tblPrEx>
        <w:trPr>
          <w:trHeight w:val="495" w:hRule="atLeast"/>
        </w:trPr>
        <w:tc>
          <w:tcPr>
            <w:tcW w:w="73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06"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1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办案成本</w:t>
            </w:r>
          </w:p>
        </w:tc>
        <w:tc>
          <w:tcPr>
            <w:tcW w:w="1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550元/件</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361.46元/件</w:t>
            </w:r>
          </w:p>
        </w:tc>
      </w:tr>
      <w:tr>
        <w:tblPrEx>
          <w:tblCellMar>
            <w:top w:w="0" w:type="dxa"/>
            <w:left w:w="0" w:type="dxa"/>
            <w:bottom w:w="0" w:type="dxa"/>
            <w:right w:w="0" w:type="dxa"/>
          </w:tblCellMar>
        </w:tblPrEx>
        <w:trPr>
          <w:trHeight w:val="769" w:hRule="atLeast"/>
        </w:trPr>
        <w:tc>
          <w:tcPr>
            <w:tcW w:w="73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06"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效益指标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社会效益指标</w:t>
            </w:r>
          </w:p>
        </w:tc>
        <w:tc>
          <w:tcPr>
            <w:tcW w:w="21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提供良好履职基础，服务社会发展能力</w:t>
            </w:r>
          </w:p>
        </w:tc>
        <w:tc>
          <w:tcPr>
            <w:tcW w:w="1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良好</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良好</w:t>
            </w:r>
          </w:p>
        </w:tc>
      </w:tr>
      <w:tr>
        <w:tblPrEx>
          <w:tblCellMar>
            <w:top w:w="0" w:type="dxa"/>
            <w:left w:w="0" w:type="dxa"/>
            <w:bottom w:w="0" w:type="dxa"/>
            <w:right w:w="0" w:type="dxa"/>
          </w:tblCellMar>
        </w:tblPrEx>
        <w:trPr>
          <w:trHeight w:val="1836" w:hRule="atLeast"/>
        </w:trPr>
        <w:tc>
          <w:tcPr>
            <w:tcW w:w="7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意</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度</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满意度</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指标</w:t>
            </w:r>
          </w:p>
        </w:tc>
        <w:tc>
          <w:tcPr>
            <w:tcW w:w="21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群众满意度</w:t>
            </w:r>
          </w:p>
        </w:tc>
        <w:tc>
          <w:tcPr>
            <w:tcW w:w="19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w:t>
            </w:r>
          </w:p>
        </w:tc>
      </w:tr>
    </w:tbl>
    <w:p>
      <w:pPr>
        <w:bidi w:val="0"/>
        <w:rPr>
          <w:spacing w:val="6"/>
        </w:rPr>
      </w:pPr>
    </w:p>
    <w:p>
      <w:pPr>
        <w:bidi w:val="0"/>
        <w:rPr>
          <w:spacing w:val="6"/>
        </w:rPr>
      </w:pPr>
    </w:p>
    <w:p>
      <w:pPr>
        <w:bidi w:val="0"/>
        <w:rPr>
          <w:spacing w:val="6"/>
        </w:rPr>
      </w:pPr>
    </w:p>
    <w:p>
      <w:pPr>
        <w:bidi w:val="0"/>
        <w:rPr>
          <w:spacing w:val="6"/>
        </w:rPr>
      </w:pPr>
    </w:p>
    <w:p>
      <w:pPr>
        <w:bidi w:val="0"/>
        <w:rPr>
          <w:spacing w:val="6"/>
        </w:rPr>
      </w:pPr>
    </w:p>
    <w:p>
      <w:pPr>
        <w:bidi w:val="0"/>
        <w:rPr>
          <w:spacing w:val="6"/>
        </w:rPr>
      </w:pPr>
    </w:p>
    <w:p>
      <w:pPr>
        <w:bidi w:val="0"/>
        <w:rPr>
          <w:spacing w:val="6"/>
        </w:rPr>
      </w:pPr>
    </w:p>
    <w:p>
      <w:pPr>
        <w:bidi w:val="0"/>
        <w:rPr>
          <w:spacing w:val="6"/>
        </w:rPr>
      </w:pPr>
    </w:p>
    <w:p>
      <w:pPr>
        <w:bidi w:val="0"/>
        <w:rPr>
          <w:spacing w:val="6"/>
        </w:rPr>
      </w:pPr>
    </w:p>
    <w:p>
      <w:pPr>
        <w:bidi w:val="0"/>
        <w:rPr>
          <w:spacing w:val="6"/>
        </w:rPr>
      </w:pPr>
    </w:p>
    <w:p>
      <w:pPr>
        <w:pStyle w:val="2"/>
        <w:rPr>
          <w:spacing w:val="6"/>
        </w:rPr>
      </w:pPr>
    </w:p>
    <w:p>
      <w:pPr>
        <w:pStyle w:val="2"/>
        <w:rPr>
          <w:spacing w:val="6"/>
        </w:rPr>
      </w:pPr>
    </w:p>
    <w:p>
      <w:pPr>
        <w:pStyle w:val="2"/>
        <w:rPr>
          <w:spacing w:val="6"/>
        </w:rPr>
      </w:pPr>
    </w:p>
    <w:p>
      <w:pPr>
        <w:pStyle w:val="2"/>
        <w:rPr>
          <w:spacing w:val="6"/>
        </w:rPr>
      </w:pPr>
    </w:p>
    <w:p>
      <w:pPr>
        <w:bidi w:val="0"/>
        <w:rPr>
          <w:spacing w:val="6"/>
        </w:rPr>
      </w:pPr>
    </w:p>
    <w:tbl>
      <w:tblPr>
        <w:tblStyle w:val="14"/>
        <w:tblW w:w="8999" w:type="dxa"/>
        <w:tblInd w:w="0" w:type="dxa"/>
        <w:tblLayout w:type="autofit"/>
        <w:tblCellMar>
          <w:top w:w="0" w:type="dxa"/>
          <w:left w:w="0" w:type="dxa"/>
          <w:bottom w:w="0" w:type="dxa"/>
          <w:right w:w="0" w:type="dxa"/>
        </w:tblCellMar>
      </w:tblPr>
      <w:tblGrid>
        <w:gridCol w:w="740"/>
        <w:gridCol w:w="1085"/>
        <w:gridCol w:w="1148"/>
        <w:gridCol w:w="600"/>
        <w:gridCol w:w="1558"/>
        <w:gridCol w:w="1930"/>
        <w:gridCol w:w="1938"/>
      </w:tblGrid>
      <w:tr>
        <w:tblPrEx>
          <w:tblCellMar>
            <w:top w:w="0" w:type="dxa"/>
            <w:left w:w="0" w:type="dxa"/>
            <w:bottom w:w="0" w:type="dxa"/>
            <w:right w:w="0" w:type="dxa"/>
          </w:tblCellMar>
        </w:tblPrEx>
        <w:trPr>
          <w:trHeight w:val="850" w:hRule="atLeast"/>
        </w:trPr>
        <w:tc>
          <w:tcPr>
            <w:tcW w:w="1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项目名称</w:t>
            </w:r>
          </w:p>
        </w:tc>
        <w:tc>
          <w:tcPr>
            <w:tcW w:w="717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省法院办公用房租金</w:t>
            </w:r>
          </w:p>
        </w:tc>
      </w:tr>
      <w:tr>
        <w:tblPrEx>
          <w:tblCellMar>
            <w:top w:w="0" w:type="dxa"/>
            <w:left w:w="0" w:type="dxa"/>
            <w:bottom w:w="0" w:type="dxa"/>
            <w:right w:w="0" w:type="dxa"/>
          </w:tblCellMar>
        </w:tblPrEx>
        <w:trPr>
          <w:trHeight w:val="850" w:hRule="atLeast"/>
        </w:trPr>
        <w:tc>
          <w:tcPr>
            <w:tcW w:w="1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主管部门及代码</w:t>
            </w:r>
          </w:p>
        </w:tc>
        <w:tc>
          <w:tcPr>
            <w:tcW w:w="330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实施单位</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r>
      <w:tr>
        <w:tblPrEx>
          <w:tblCellMar>
            <w:top w:w="0" w:type="dxa"/>
            <w:left w:w="0" w:type="dxa"/>
            <w:bottom w:w="0" w:type="dxa"/>
            <w:right w:w="0" w:type="dxa"/>
          </w:tblCellMar>
        </w:tblPrEx>
        <w:trPr>
          <w:trHeight w:val="441" w:hRule="atLeast"/>
        </w:trPr>
        <w:tc>
          <w:tcPr>
            <w:tcW w:w="1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项目预算</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执行情况</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（万元）</w:t>
            </w:r>
          </w:p>
        </w:tc>
        <w:tc>
          <w:tcPr>
            <w:tcW w:w="174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预算数：</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433.0</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执行数：</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433.0</w:t>
            </w:r>
          </w:p>
        </w:tc>
      </w:tr>
      <w:tr>
        <w:tblPrEx>
          <w:tblCellMar>
            <w:top w:w="0" w:type="dxa"/>
            <w:left w:w="0" w:type="dxa"/>
            <w:bottom w:w="0" w:type="dxa"/>
            <w:right w:w="0" w:type="dxa"/>
          </w:tblCellMar>
        </w:tblPrEx>
        <w:trPr>
          <w:trHeight w:val="850" w:hRule="atLeast"/>
        </w:trPr>
        <w:tc>
          <w:tcPr>
            <w:tcW w:w="1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4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433.0</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433.0</w:t>
            </w:r>
          </w:p>
        </w:tc>
      </w:tr>
      <w:tr>
        <w:tblPrEx>
          <w:tblCellMar>
            <w:top w:w="0" w:type="dxa"/>
            <w:left w:w="0" w:type="dxa"/>
            <w:bottom w:w="0" w:type="dxa"/>
            <w:right w:w="0" w:type="dxa"/>
          </w:tblCellMar>
        </w:tblPrEx>
        <w:trPr>
          <w:trHeight w:val="850" w:hRule="atLeast"/>
        </w:trPr>
        <w:tc>
          <w:tcPr>
            <w:tcW w:w="1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4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r>
      <w:tr>
        <w:tblPrEx>
          <w:tblCellMar>
            <w:top w:w="0" w:type="dxa"/>
            <w:left w:w="0" w:type="dxa"/>
            <w:bottom w:w="0" w:type="dxa"/>
            <w:right w:w="0" w:type="dxa"/>
          </w:tblCellMar>
        </w:tblPrEx>
        <w:trPr>
          <w:trHeight w:val="441" w:hRule="atLeast"/>
        </w:trPr>
        <w:tc>
          <w:tcPr>
            <w:tcW w:w="7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度</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总</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体</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目</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完</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成</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情</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况</w:t>
            </w:r>
          </w:p>
        </w:tc>
        <w:tc>
          <w:tcPr>
            <w:tcW w:w="43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预期目标</w:t>
            </w:r>
          </w:p>
        </w:tc>
        <w:tc>
          <w:tcPr>
            <w:tcW w:w="38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目标实际完成情况</w:t>
            </w:r>
          </w:p>
        </w:tc>
      </w:tr>
      <w:tr>
        <w:tblPrEx>
          <w:tblCellMar>
            <w:top w:w="0" w:type="dxa"/>
            <w:left w:w="0" w:type="dxa"/>
            <w:bottom w:w="0" w:type="dxa"/>
            <w:right w:w="0" w:type="dxa"/>
          </w:tblCellMar>
        </w:tblPrEx>
        <w:trPr>
          <w:trHeight w:val="3681" w:hRule="atLeast"/>
        </w:trPr>
        <w:tc>
          <w:tcPr>
            <w:tcW w:w="7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43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为适应大要专案胜利需求，按照诉讼服务中心实质化运行的要求，专项用于保障省法院诉讼服务中心迁移到第三办公区后的房屋租赁费用。</w:t>
            </w:r>
          </w:p>
        </w:tc>
        <w:tc>
          <w:tcPr>
            <w:tcW w:w="38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完成保障省法院诉讼服务中心迁移到第三办公区后的房屋租赁费用。</w:t>
            </w:r>
          </w:p>
        </w:tc>
      </w:tr>
      <w:tr>
        <w:tblPrEx>
          <w:tblCellMar>
            <w:top w:w="0" w:type="dxa"/>
            <w:left w:w="0" w:type="dxa"/>
            <w:bottom w:w="0" w:type="dxa"/>
            <w:right w:w="0" w:type="dxa"/>
          </w:tblCellMar>
        </w:tblPrEx>
        <w:trPr>
          <w:trHeight w:val="850" w:hRule="atLeast"/>
        </w:trPr>
        <w:tc>
          <w:tcPr>
            <w:tcW w:w="7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年度绩效指标完成情况</w:t>
            </w:r>
          </w:p>
        </w:tc>
        <w:tc>
          <w:tcPr>
            <w:tcW w:w="108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一级指标</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二级指标</w:t>
            </w:r>
          </w:p>
        </w:tc>
        <w:tc>
          <w:tcPr>
            <w:tcW w:w="21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三级指标</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预期指标值</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实际完成指标值</w:t>
            </w:r>
          </w:p>
        </w:tc>
      </w:tr>
      <w:tr>
        <w:tblPrEx>
          <w:tblCellMar>
            <w:top w:w="0" w:type="dxa"/>
            <w:left w:w="0" w:type="dxa"/>
            <w:bottom w:w="0" w:type="dxa"/>
            <w:right w:w="0" w:type="dxa"/>
          </w:tblCellMar>
        </w:tblPrEx>
        <w:trPr>
          <w:trHeight w:val="1226" w:hRule="atLeast"/>
        </w:trPr>
        <w:tc>
          <w:tcPr>
            <w:tcW w:w="7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8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完成</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指标</w:t>
            </w:r>
          </w:p>
        </w:tc>
        <w:tc>
          <w:tcPr>
            <w:tcW w:w="11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数量指标</w:t>
            </w:r>
          </w:p>
        </w:tc>
        <w:tc>
          <w:tcPr>
            <w:tcW w:w="21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办公区容量</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150人</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178人</w:t>
            </w:r>
          </w:p>
        </w:tc>
      </w:tr>
      <w:tr>
        <w:tblPrEx>
          <w:tblCellMar>
            <w:top w:w="0" w:type="dxa"/>
            <w:left w:w="0" w:type="dxa"/>
            <w:bottom w:w="0" w:type="dxa"/>
            <w:right w:w="0" w:type="dxa"/>
          </w:tblCellMar>
        </w:tblPrEx>
        <w:trPr>
          <w:trHeight w:val="441" w:hRule="atLeast"/>
        </w:trPr>
        <w:tc>
          <w:tcPr>
            <w:tcW w:w="7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1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租赁面积</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6024平方米</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6024.63平方米</w:t>
            </w:r>
          </w:p>
        </w:tc>
      </w:tr>
      <w:tr>
        <w:tblPrEx>
          <w:tblCellMar>
            <w:top w:w="0" w:type="dxa"/>
            <w:left w:w="0" w:type="dxa"/>
            <w:bottom w:w="0" w:type="dxa"/>
            <w:right w:w="0" w:type="dxa"/>
          </w:tblCellMar>
        </w:tblPrEx>
        <w:trPr>
          <w:trHeight w:val="713" w:hRule="atLeast"/>
        </w:trPr>
        <w:tc>
          <w:tcPr>
            <w:tcW w:w="7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质量指标</w:t>
            </w:r>
          </w:p>
        </w:tc>
        <w:tc>
          <w:tcPr>
            <w:tcW w:w="21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质量要求</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按照合同约定的行业标准执行</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按照合同约定的行业标准执行</w:t>
            </w:r>
          </w:p>
        </w:tc>
      </w:tr>
      <w:tr>
        <w:tblPrEx>
          <w:tblCellMar>
            <w:top w:w="0" w:type="dxa"/>
            <w:left w:w="0" w:type="dxa"/>
            <w:bottom w:w="0" w:type="dxa"/>
            <w:right w:w="0" w:type="dxa"/>
          </w:tblCellMar>
        </w:tblPrEx>
        <w:trPr>
          <w:trHeight w:val="441" w:hRule="atLeast"/>
        </w:trPr>
        <w:tc>
          <w:tcPr>
            <w:tcW w:w="7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时效指标</w:t>
            </w:r>
          </w:p>
        </w:tc>
        <w:tc>
          <w:tcPr>
            <w:tcW w:w="21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完成时限</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2021年12月31日前</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2021年12月31日前</w:t>
            </w:r>
          </w:p>
        </w:tc>
      </w:tr>
      <w:tr>
        <w:tblPrEx>
          <w:tblCellMar>
            <w:top w:w="0" w:type="dxa"/>
            <w:left w:w="0" w:type="dxa"/>
            <w:bottom w:w="0" w:type="dxa"/>
            <w:right w:w="0" w:type="dxa"/>
          </w:tblCellMar>
        </w:tblPrEx>
        <w:trPr>
          <w:trHeight w:val="713" w:hRule="atLeast"/>
        </w:trPr>
        <w:tc>
          <w:tcPr>
            <w:tcW w:w="7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效</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益</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社会效益指标</w:t>
            </w:r>
          </w:p>
        </w:tc>
        <w:tc>
          <w:tcPr>
            <w:tcW w:w="21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对工作的促进作用</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提升省法院诉讼服务能力和水平</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提升省法院诉讼服务能力和水平</w:t>
            </w:r>
          </w:p>
        </w:tc>
      </w:tr>
      <w:tr>
        <w:tblPrEx>
          <w:tblCellMar>
            <w:top w:w="0" w:type="dxa"/>
            <w:left w:w="0" w:type="dxa"/>
            <w:bottom w:w="0" w:type="dxa"/>
            <w:right w:w="0" w:type="dxa"/>
          </w:tblCellMar>
        </w:tblPrEx>
        <w:trPr>
          <w:trHeight w:val="713" w:hRule="atLeast"/>
        </w:trPr>
        <w:tc>
          <w:tcPr>
            <w:tcW w:w="7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可持续</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影响指标</w:t>
            </w:r>
          </w:p>
        </w:tc>
        <w:tc>
          <w:tcPr>
            <w:tcW w:w="21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可持续年限</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r>
      <w:tr>
        <w:tblPrEx>
          <w:tblCellMar>
            <w:top w:w="0" w:type="dxa"/>
            <w:left w:w="0" w:type="dxa"/>
            <w:bottom w:w="0" w:type="dxa"/>
            <w:right w:w="0" w:type="dxa"/>
          </w:tblCellMar>
        </w:tblPrEx>
        <w:trPr>
          <w:trHeight w:val="1749" w:hRule="atLeast"/>
        </w:trPr>
        <w:tc>
          <w:tcPr>
            <w:tcW w:w="7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意</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度</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满意度</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指标</w:t>
            </w:r>
          </w:p>
        </w:tc>
        <w:tc>
          <w:tcPr>
            <w:tcW w:w="21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使用部门满意</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&gt;90%</w:t>
            </w:r>
          </w:p>
        </w:tc>
        <w:tc>
          <w:tcPr>
            <w:tcW w:w="1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&gt;90%</w:t>
            </w:r>
          </w:p>
        </w:tc>
      </w:tr>
    </w:tbl>
    <w:p>
      <w:pPr>
        <w:bidi w:val="0"/>
        <w:rPr>
          <w:spacing w:val="6"/>
        </w:rPr>
      </w:pPr>
    </w:p>
    <w:p/>
    <w:p/>
    <w:p/>
    <w:p/>
    <w:p/>
    <w:p/>
    <w:p>
      <w:pPr>
        <w:pStyle w:val="2"/>
      </w:pPr>
    </w:p>
    <w:p>
      <w:pPr>
        <w:pStyle w:val="2"/>
      </w:pPr>
    </w:p>
    <w:p/>
    <w:tbl>
      <w:tblPr>
        <w:tblStyle w:val="14"/>
        <w:tblW w:w="8839" w:type="dxa"/>
        <w:tblInd w:w="0" w:type="dxa"/>
        <w:tblLayout w:type="autofit"/>
        <w:tblCellMar>
          <w:top w:w="0" w:type="dxa"/>
          <w:left w:w="0" w:type="dxa"/>
          <w:bottom w:w="0" w:type="dxa"/>
          <w:right w:w="0" w:type="dxa"/>
        </w:tblCellMar>
      </w:tblPr>
      <w:tblGrid>
        <w:gridCol w:w="729"/>
        <w:gridCol w:w="1038"/>
        <w:gridCol w:w="1120"/>
        <w:gridCol w:w="626"/>
        <w:gridCol w:w="1529"/>
        <w:gridCol w:w="1897"/>
        <w:gridCol w:w="1900"/>
      </w:tblGrid>
      <w:tr>
        <w:tblPrEx>
          <w:tblCellMar>
            <w:top w:w="0" w:type="dxa"/>
            <w:left w:w="0" w:type="dxa"/>
            <w:bottom w:w="0" w:type="dxa"/>
            <w:right w:w="0" w:type="dxa"/>
          </w:tblCellMar>
        </w:tblPrEx>
        <w:trPr>
          <w:trHeight w:val="631" w:hRule="atLeast"/>
        </w:trPr>
        <w:tc>
          <w:tcPr>
            <w:tcW w:w="17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项目名称</w:t>
            </w:r>
          </w:p>
        </w:tc>
        <w:tc>
          <w:tcPr>
            <w:tcW w:w="707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司法行政综合管理系统平台运维项目</w:t>
            </w:r>
          </w:p>
        </w:tc>
      </w:tr>
      <w:tr>
        <w:tblPrEx>
          <w:tblCellMar>
            <w:top w:w="0" w:type="dxa"/>
            <w:left w:w="0" w:type="dxa"/>
            <w:bottom w:w="0" w:type="dxa"/>
            <w:right w:w="0" w:type="dxa"/>
          </w:tblCellMar>
        </w:tblPrEx>
        <w:trPr>
          <w:trHeight w:val="1237" w:hRule="atLeast"/>
        </w:trPr>
        <w:tc>
          <w:tcPr>
            <w:tcW w:w="17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主管部门及代码</w:t>
            </w:r>
          </w:p>
        </w:tc>
        <w:tc>
          <w:tcPr>
            <w:tcW w:w="32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实施单位</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r>
      <w:tr>
        <w:tblPrEx>
          <w:tblCellMar>
            <w:top w:w="0" w:type="dxa"/>
            <w:left w:w="0" w:type="dxa"/>
            <w:bottom w:w="0" w:type="dxa"/>
            <w:right w:w="0" w:type="dxa"/>
          </w:tblCellMar>
        </w:tblPrEx>
        <w:trPr>
          <w:trHeight w:val="631" w:hRule="atLeast"/>
        </w:trPr>
        <w:tc>
          <w:tcPr>
            <w:tcW w:w="176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项目预算</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执行情况</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（万元）</w:t>
            </w:r>
          </w:p>
        </w:tc>
        <w:tc>
          <w:tcPr>
            <w:tcW w:w="17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预算数：</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350.0</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执行数：</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350.0</w:t>
            </w:r>
          </w:p>
        </w:tc>
      </w:tr>
      <w:tr>
        <w:tblPrEx>
          <w:tblCellMar>
            <w:top w:w="0" w:type="dxa"/>
            <w:left w:w="0" w:type="dxa"/>
            <w:bottom w:w="0" w:type="dxa"/>
            <w:right w:w="0" w:type="dxa"/>
          </w:tblCellMar>
        </w:tblPrEx>
        <w:trPr>
          <w:trHeight w:val="648" w:hRule="atLeast"/>
        </w:trPr>
        <w:tc>
          <w:tcPr>
            <w:tcW w:w="176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350.0</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350.0</w:t>
            </w:r>
          </w:p>
        </w:tc>
      </w:tr>
      <w:tr>
        <w:tblPrEx>
          <w:tblCellMar>
            <w:top w:w="0" w:type="dxa"/>
            <w:left w:w="0" w:type="dxa"/>
            <w:bottom w:w="0" w:type="dxa"/>
            <w:right w:w="0" w:type="dxa"/>
          </w:tblCellMar>
        </w:tblPrEx>
        <w:trPr>
          <w:trHeight w:val="648" w:hRule="atLeast"/>
        </w:trPr>
        <w:tc>
          <w:tcPr>
            <w:tcW w:w="176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r>
      <w:tr>
        <w:tblPrEx>
          <w:tblCellMar>
            <w:top w:w="0" w:type="dxa"/>
            <w:left w:w="0" w:type="dxa"/>
            <w:bottom w:w="0" w:type="dxa"/>
            <w:right w:w="0" w:type="dxa"/>
          </w:tblCellMar>
        </w:tblPrEx>
        <w:trPr>
          <w:trHeight w:val="631" w:hRule="atLeast"/>
        </w:trPr>
        <w:tc>
          <w:tcPr>
            <w:tcW w:w="7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度</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总</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体</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目</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完</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成</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情</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况</w:t>
            </w:r>
          </w:p>
        </w:tc>
        <w:tc>
          <w:tcPr>
            <w:tcW w:w="431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预期目标</w:t>
            </w:r>
          </w:p>
        </w:tc>
        <w:tc>
          <w:tcPr>
            <w:tcW w:w="37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目标实际完成情况</w:t>
            </w:r>
          </w:p>
        </w:tc>
      </w:tr>
      <w:tr>
        <w:tblPrEx>
          <w:tblCellMar>
            <w:top w:w="0" w:type="dxa"/>
            <w:left w:w="0" w:type="dxa"/>
            <w:bottom w:w="0" w:type="dxa"/>
            <w:right w:w="0" w:type="dxa"/>
          </w:tblCellMar>
        </w:tblPrEx>
        <w:trPr>
          <w:trHeight w:val="6086" w:hRule="atLeast"/>
        </w:trPr>
        <w:tc>
          <w:tcPr>
            <w:tcW w:w="7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431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完成2021年全省213家法院“司法行政综合管理系统”的咨询服务不低于10000次，BUG修复率不低于95%，培训次数2次，更新操作手册2次。</w:t>
            </w:r>
          </w:p>
        </w:tc>
        <w:tc>
          <w:tcPr>
            <w:tcW w:w="37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保障了“四川省高级人民法院司法行政综合管理系统”正常运行，确保全省三级法院（含法庭）日常业务的正常开展，为全省法院司法行政综合业务工作提供便利，实现法院业务内部管控的主要目标，确保系统安全、稳定、持续运行以及业务数据的安全性和准确性。按照法院业务管理要求，完成了用户所提出的系统调整和优化需求。</w:t>
            </w:r>
          </w:p>
        </w:tc>
      </w:tr>
      <w:tr>
        <w:tblPrEx>
          <w:tblCellMar>
            <w:top w:w="0" w:type="dxa"/>
            <w:left w:w="0" w:type="dxa"/>
            <w:bottom w:w="0" w:type="dxa"/>
            <w:right w:w="0" w:type="dxa"/>
          </w:tblCellMar>
        </w:tblPrEx>
        <w:trPr>
          <w:trHeight w:val="648" w:hRule="atLeast"/>
        </w:trPr>
        <w:tc>
          <w:tcPr>
            <w:tcW w:w="72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年度绩效指标完成情况</w:t>
            </w:r>
          </w:p>
        </w:tc>
        <w:tc>
          <w:tcPr>
            <w:tcW w:w="103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一级指标</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二级指标</w:t>
            </w: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三级指标</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预期指标值</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实际完成指标值</w:t>
            </w:r>
          </w:p>
        </w:tc>
      </w:tr>
      <w:tr>
        <w:tblPrEx>
          <w:tblCellMar>
            <w:top w:w="0" w:type="dxa"/>
            <w:left w:w="0" w:type="dxa"/>
            <w:bottom w:w="0" w:type="dxa"/>
            <w:right w:w="0" w:type="dxa"/>
          </w:tblCellMar>
        </w:tblPrEx>
        <w:trPr>
          <w:trHeight w:val="631" w:hRule="atLeast"/>
        </w:trPr>
        <w:tc>
          <w:tcPr>
            <w:tcW w:w="72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38"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成</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数量指标</w:t>
            </w: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咨询服务</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≥10000次</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98622</w:t>
            </w:r>
          </w:p>
        </w:tc>
      </w:tr>
      <w:tr>
        <w:tblPrEx>
          <w:tblCellMar>
            <w:top w:w="0" w:type="dxa"/>
            <w:left w:w="0" w:type="dxa"/>
            <w:bottom w:w="0" w:type="dxa"/>
            <w:right w:w="0" w:type="dxa"/>
          </w:tblCellMar>
        </w:tblPrEx>
        <w:trPr>
          <w:trHeight w:val="631" w:hRule="atLeast"/>
        </w:trPr>
        <w:tc>
          <w:tcPr>
            <w:tcW w:w="72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新增需求完成率</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90%</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95%</w:t>
            </w:r>
          </w:p>
        </w:tc>
      </w:tr>
      <w:tr>
        <w:tblPrEx>
          <w:tblCellMar>
            <w:top w:w="0" w:type="dxa"/>
            <w:left w:w="0" w:type="dxa"/>
            <w:bottom w:w="0" w:type="dxa"/>
            <w:right w:w="0" w:type="dxa"/>
          </w:tblCellMar>
        </w:tblPrEx>
        <w:trPr>
          <w:trHeight w:val="631" w:hRule="atLeast"/>
        </w:trPr>
        <w:tc>
          <w:tcPr>
            <w:tcW w:w="72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培训次数</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2次</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eastAsia" w:ascii="宋体" w:hAnsi="宋体" w:cs="宋体"/>
                <w:spacing w:val="6"/>
                <w:sz w:val="24"/>
                <w:szCs w:val="24"/>
                <w:lang w:val="en-US" w:eastAsia="zh-CN"/>
              </w:rPr>
              <w:t>2</w:t>
            </w:r>
            <w:r>
              <w:rPr>
                <w:rFonts w:hint="eastAsia" w:ascii="宋体" w:hAnsi="宋体" w:eastAsia="宋体" w:cs="宋体"/>
                <w:spacing w:val="6"/>
                <w:sz w:val="24"/>
                <w:szCs w:val="24"/>
                <w:lang w:val="en-US" w:eastAsia="zh-CN"/>
              </w:rPr>
              <w:t>次</w:t>
            </w:r>
          </w:p>
        </w:tc>
      </w:tr>
      <w:tr>
        <w:tblPrEx>
          <w:tblCellMar>
            <w:top w:w="0" w:type="dxa"/>
            <w:left w:w="0" w:type="dxa"/>
            <w:bottom w:w="0" w:type="dxa"/>
            <w:right w:w="0" w:type="dxa"/>
          </w:tblCellMar>
        </w:tblPrEx>
        <w:trPr>
          <w:trHeight w:val="631" w:hRule="atLeast"/>
        </w:trPr>
        <w:tc>
          <w:tcPr>
            <w:tcW w:w="72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3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2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质量指标</w:t>
            </w: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BUG修复率</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≥95%</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96%</w:t>
            </w:r>
          </w:p>
        </w:tc>
      </w:tr>
      <w:tr>
        <w:tblPrEx>
          <w:tblCellMar>
            <w:top w:w="0" w:type="dxa"/>
            <w:left w:w="0" w:type="dxa"/>
            <w:bottom w:w="0" w:type="dxa"/>
            <w:right w:w="0" w:type="dxa"/>
          </w:tblCellMar>
        </w:tblPrEx>
        <w:trPr>
          <w:trHeight w:val="631" w:hRule="atLeast"/>
        </w:trPr>
        <w:tc>
          <w:tcPr>
            <w:tcW w:w="72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3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2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业务流程规范率</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≥95%</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97%</w:t>
            </w:r>
          </w:p>
        </w:tc>
      </w:tr>
      <w:tr>
        <w:tblPrEx>
          <w:tblCellMar>
            <w:top w:w="0" w:type="dxa"/>
            <w:left w:w="0" w:type="dxa"/>
            <w:bottom w:w="0" w:type="dxa"/>
            <w:right w:w="0" w:type="dxa"/>
          </w:tblCellMar>
        </w:tblPrEx>
        <w:trPr>
          <w:trHeight w:val="631" w:hRule="atLeast"/>
        </w:trPr>
        <w:tc>
          <w:tcPr>
            <w:tcW w:w="72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时效指标</w:t>
            </w: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维护时间</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签订合同后一年</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签订合同后一年</w:t>
            </w:r>
          </w:p>
        </w:tc>
      </w:tr>
      <w:tr>
        <w:tblPrEx>
          <w:tblCellMar>
            <w:top w:w="0" w:type="dxa"/>
            <w:left w:w="0" w:type="dxa"/>
            <w:bottom w:w="0" w:type="dxa"/>
            <w:right w:w="0" w:type="dxa"/>
          </w:tblCellMar>
        </w:tblPrEx>
        <w:trPr>
          <w:trHeight w:val="1843" w:hRule="atLeast"/>
        </w:trPr>
        <w:tc>
          <w:tcPr>
            <w:tcW w:w="72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3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效</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益</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社会效益指标</w:t>
            </w: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对工作的促进作用</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规范财务业务办理流程，有效提高工作规范和效率</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有效提高了工作规范和效率</w:t>
            </w:r>
          </w:p>
        </w:tc>
      </w:tr>
      <w:tr>
        <w:tblPrEx>
          <w:tblCellMar>
            <w:top w:w="0" w:type="dxa"/>
            <w:left w:w="0" w:type="dxa"/>
            <w:bottom w:w="0" w:type="dxa"/>
            <w:right w:w="0" w:type="dxa"/>
          </w:tblCellMar>
        </w:tblPrEx>
        <w:trPr>
          <w:trHeight w:val="1237" w:hRule="atLeast"/>
        </w:trPr>
        <w:tc>
          <w:tcPr>
            <w:tcW w:w="72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可持续</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影响指标</w:t>
            </w: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持续影响年限</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w:t>
            </w:r>
            <w:r>
              <w:rPr>
                <w:rFonts w:hint="eastAsia" w:ascii="宋体" w:hAnsi="宋体" w:eastAsia="宋体" w:cs="宋体"/>
                <w:spacing w:val="6"/>
                <w:sz w:val="24"/>
                <w:szCs w:val="24"/>
                <w:lang w:val="en-US" w:eastAsia="zh-CN"/>
              </w:rPr>
              <w:t>年</w:t>
            </w:r>
          </w:p>
        </w:tc>
      </w:tr>
      <w:tr>
        <w:tblPrEx>
          <w:tblCellMar>
            <w:top w:w="0" w:type="dxa"/>
            <w:left w:w="0" w:type="dxa"/>
            <w:bottom w:w="0" w:type="dxa"/>
            <w:right w:w="0" w:type="dxa"/>
          </w:tblCellMar>
        </w:tblPrEx>
        <w:trPr>
          <w:trHeight w:val="3066" w:hRule="atLeast"/>
        </w:trPr>
        <w:tc>
          <w:tcPr>
            <w:tcW w:w="72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意</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度</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满意度</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指标</w:t>
            </w: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系统使用者满意度</w:t>
            </w:r>
          </w:p>
        </w:tc>
        <w:tc>
          <w:tcPr>
            <w:tcW w:w="1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≥90%</w:t>
            </w:r>
          </w:p>
        </w:tc>
        <w:tc>
          <w:tcPr>
            <w:tcW w:w="1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92%</w:t>
            </w:r>
          </w:p>
        </w:tc>
      </w:tr>
    </w:tbl>
    <w:p/>
    <w:p/>
    <w:p/>
    <w:p/>
    <w:p/>
    <w:p/>
    <w:p/>
    <w:p>
      <w:pPr>
        <w:pStyle w:val="2"/>
      </w:pPr>
    </w:p>
    <w:tbl>
      <w:tblPr>
        <w:tblStyle w:val="14"/>
        <w:tblW w:w="9039" w:type="dxa"/>
        <w:tblInd w:w="0" w:type="dxa"/>
        <w:tblLayout w:type="autofit"/>
        <w:tblCellMar>
          <w:top w:w="0" w:type="dxa"/>
          <w:left w:w="0" w:type="dxa"/>
          <w:bottom w:w="0" w:type="dxa"/>
          <w:right w:w="0" w:type="dxa"/>
        </w:tblCellMar>
      </w:tblPr>
      <w:tblGrid>
        <w:gridCol w:w="746"/>
        <w:gridCol w:w="1064"/>
        <w:gridCol w:w="1063"/>
        <w:gridCol w:w="721"/>
        <w:gridCol w:w="1563"/>
        <w:gridCol w:w="1933"/>
        <w:gridCol w:w="1949"/>
      </w:tblGrid>
      <w:tr>
        <w:tblPrEx>
          <w:tblCellMar>
            <w:top w:w="0" w:type="dxa"/>
            <w:left w:w="0" w:type="dxa"/>
            <w:bottom w:w="0" w:type="dxa"/>
            <w:right w:w="0" w:type="dxa"/>
          </w:tblCellMar>
        </w:tblPrEx>
        <w:trPr>
          <w:trHeight w:val="623" w:hRule="atLeast"/>
        </w:trPr>
        <w:tc>
          <w:tcPr>
            <w:tcW w:w="18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项目名称</w:t>
            </w:r>
          </w:p>
        </w:tc>
        <w:tc>
          <w:tcPr>
            <w:tcW w:w="722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司法救助经费</w:t>
            </w:r>
          </w:p>
        </w:tc>
      </w:tr>
      <w:tr>
        <w:tblPrEx>
          <w:tblCellMar>
            <w:top w:w="0" w:type="dxa"/>
            <w:left w:w="0" w:type="dxa"/>
            <w:bottom w:w="0" w:type="dxa"/>
            <w:right w:w="0" w:type="dxa"/>
          </w:tblCellMar>
        </w:tblPrEx>
        <w:trPr>
          <w:trHeight w:val="868" w:hRule="atLeast"/>
        </w:trPr>
        <w:tc>
          <w:tcPr>
            <w:tcW w:w="18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主管部门及代码</w:t>
            </w:r>
          </w:p>
        </w:tc>
        <w:tc>
          <w:tcPr>
            <w:tcW w:w="334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实施单位</w:t>
            </w:r>
          </w:p>
        </w:tc>
        <w:tc>
          <w:tcPr>
            <w:tcW w:w="1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r>
      <w:tr>
        <w:tblPrEx>
          <w:tblCellMar>
            <w:top w:w="0" w:type="dxa"/>
            <w:left w:w="0" w:type="dxa"/>
            <w:bottom w:w="0" w:type="dxa"/>
            <w:right w:w="0" w:type="dxa"/>
          </w:tblCellMar>
        </w:tblPrEx>
        <w:trPr>
          <w:trHeight w:val="623" w:hRule="atLeast"/>
        </w:trPr>
        <w:tc>
          <w:tcPr>
            <w:tcW w:w="181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项目预算</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执行情况</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（万元）</w:t>
            </w:r>
          </w:p>
        </w:tc>
        <w:tc>
          <w:tcPr>
            <w:tcW w:w="17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预算数：</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315.0</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执行数：</w:t>
            </w:r>
          </w:p>
        </w:tc>
        <w:tc>
          <w:tcPr>
            <w:tcW w:w="1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314.47</w:t>
            </w:r>
          </w:p>
        </w:tc>
      </w:tr>
      <w:tr>
        <w:tblPrEx>
          <w:tblCellMar>
            <w:top w:w="0" w:type="dxa"/>
            <w:left w:w="0" w:type="dxa"/>
            <w:bottom w:w="0" w:type="dxa"/>
            <w:right w:w="0" w:type="dxa"/>
          </w:tblCellMar>
        </w:tblPrEx>
        <w:trPr>
          <w:trHeight w:val="868" w:hRule="atLeast"/>
        </w:trPr>
        <w:tc>
          <w:tcPr>
            <w:tcW w:w="181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315.0</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314.47</w:t>
            </w:r>
          </w:p>
        </w:tc>
      </w:tr>
      <w:tr>
        <w:tblPrEx>
          <w:tblCellMar>
            <w:top w:w="0" w:type="dxa"/>
            <w:left w:w="0" w:type="dxa"/>
            <w:bottom w:w="0" w:type="dxa"/>
            <w:right w:w="0" w:type="dxa"/>
          </w:tblCellMar>
        </w:tblPrEx>
        <w:trPr>
          <w:trHeight w:val="868" w:hRule="atLeast"/>
        </w:trPr>
        <w:tc>
          <w:tcPr>
            <w:tcW w:w="181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r>
      <w:tr>
        <w:tblPrEx>
          <w:tblCellMar>
            <w:top w:w="0" w:type="dxa"/>
            <w:left w:w="0" w:type="dxa"/>
            <w:bottom w:w="0" w:type="dxa"/>
            <w:right w:w="0" w:type="dxa"/>
          </w:tblCellMar>
        </w:tblPrEx>
        <w:trPr>
          <w:trHeight w:val="623" w:hRule="atLeast"/>
        </w:trPr>
        <w:tc>
          <w:tcPr>
            <w:tcW w:w="7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度</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总</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体</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目</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完</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成</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情</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况</w:t>
            </w:r>
          </w:p>
        </w:tc>
        <w:tc>
          <w:tcPr>
            <w:tcW w:w="441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预期目标</w:t>
            </w:r>
          </w:p>
        </w:tc>
        <w:tc>
          <w:tcPr>
            <w:tcW w:w="38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目标实际完成情况</w:t>
            </w:r>
          </w:p>
        </w:tc>
      </w:tr>
      <w:tr>
        <w:tblPrEx>
          <w:tblCellMar>
            <w:top w:w="0" w:type="dxa"/>
            <w:left w:w="0" w:type="dxa"/>
            <w:bottom w:w="0" w:type="dxa"/>
            <w:right w:w="0" w:type="dxa"/>
          </w:tblCellMar>
        </w:tblPrEx>
        <w:trPr>
          <w:trHeight w:val="3680" w:hRule="atLeast"/>
        </w:trPr>
        <w:tc>
          <w:tcPr>
            <w:tcW w:w="7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441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按照最高院相关规定，对生活面临急迫困难的当事人予以国家司法救助保障。具体金额，由政法、财政依据需求和执行统一安排部署。</w:t>
            </w:r>
          </w:p>
        </w:tc>
        <w:tc>
          <w:tcPr>
            <w:tcW w:w="38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2021年，省法院按照最高院相关规定，完成对生活面临急迫困难的当事人予以国家司法救助保障。</w:t>
            </w:r>
          </w:p>
        </w:tc>
      </w:tr>
      <w:tr>
        <w:tblPrEx>
          <w:tblCellMar>
            <w:top w:w="0" w:type="dxa"/>
            <w:left w:w="0" w:type="dxa"/>
            <w:bottom w:w="0" w:type="dxa"/>
            <w:right w:w="0" w:type="dxa"/>
          </w:tblCellMar>
        </w:tblPrEx>
        <w:trPr>
          <w:trHeight w:val="868" w:hRule="atLeast"/>
        </w:trPr>
        <w:tc>
          <w:tcPr>
            <w:tcW w:w="7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年度绩效指标完成情况</w:t>
            </w:r>
          </w:p>
        </w:tc>
        <w:tc>
          <w:tcPr>
            <w:tcW w:w="106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一级指标</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二级指标</w:t>
            </w:r>
          </w:p>
        </w:tc>
        <w:tc>
          <w:tcPr>
            <w:tcW w:w="2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三级指标</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预期指标值</w:t>
            </w:r>
          </w:p>
        </w:tc>
        <w:tc>
          <w:tcPr>
            <w:tcW w:w="1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实际完成指标值</w:t>
            </w:r>
          </w:p>
        </w:tc>
      </w:tr>
      <w:tr>
        <w:tblPrEx>
          <w:tblCellMar>
            <w:top w:w="0" w:type="dxa"/>
            <w:left w:w="0" w:type="dxa"/>
            <w:bottom w:w="0" w:type="dxa"/>
            <w:right w:w="0" w:type="dxa"/>
          </w:tblCellMar>
        </w:tblPrEx>
        <w:trPr>
          <w:trHeight w:val="835" w:hRule="atLeast"/>
        </w:trPr>
        <w:tc>
          <w:tcPr>
            <w:tcW w:w="74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成</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数量指标</w:t>
            </w:r>
          </w:p>
        </w:tc>
        <w:tc>
          <w:tcPr>
            <w:tcW w:w="2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拟保障人数</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&gt;40人</w:t>
            </w:r>
          </w:p>
        </w:tc>
        <w:tc>
          <w:tcPr>
            <w:tcW w:w="1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87</w:t>
            </w:r>
            <w:r>
              <w:rPr>
                <w:rFonts w:hint="eastAsia" w:ascii="宋体" w:hAnsi="宋体" w:eastAsia="宋体" w:cs="宋体"/>
                <w:spacing w:val="6"/>
                <w:sz w:val="24"/>
                <w:szCs w:val="24"/>
                <w:lang w:val="en-US" w:eastAsia="zh-CN"/>
              </w:rPr>
              <w:t>人</w:t>
            </w:r>
          </w:p>
        </w:tc>
      </w:tr>
      <w:tr>
        <w:tblPrEx>
          <w:tblCellMar>
            <w:top w:w="0" w:type="dxa"/>
            <w:left w:w="0" w:type="dxa"/>
            <w:bottom w:w="0" w:type="dxa"/>
            <w:right w:w="0" w:type="dxa"/>
          </w:tblCellMar>
        </w:tblPrEx>
        <w:trPr>
          <w:trHeight w:val="678" w:hRule="atLeast"/>
        </w:trPr>
        <w:tc>
          <w:tcPr>
            <w:tcW w:w="74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时效指标</w:t>
            </w:r>
          </w:p>
        </w:tc>
        <w:tc>
          <w:tcPr>
            <w:tcW w:w="2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完成时间</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2021年12月31日前</w:t>
            </w:r>
          </w:p>
        </w:tc>
        <w:tc>
          <w:tcPr>
            <w:tcW w:w="1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2021年11月</w:t>
            </w:r>
          </w:p>
        </w:tc>
      </w:tr>
      <w:tr>
        <w:tblPrEx>
          <w:tblCellMar>
            <w:top w:w="0" w:type="dxa"/>
            <w:left w:w="0" w:type="dxa"/>
            <w:bottom w:w="0" w:type="dxa"/>
            <w:right w:w="0" w:type="dxa"/>
          </w:tblCellMar>
        </w:tblPrEx>
        <w:trPr>
          <w:trHeight w:val="678" w:hRule="atLeast"/>
        </w:trPr>
        <w:tc>
          <w:tcPr>
            <w:tcW w:w="74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064"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p>
        </w:tc>
        <w:tc>
          <w:tcPr>
            <w:tcW w:w="106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成本指标</w:t>
            </w:r>
          </w:p>
        </w:tc>
        <w:tc>
          <w:tcPr>
            <w:tcW w:w="2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人均救助成本</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8</w:t>
            </w:r>
            <w:r>
              <w:rPr>
                <w:rFonts w:hint="eastAsia" w:ascii="宋体" w:hAnsi="宋体" w:eastAsia="宋体" w:cs="宋体"/>
                <w:spacing w:val="6"/>
                <w:sz w:val="24"/>
                <w:szCs w:val="24"/>
                <w:lang w:val="en-US" w:eastAsia="zh-CN"/>
              </w:rPr>
              <w:t>万元</w:t>
            </w:r>
            <w:r>
              <w:rPr>
                <w:rFonts w:hint="default" w:ascii="宋体" w:hAnsi="宋体" w:eastAsia="宋体" w:cs="宋体"/>
                <w:spacing w:val="6"/>
                <w:sz w:val="24"/>
                <w:szCs w:val="24"/>
                <w:lang w:val="en-US" w:eastAsia="zh-CN"/>
              </w:rPr>
              <w:t>/</w:t>
            </w:r>
            <w:r>
              <w:rPr>
                <w:rFonts w:hint="eastAsia" w:ascii="宋体" w:hAnsi="宋体" w:eastAsia="宋体" w:cs="宋体"/>
                <w:spacing w:val="6"/>
                <w:sz w:val="24"/>
                <w:szCs w:val="24"/>
                <w:lang w:val="en-US" w:eastAsia="zh-CN"/>
              </w:rPr>
              <w:t>人</w:t>
            </w:r>
          </w:p>
        </w:tc>
        <w:tc>
          <w:tcPr>
            <w:tcW w:w="1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3.61</w:t>
            </w:r>
            <w:r>
              <w:rPr>
                <w:rFonts w:hint="eastAsia" w:ascii="宋体" w:hAnsi="宋体" w:eastAsia="宋体" w:cs="宋体"/>
                <w:spacing w:val="6"/>
                <w:sz w:val="24"/>
                <w:szCs w:val="24"/>
                <w:lang w:val="en-US" w:eastAsia="zh-CN"/>
              </w:rPr>
              <w:t>万元</w:t>
            </w:r>
            <w:r>
              <w:rPr>
                <w:rFonts w:hint="default" w:ascii="宋体" w:hAnsi="宋体" w:eastAsia="宋体" w:cs="宋体"/>
                <w:spacing w:val="6"/>
                <w:sz w:val="24"/>
                <w:szCs w:val="24"/>
                <w:lang w:val="en-US" w:eastAsia="zh-CN"/>
              </w:rPr>
              <w:t>/</w:t>
            </w:r>
            <w:r>
              <w:rPr>
                <w:rFonts w:hint="eastAsia" w:ascii="宋体" w:hAnsi="宋体" w:eastAsia="宋体" w:cs="宋体"/>
                <w:spacing w:val="6"/>
                <w:sz w:val="24"/>
                <w:szCs w:val="24"/>
                <w:lang w:val="en-US" w:eastAsia="zh-CN"/>
              </w:rPr>
              <w:t>人</w:t>
            </w:r>
          </w:p>
        </w:tc>
      </w:tr>
      <w:tr>
        <w:tblPrEx>
          <w:tblCellMar>
            <w:top w:w="0" w:type="dxa"/>
            <w:left w:w="0" w:type="dxa"/>
            <w:bottom w:w="0" w:type="dxa"/>
            <w:right w:w="0" w:type="dxa"/>
          </w:tblCellMar>
        </w:tblPrEx>
        <w:trPr>
          <w:trHeight w:val="729" w:hRule="atLeast"/>
        </w:trPr>
        <w:tc>
          <w:tcPr>
            <w:tcW w:w="74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064" w:type="dxa"/>
            <w:vMerge w:val="restart"/>
            <w:tcBorders>
              <w:top w:val="single" w:color="auto"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效</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益</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063" w:type="dxa"/>
            <w:tcBorders>
              <w:top w:val="single" w:color="auto"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社会效益指标</w:t>
            </w:r>
          </w:p>
        </w:tc>
        <w:tc>
          <w:tcPr>
            <w:tcW w:w="2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社会效益</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解决当事人生活困窘</w:t>
            </w:r>
          </w:p>
        </w:tc>
        <w:tc>
          <w:tcPr>
            <w:tcW w:w="1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解决涉诉困难群众的急迫性生活困难</w:t>
            </w:r>
          </w:p>
        </w:tc>
      </w:tr>
      <w:tr>
        <w:tblPrEx>
          <w:tblCellMar>
            <w:top w:w="0" w:type="dxa"/>
            <w:left w:w="0" w:type="dxa"/>
            <w:bottom w:w="0" w:type="dxa"/>
            <w:right w:w="0" w:type="dxa"/>
          </w:tblCellMar>
        </w:tblPrEx>
        <w:trPr>
          <w:trHeight w:val="729" w:hRule="atLeast"/>
        </w:trPr>
        <w:tc>
          <w:tcPr>
            <w:tcW w:w="74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可持续</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影响指标</w:t>
            </w:r>
          </w:p>
        </w:tc>
        <w:tc>
          <w:tcPr>
            <w:tcW w:w="2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可持续影响年限</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c>
          <w:tcPr>
            <w:tcW w:w="1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w:t>
            </w:r>
            <w:r>
              <w:rPr>
                <w:rFonts w:hint="eastAsia" w:ascii="宋体" w:hAnsi="宋体" w:eastAsia="宋体" w:cs="宋体"/>
                <w:spacing w:val="6"/>
                <w:sz w:val="24"/>
                <w:szCs w:val="24"/>
                <w:lang w:val="en-US" w:eastAsia="zh-CN"/>
              </w:rPr>
              <w:t>年</w:t>
            </w:r>
          </w:p>
        </w:tc>
      </w:tr>
      <w:tr>
        <w:tblPrEx>
          <w:tblCellMar>
            <w:top w:w="0" w:type="dxa"/>
            <w:left w:w="0" w:type="dxa"/>
            <w:bottom w:w="0" w:type="dxa"/>
            <w:right w:w="0" w:type="dxa"/>
          </w:tblCellMar>
        </w:tblPrEx>
        <w:trPr>
          <w:trHeight w:val="1787" w:hRule="atLeast"/>
        </w:trPr>
        <w:tc>
          <w:tcPr>
            <w:tcW w:w="7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spacing w:val="6"/>
                <w:sz w:val="24"/>
                <w:szCs w:val="24"/>
                <w:lang w:val="en-US" w:eastAsia="zh-CN"/>
              </w:rPr>
            </w:pPr>
          </w:p>
        </w:tc>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意</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度</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满意度</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指标</w:t>
            </w:r>
          </w:p>
        </w:tc>
        <w:tc>
          <w:tcPr>
            <w:tcW w:w="22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受助者满意度</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90%</w:t>
            </w:r>
          </w:p>
        </w:tc>
        <w:tc>
          <w:tcPr>
            <w:tcW w:w="1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100%</w:t>
            </w:r>
          </w:p>
        </w:tc>
      </w:tr>
    </w:tbl>
    <w:p/>
    <w:p/>
    <w:p/>
    <w:p/>
    <w:p/>
    <w:p/>
    <w:p/>
    <w:p/>
    <w:p>
      <w:pPr>
        <w:pStyle w:val="2"/>
      </w:pPr>
    </w:p>
    <w:p>
      <w:pPr>
        <w:pStyle w:val="2"/>
      </w:pPr>
    </w:p>
    <w:p>
      <w:pPr>
        <w:pStyle w:val="2"/>
      </w:pPr>
    </w:p>
    <w:p>
      <w:pPr>
        <w:pStyle w:val="2"/>
      </w:pPr>
    </w:p>
    <w:p>
      <w:pPr>
        <w:pStyle w:val="2"/>
      </w:pPr>
    </w:p>
    <w:p/>
    <w:tbl>
      <w:tblPr>
        <w:tblStyle w:val="14"/>
        <w:tblW w:w="9139" w:type="dxa"/>
        <w:tblInd w:w="0" w:type="dxa"/>
        <w:tblLayout w:type="autofit"/>
        <w:tblCellMar>
          <w:top w:w="0" w:type="dxa"/>
          <w:left w:w="0" w:type="dxa"/>
          <w:bottom w:w="0" w:type="dxa"/>
          <w:right w:w="0" w:type="dxa"/>
        </w:tblCellMar>
      </w:tblPr>
      <w:tblGrid>
        <w:gridCol w:w="754"/>
        <w:gridCol w:w="1131"/>
        <w:gridCol w:w="1243"/>
        <w:gridCol w:w="502"/>
        <w:gridCol w:w="1582"/>
        <w:gridCol w:w="1961"/>
        <w:gridCol w:w="1966"/>
      </w:tblGrid>
      <w:tr>
        <w:tblPrEx>
          <w:tblCellMar>
            <w:top w:w="0" w:type="dxa"/>
            <w:left w:w="0" w:type="dxa"/>
            <w:bottom w:w="0" w:type="dxa"/>
            <w:right w:w="0" w:type="dxa"/>
          </w:tblCellMar>
        </w:tblPrEx>
        <w:trPr>
          <w:trHeight w:val="589" w:hRule="atLeast"/>
        </w:trPr>
        <w:tc>
          <w:tcPr>
            <w:tcW w:w="18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项目名称</w:t>
            </w:r>
          </w:p>
        </w:tc>
        <w:tc>
          <w:tcPr>
            <w:tcW w:w="725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审判大楼及技术大楼其他运行费</w:t>
            </w:r>
          </w:p>
        </w:tc>
      </w:tr>
      <w:tr>
        <w:tblPrEx>
          <w:tblCellMar>
            <w:top w:w="0" w:type="dxa"/>
            <w:left w:w="0" w:type="dxa"/>
            <w:bottom w:w="0" w:type="dxa"/>
            <w:right w:w="0" w:type="dxa"/>
          </w:tblCellMar>
        </w:tblPrEx>
        <w:trPr>
          <w:trHeight w:val="766" w:hRule="atLeast"/>
        </w:trPr>
        <w:tc>
          <w:tcPr>
            <w:tcW w:w="18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主管部门及代码</w:t>
            </w:r>
          </w:p>
        </w:tc>
        <w:tc>
          <w:tcPr>
            <w:tcW w:w="33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实施单位</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r>
      <w:tr>
        <w:tblPrEx>
          <w:tblCellMar>
            <w:top w:w="0" w:type="dxa"/>
            <w:left w:w="0" w:type="dxa"/>
            <w:bottom w:w="0" w:type="dxa"/>
            <w:right w:w="0" w:type="dxa"/>
          </w:tblCellMar>
        </w:tblPrEx>
        <w:trPr>
          <w:trHeight w:val="589" w:hRule="atLeast"/>
        </w:trPr>
        <w:tc>
          <w:tcPr>
            <w:tcW w:w="188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项目预算</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执行情况</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（万元）</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预算数：</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273.02</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执行数：</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273.02</w:t>
            </w:r>
          </w:p>
        </w:tc>
      </w:tr>
      <w:tr>
        <w:tblPrEx>
          <w:tblCellMar>
            <w:top w:w="0" w:type="dxa"/>
            <w:left w:w="0" w:type="dxa"/>
            <w:bottom w:w="0" w:type="dxa"/>
            <w:right w:w="0" w:type="dxa"/>
          </w:tblCellMar>
        </w:tblPrEx>
        <w:trPr>
          <w:trHeight w:val="766" w:hRule="atLeast"/>
        </w:trPr>
        <w:tc>
          <w:tcPr>
            <w:tcW w:w="18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273.02</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273.02</w:t>
            </w:r>
          </w:p>
        </w:tc>
      </w:tr>
      <w:tr>
        <w:tblPrEx>
          <w:tblCellMar>
            <w:top w:w="0" w:type="dxa"/>
            <w:left w:w="0" w:type="dxa"/>
            <w:bottom w:w="0" w:type="dxa"/>
            <w:right w:w="0" w:type="dxa"/>
          </w:tblCellMar>
        </w:tblPrEx>
        <w:trPr>
          <w:trHeight w:val="766" w:hRule="atLeast"/>
        </w:trPr>
        <w:tc>
          <w:tcPr>
            <w:tcW w:w="18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r>
      <w:tr>
        <w:tblPrEx>
          <w:tblCellMar>
            <w:top w:w="0" w:type="dxa"/>
            <w:left w:w="0" w:type="dxa"/>
            <w:bottom w:w="0" w:type="dxa"/>
            <w:right w:w="0" w:type="dxa"/>
          </w:tblCellMar>
        </w:tblPrEx>
        <w:trPr>
          <w:trHeight w:val="589" w:hRule="atLeast"/>
        </w:trPr>
        <w:tc>
          <w:tcPr>
            <w:tcW w:w="7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度</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总</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体</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目</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完</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成</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情</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况</w:t>
            </w:r>
          </w:p>
        </w:tc>
        <w:tc>
          <w:tcPr>
            <w:tcW w:w="44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预期目标</w:t>
            </w:r>
          </w:p>
        </w:tc>
        <w:tc>
          <w:tcPr>
            <w:tcW w:w="3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目标实际完成情况</w:t>
            </w:r>
          </w:p>
        </w:tc>
      </w:tr>
      <w:tr>
        <w:tblPrEx>
          <w:tblCellMar>
            <w:top w:w="0" w:type="dxa"/>
            <w:left w:w="0" w:type="dxa"/>
            <w:bottom w:w="0" w:type="dxa"/>
            <w:right w:w="0" w:type="dxa"/>
          </w:tblCellMar>
        </w:tblPrEx>
        <w:trPr>
          <w:trHeight w:val="5230" w:hRule="atLeast"/>
        </w:trPr>
        <w:tc>
          <w:tcPr>
            <w:tcW w:w="7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44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保障蜀汉路办公区审判大楼及技术大楼的正常运行。</w:t>
            </w:r>
          </w:p>
        </w:tc>
        <w:tc>
          <w:tcPr>
            <w:tcW w:w="3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完成保障蜀汉路办公区审判大楼及技术大楼的正常运行。</w:t>
            </w:r>
          </w:p>
        </w:tc>
      </w:tr>
      <w:tr>
        <w:tblPrEx>
          <w:tblCellMar>
            <w:top w:w="0" w:type="dxa"/>
            <w:left w:w="0" w:type="dxa"/>
            <w:bottom w:w="0" w:type="dxa"/>
            <w:right w:w="0" w:type="dxa"/>
          </w:tblCellMar>
        </w:tblPrEx>
        <w:trPr>
          <w:trHeight w:val="90" w:hRule="atLeast"/>
        </w:trPr>
        <w:tc>
          <w:tcPr>
            <w:tcW w:w="75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年度绩效指标完成情况</w:t>
            </w:r>
          </w:p>
        </w:tc>
        <w:tc>
          <w:tcPr>
            <w:tcW w:w="11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一级指标</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二级指标</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三级指标</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预期指标值</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实际完成指标值</w:t>
            </w:r>
          </w:p>
        </w:tc>
      </w:tr>
      <w:tr>
        <w:tblPrEx>
          <w:tblCellMar>
            <w:top w:w="0" w:type="dxa"/>
            <w:left w:w="0" w:type="dxa"/>
            <w:bottom w:w="0" w:type="dxa"/>
            <w:right w:w="0" w:type="dxa"/>
          </w:tblCellMar>
        </w:tblPrEx>
        <w:trPr>
          <w:trHeight w:val="643" w:hRule="atLeast"/>
        </w:trPr>
        <w:tc>
          <w:tcPr>
            <w:tcW w:w="75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完成</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指标</w:t>
            </w:r>
          </w:p>
        </w:tc>
        <w:tc>
          <w:tcPr>
            <w:tcW w:w="12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数量指标</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审判大楼数量</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w:t>
            </w:r>
          </w:p>
        </w:tc>
      </w:tr>
      <w:tr>
        <w:tblPrEx>
          <w:tblCellMar>
            <w:top w:w="0" w:type="dxa"/>
            <w:left w:w="0" w:type="dxa"/>
            <w:bottom w:w="0" w:type="dxa"/>
            <w:right w:w="0" w:type="dxa"/>
          </w:tblCellMar>
        </w:tblPrEx>
        <w:trPr>
          <w:trHeight w:val="480" w:hRule="atLeast"/>
        </w:trPr>
        <w:tc>
          <w:tcPr>
            <w:tcW w:w="75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2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技术大楼数量</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w:t>
            </w:r>
          </w:p>
        </w:tc>
      </w:tr>
      <w:tr>
        <w:tblPrEx>
          <w:tblCellMar>
            <w:top w:w="0" w:type="dxa"/>
            <w:left w:w="0" w:type="dxa"/>
            <w:bottom w:w="0" w:type="dxa"/>
            <w:right w:w="0" w:type="dxa"/>
          </w:tblCellMar>
        </w:tblPrEx>
        <w:trPr>
          <w:trHeight w:val="480" w:hRule="atLeast"/>
        </w:trPr>
        <w:tc>
          <w:tcPr>
            <w:tcW w:w="75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质量指标</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保障质量</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符合保障需求</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符合保障需求</w:t>
            </w:r>
          </w:p>
        </w:tc>
      </w:tr>
      <w:tr>
        <w:tblPrEx>
          <w:tblCellMar>
            <w:top w:w="0" w:type="dxa"/>
            <w:left w:w="0" w:type="dxa"/>
            <w:bottom w:w="0" w:type="dxa"/>
            <w:right w:w="0" w:type="dxa"/>
          </w:tblCellMar>
        </w:tblPrEx>
        <w:trPr>
          <w:trHeight w:val="635" w:hRule="atLeast"/>
        </w:trPr>
        <w:tc>
          <w:tcPr>
            <w:tcW w:w="75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时效指标</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完成时间</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2021年12月31日前</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2021年12月31日前</w:t>
            </w:r>
          </w:p>
        </w:tc>
      </w:tr>
      <w:tr>
        <w:tblPrEx>
          <w:tblCellMar>
            <w:top w:w="0" w:type="dxa"/>
            <w:left w:w="0" w:type="dxa"/>
            <w:bottom w:w="0" w:type="dxa"/>
            <w:right w:w="0" w:type="dxa"/>
          </w:tblCellMar>
        </w:tblPrEx>
        <w:trPr>
          <w:trHeight w:val="939" w:hRule="atLeast"/>
        </w:trPr>
        <w:tc>
          <w:tcPr>
            <w:tcW w:w="75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效</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益</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社会效益指标</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对工作的促进作用</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保障审判大楼及技术大楼的正常、有序、安全运行</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保障审判大楼及技术大楼的正常、有序、安全运行</w:t>
            </w:r>
          </w:p>
        </w:tc>
      </w:tr>
      <w:tr>
        <w:tblPrEx>
          <w:tblCellMar>
            <w:top w:w="0" w:type="dxa"/>
            <w:left w:w="0" w:type="dxa"/>
            <w:bottom w:w="0" w:type="dxa"/>
            <w:right w:w="0" w:type="dxa"/>
          </w:tblCellMar>
        </w:tblPrEx>
        <w:trPr>
          <w:trHeight w:val="650" w:hRule="atLeast"/>
        </w:trPr>
        <w:tc>
          <w:tcPr>
            <w:tcW w:w="75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可持续</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影响指标</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持续年限</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r>
      <w:tr>
        <w:tblPrEx>
          <w:tblCellMar>
            <w:top w:w="0" w:type="dxa"/>
            <w:left w:w="0" w:type="dxa"/>
            <w:bottom w:w="0" w:type="dxa"/>
            <w:right w:w="0" w:type="dxa"/>
          </w:tblCellMar>
        </w:tblPrEx>
        <w:trPr>
          <w:trHeight w:val="1579" w:hRule="atLeast"/>
        </w:trPr>
        <w:tc>
          <w:tcPr>
            <w:tcW w:w="75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意</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度</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满意度</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指标</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使用部门满意度</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&gt;95%</w:t>
            </w:r>
          </w:p>
        </w:tc>
        <w:tc>
          <w:tcPr>
            <w:tcW w:w="1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&gt;95%</w:t>
            </w:r>
          </w:p>
        </w:tc>
      </w:tr>
    </w:tbl>
    <w:p>
      <w:pPr>
        <w:keepNext w:val="0"/>
        <w:keepLines w:val="0"/>
        <w:pageBreakBefore w:val="0"/>
        <w:widowControl w:val="0"/>
        <w:kinsoku/>
        <w:wordWrap/>
        <w:overflowPunct/>
        <w:topLinePunct w:val="0"/>
        <w:bidi w:val="0"/>
        <w:adjustRightInd/>
        <w:spacing w:line="600" w:lineRule="exact"/>
        <w:jc w:val="center"/>
        <w:textAlignment w:val="auto"/>
      </w:pPr>
    </w:p>
    <w:p>
      <w:pPr>
        <w:keepNext w:val="0"/>
        <w:keepLines w:val="0"/>
        <w:pageBreakBefore w:val="0"/>
        <w:widowControl w:val="0"/>
        <w:kinsoku/>
        <w:wordWrap/>
        <w:overflowPunct/>
        <w:topLinePunct w:val="0"/>
        <w:bidi w:val="0"/>
        <w:adjustRightInd/>
        <w:spacing w:line="600" w:lineRule="exact"/>
        <w:jc w:val="center"/>
        <w:textAlignment w:val="auto"/>
      </w:pPr>
    </w:p>
    <w:p>
      <w:pPr>
        <w:keepNext w:val="0"/>
        <w:keepLines w:val="0"/>
        <w:pageBreakBefore w:val="0"/>
        <w:widowControl w:val="0"/>
        <w:kinsoku/>
        <w:wordWrap/>
        <w:overflowPunct/>
        <w:topLinePunct w:val="0"/>
        <w:bidi w:val="0"/>
        <w:adjustRightInd/>
        <w:spacing w:line="600" w:lineRule="exact"/>
        <w:jc w:val="center"/>
        <w:textAlignment w:val="auto"/>
      </w:pPr>
    </w:p>
    <w:p>
      <w:pPr>
        <w:keepNext w:val="0"/>
        <w:keepLines w:val="0"/>
        <w:pageBreakBefore w:val="0"/>
        <w:widowControl w:val="0"/>
        <w:kinsoku/>
        <w:wordWrap/>
        <w:overflowPunct/>
        <w:topLinePunct w:val="0"/>
        <w:bidi w:val="0"/>
        <w:adjustRightInd/>
        <w:spacing w:line="600" w:lineRule="exact"/>
        <w:jc w:val="center"/>
        <w:textAlignment w:val="auto"/>
      </w:pPr>
    </w:p>
    <w:p>
      <w:pPr>
        <w:keepNext w:val="0"/>
        <w:keepLines w:val="0"/>
        <w:pageBreakBefore w:val="0"/>
        <w:widowControl w:val="0"/>
        <w:kinsoku/>
        <w:wordWrap/>
        <w:overflowPunct/>
        <w:topLinePunct w:val="0"/>
        <w:bidi w:val="0"/>
        <w:adjustRightInd/>
        <w:spacing w:line="600" w:lineRule="exact"/>
        <w:jc w:val="center"/>
        <w:textAlignment w:val="auto"/>
      </w:pPr>
    </w:p>
    <w:p>
      <w:pPr>
        <w:keepNext w:val="0"/>
        <w:keepLines w:val="0"/>
        <w:pageBreakBefore w:val="0"/>
        <w:widowControl w:val="0"/>
        <w:kinsoku/>
        <w:wordWrap/>
        <w:overflowPunct/>
        <w:topLinePunct w:val="0"/>
        <w:bidi w:val="0"/>
        <w:adjustRightInd/>
        <w:spacing w:line="600" w:lineRule="exact"/>
        <w:jc w:val="center"/>
        <w:textAlignment w:val="auto"/>
      </w:pPr>
    </w:p>
    <w:p>
      <w:pPr>
        <w:keepNext w:val="0"/>
        <w:keepLines w:val="0"/>
        <w:pageBreakBefore w:val="0"/>
        <w:widowControl w:val="0"/>
        <w:kinsoku/>
        <w:wordWrap/>
        <w:overflowPunct/>
        <w:topLinePunct w:val="0"/>
        <w:bidi w:val="0"/>
        <w:adjustRightInd/>
        <w:spacing w:line="600" w:lineRule="exact"/>
        <w:jc w:val="center"/>
        <w:textAlignment w:val="auto"/>
      </w:pPr>
    </w:p>
    <w:p>
      <w:pPr>
        <w:keepNext w:val="0"/>
        <w:keepLines w:val="0"/>
        <w:pageBreakBefore w:val="0"/>
        <w:widowControl w:val="0"/>
        <w:kinsoku/>
        <w:wordWrap/>
        <w:overflowPunct/>
        <w:topLinePunct w:val="0"/>
        <w:bidi w:val="0"/>
        <w:adjustRightInd/>
        <w:spacing w:line="600" w:lineRule="exact"/>
        <w:jc w:val="center"/>
        <w:textAlignment w:val="auto"/>
      </w:pPr>
    </w:p>
    <w:p>
      <w:pPr>
        <w:keepNext w:val="0"/>
        <w:keepLines w:val="0"/>
        <w:pageBreakBefore w:val="0"/>
        <w:widowControl w:val="0"/>
        <w:kinsoku/>
        <w:wordWrap/>
        <w:overflowPunct/>
        <w:topLinePunct w:val="0"/>
        <w:bidi w:val="0"/>
        <w:adjustRightInd/>
        <w:spacing w:line="600" w:lineRule="exact"/>
        <w:jc w:val="center"/>
        <w:textAlignment w:val="auto"/>
      </w:pPr>
    </w:p>
    <w:p>
      <w:pPr>
        <w:keepNext w:val="0"/>
        <w:keepLines w:val="0"/>
        <w:pageBreakBefore w:val="0"/>
        <w:widowControl w:val="0"/>
        <w:kinsoku/>
        <w:wordWrap/>
        <w:overflowPunct/>
        <w:topLinePunct w:val="0"/>
        <w:bidi w:val="0"/>
        <w:adjustRightInd/>
        <w:spacing w:line="600" w:lineRule="exact"/>
        <w:jc w:val="center"/>
        <w:textAlignment w:val="auto"/>
      </w:pPr>
    </w:p>
    <w:p>
      <w:pPr>
        <w:keepNext w:val="0"/>
        <w:keepLines w:val="0"/>
        <w:pageBreakBefore w:val="0"/>
        <w:widowControl w:val="0"/>
        <w:kinsoku/>
        <w:wordWrap/>
        <w:overflowPunct/>
        <w:topLinePunct w:val="0"/>
        <w:bidi w:val="0"/>
        <w:adjustRightInd/>
        <w:spacing w:line="600" w:lineRule="exact"/>
        <w:jc w:val="center"/>
        <w:textAlignment w:val="auto"/>
      </w:pPr>
    </w:p>
    <w:p>
      <w:pPr>
        <w:keepNext w:val="0"/>
        <w:keepLines w:val="0"/>
        <w:pageBreakBefore w:val="0"/>
        <w:widowControl w:val="0"/>
        <w:kinsoku/>
        <w:wordWrap/>
        <w:overflowPunct/>
        <w:topLinePunct w:val="0"/>
        <w:bidi w:val="0"/>
        <w:adjustRightInd/>
        <w:spacing w:line="600" w:lineRule="exact"/>
        <w:jc w:val="both"/>
        <w:textAlignment w:val="auto"/>
      </w:pPr>
    </w:p>
    <w:p>
      <w:pPr>
        <w:pStyle w:val="2"/>
      </w:pPr>
      <w:bookmarkStart w:id="212" w:name="_GoBack"/>
      <w:bookmarkEnd w:id="212"/>
    </w:p>
    <w:tbl>
      <w:tblPr>
        <w:tblStyle w:val="14"/>
        <w:tblW w:w="8999" w:type="dxa"/>
        <w:tblInd w:w="0" w:type="dxa"/>
        <w:tblLayout w:type="autofit"/>
        <w:tblCellMar>
          <w:top w:w="0" w:type="dxa"/>
          <w:left w:w="0" w:type="dxa"/>
          <w:bottom w:w="0" w:type="dxa"/>
          <w:right w:w="0" w:type="dxa"/>
        </w:tblCellMar>
      </w:tblPr>
      <w:tblGrid>
        <w:gridCol w:w="633"/>
        <w:gridCol w:w="1245"/>
        <w:gridCol w:w="1170"/>
        <w:gridCol w:w="527"/>
        <w:gridCol w:w="1573"/>
        <w:gridCol w:w="1995"/>
        <w:gridCol w:w="1856"/>
      </w:tblGrid>
      <w:tr>
        <w:tblPrEx>
          <w:tblCellMar>
            <w:top w:w="0" w:type="dxa"/>
            <w:left w:w="0" w:type="dxa"/>
            <w:bottom w:w="0" w:type="dxa"/>
            <w:right w:w="0" w:type="dxa"/>
          </w:tblCellMar>
        </w:tblPrEx>
        <w:trPr>
          <w:trHeight w:val="90" w:hRule="atLeast"/>
        </w:trPr>
        <w:tc>
          <w:tcPr>
            <w:tcW w:w="18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项目名称</w:t>
            </w:r>
          </w:p>
        </w:tc>
        <w:tc>
          <w:tcPr>
            <w:tcW w:w="712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聘用制书记员、警辅人员经费</w:t>
            </w:r>
          </w:p>
        </w:tc>
      </w:tr>
      <w:tr>
        <w:tblPrEx>
          <w:tblCellMar>
            <w:top w:w="0" w:type="dxa"/>
            <w:left w:w="0" w:type="dxa"/>
            <w:bottom w:w="0" w:type="dxa"/>
            <w:right w:w="0" w:type="dxa"/>
          </w:tblCellMar>
        </w:tblPrEx>
        <w:trPr>
          <w:trHeight w:val="90" w:hRule="atLeast"/>
        </w:trPr>
        <w:tc>
          <w:tcPr>
            <w:tcW w:w="18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主管部门及代码</w:t>
            </w:r>
          </w:p>
        </w:tc>
        <w:tc>
          <w:tcPr>
            <w:tcW w:w="32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四川省高级人民法院</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实施单位</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成都铁路运输</w:t>
            </w:r>
          </w:p>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中级法院机关</w:t>
            </w:r>
          </w:p>
        </w:tc>
      </w:tr>
      <w:tr>
        <w:tblPrEx>
          <w:tblCellMar>
            <w:top w:w="0" w:type="dxa"/>
            <w:left w:w="0" w:type="dxa"/>
            <w:bottom w:w="0" w:type="dxa"/>
            <w:right w:w="0" w:type="dxa"/>
          </w:tblCellMar>
        </w:tblPrEx>
        <w:trPr>
          <w:trHeight w:val="90" w:hRule="atLeast"/>
        </w:trPr>
        <w:tc>
          <w:tcPr>
            <w:tcW w:w="187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项目预算</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执行情况</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（万元）</w:t>
            </w:r>
          </w:p>
        </w:tc>
        <w:tc>
          <w:tcPr>
            <w:tcW w:w="16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预算数：</w:t>
            </w:r>
          </w:p>
        </w:tc>
        <w:tc>
          <w:tcPr>
            <w:tcW w:w="1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264.93</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执行数：</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227.95</w:t>
            </w:r>
          </w:p>
        </w:tc>
      </w:tr>
      <w:tr>
        <w:tblPrEx>
          <w:tblCellMar>
            <w:top w:w="0" w:type="dxa"/>
            <w:left w:w="0" w:type="dxa"/>
            <w:bottom w:w="0" w:type="dxa"/>
            <w:right w:w="0" w:type="dxa"/>
          </w:tblCellMar>
        </w:tblPrEx>
        <w:trPr>
          <w:trHeight w:val="90" w:hRule="atLeast"/>
        </w:trPr>
        <w:tc>
          <w:tcPr>
            <w:tcW w:w="187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6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264.93</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其中：财政拨款</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227.95</w:t>
            </w:r>
          </w:p>
        </w:tc>
      </w:tr>
      <w:tr>
        <w:tblPrEx>
          <w:tblCellMar>
            <w:top w:w="0" w:type="dxa"/>
            <w:left w:w="0" w:type="dxa"/>
            <w:bottom w:w="0" w:type="dxa"/>
            <w:right w:w="0" w:type="dxa"/>
          </w:tblCellMar>
        </w:tblPrEx>
        <w:trPr>
          <w:trHeight w:val="90" w:hRule="atLeast"/>
        </w:trPr>
        <w:tc>
          <w:tcPr>
            <w:tcW w:w="187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6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其他资金</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0.0</w:t>
            </w:r>
          </w:p>
        </w:tc>
      </w:tr>
      <w:tr>
        <w:tblPrEx>
          <w:tblCellMar>
            <w:top w:w="0" w:type="dxa"/>
            <w:left w:w="0" w:type="dxa"/>
            <w:bottom w:w="0" w:type="dxa"/>
            <w:right w:w="0" w:type="dxa"/>
          </w:tblCellMar>
        </w:tblPrEx>
        <w:trPr>
          <w:trHeight w:val="90" w:hRule="atLeast"/>
        </w:trPr>
        <w:tc>
          <w:tcPr>
            <w:tcW w:w="6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度</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总</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体</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目</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标</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完</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成</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情</w:t>
            </w:r>
            <w:r>
              <w:rPr>
                <w:rFonts w:hint="eastAsia" w:ascii="宋体" w:hAnsi="宋体" w:eastAsia="宋体" w:cs="宋体"/>
                <w:spacing w:val="6"/>
                <w:sz w:val="24"/>
                <w:szCs w:val="24"/>
                <w:lang w:val="en-US" w:eastAsia="zh-CN"/>
              </w:rPr>
              <w:br w:type="textWrapping"/>
            </w:r>
            <w:r>
              <w:rPr>
                <w:rFonts w:hint="eastAsia" w:ascii="宋体" w:hAnsi="宋体" w:eastAsia="宋体" w:cs="宋体"/>
                <w:spacing w:val="6"/>
                <w:sz w:val="24"/>
                <w:szCs w:val="24"/>
                <w:lang w:val="en-US" w:eastAsia="zh-CN"/>
              </w:rPr>
              <w:t>况</w:t>
            </w:r>
          </w:p>
        </w:tc>
        <w:tc>
          <w:tcPr>
            <w:tcW w:w="45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预期目标</w:t>
            </w:r>
          </w:p>
        </w:tc>
        <w:tc>
          <w:tcPr>
            <w:tcW w:w="38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目标实际完成情况</w:t>
            </w:r>
          </w:p>
        </w:tc>
      </w:tr>
      <w:tr>
        <w:tblPrEx>
          <w:tblCellMar>
            <w:top w:w="0" w:type="dxa"/>
            <w:left w:w="0" w:type="dxa"/>
            <w:bottom w:w="0" w:type="dxa"/>
            <w:right w:w="0" w:type="dxa"/>
          </w:tblCellMar>
        </w:tblPrEx>
        <w:trPr>
          <w:trHeight w:val="90" w:hRule="atLeast"/>
        </w:trPr>
        <w:tc>
          <w:tcPr>
            <w:tcW w:w="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45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根据最高法院部署，保障司法审判正常运转，对员额法官按1：1：1的比例配备法官助理和聘用制书记员。保障我院31名聘用书记员的工资薪酬、社保缴费等五险一金，零星公用、换装和新增11名书记员的基本办公业务设备。</w:t>
            </w:r>
          </w:p>
        </w:tc>
        <w:tc>
          <w:tcPr>
            <w:tcW w:w="38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根据最高法院部署，已经保障了我院31名聘用书记员的工资薪酬、社保缴费等五险一金，零星公用、换装和新增11名书记员的基本办公业务设备。</w:t>
            </w:r>
          </w:p>
        </w:tc>
      </w:tr>
      <w:tr>
        <w:tblPrEx>
          <w:tblCellMar>
            <w:top w:w="0" w:type="dxa"/>
            <w:left w:w="0" w:type="dxa"/>
            <w:bottom w:w="0" w:type="dxa"/>
            <w:right w:w="0" w:type="dxa"/>
          </w:tblCellMar>
        </w:tblPrEx>
        <w:trPr>
          <w:trHeight w:val="90" w:hRule="atLeast"/>
        </w:trPr>
        <w:tc>
          <w:tcPr>
            <w:tcW w:w="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年度绩效指标完成情况</w:t>
            </w:r>
          </w:p>
        </w:tc>
        <w:tc>
          <w:tcPr>
            <w:tcW w:w="124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一级指标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二级指标</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三级指标</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预期指标值</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实际完成指标值</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完</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成</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数量指标</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年度聘用制书记员保障人数</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31名</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31</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质量指标</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聘用制书记员辅助办案</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1200件</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1203</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时效指标</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及时办案，聘用制书记员保障期限</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1年</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成本指标</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人均成本</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8.24万元/人/年</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7.35万元/人/年</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工资薪酬成本</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5.05万元/人/年</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4.65万元/人/年</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社保、医保成本</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2.07万元/人/年</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1.91万元/人/年</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零星日常公用成本</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0.85万元/人/年</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0.22万元/人/年</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新增书记员办公设备</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0.75万元/人/年</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0.72万元/人/年</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2018年服装换装成本</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0.31万元/人/年</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0.31万元/人/年</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效</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益</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经济效益指标</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对法院办案工作的促进作用</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辅助员额法官及时完成司法审判任务，节约司法成本</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辅助员额法官及时完成司法审</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社会效益指标</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为社会稳定服务</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辅助员额法官及时完成司法审判任务，维护社会稳定</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辅助员额法官及时完成司法审</w:t>
            </w:r>
          </w:p>
        </w:tc>
      </w:tr>
      <w:tr>
        <w:tblPrEx>
          <w:tblCellMar>
            <w:top w:w="0" w:type="dxa"/>
            <w:left w:w="0" w:type="dxa"/>
            <w:bottom w:w="0" w:type="dxa"/>
            <w:right w:w="0" w:type="dxa"/>
          </w:tblCellMar>
        </w:tblPrEx>
        <w:trPr>
          <w:trHeight w:val="90" w:hRule="atLeast"/>
        </w:trPr>
        <w:tc>
          <w:tcPr>
            <w:tcW w:w="63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sz w:val="24"/>
                <w:szCs w:val="24"/>
                <w:lang w:val="en-US" w:eastAsia="zh-CN"/>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意</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度</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指</w:t>
            </w:r>
            <w:r>
              <w:rPr>
                <w:rFonts w:hint="default" w:ascii="宋体" w:hAnsi="宋体" w:eastAsia="宋体" w:cs="宋体"/>
                <w:spacing w:val="6"/>
                <w:sz w:val="24"/>
                <w:szCs w:val="24"/>
                <w:lang w:val="en-US" w:eastAsia="zh-CN"/>
              </w:rPr>
              <w:br w:type="textWrapping"/>
            </w:r>
            <w:r>
              <w:rPr>
                <w:rFonts w:hint="default" w:ascii="宋体" w:hAnsi="宋体" w:eastAsia="宋体" w:cs="宋体"/>
                <w:spacing w:val="6"/>
                <w:sz w:val="24"/>
                <w:szCs w:val="24"/>
                <w:lang w:val="en-US" w:eastAsia="zh-CN"/>
              </w:rPr>
              <w:t>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满意度</w:t>
            </w:r>
          </w:p>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指标</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使用部门满意度</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≥95%</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pageBreakBefore w:val="0"/>
              <w:widowControl w:val="0"/>
              <w:kinsoku/>
              <w:wordWrap/>
              <w:overflowPunct/>
              <w:topLinePunct w:val="0"/>
              <w:bidi w:val="0"/>
              <w:adjustRightInd/>
              <w:spacing w:line="600" w:lineRule="exact"/>
              <w:jc w:val="center"/>
              <w:textAlignment w:val="auto"/>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≥95%</w:t>
            </w:r>
          </w:p>
        </w:tc>
      </w:tr>
    </w:tbl>
    <w:tbl>
      <w:tblPr>
        <w:tblStyle w:val="14"/>
        <w:tblpPr w:leftFromText="180" w:rightFromText="180" w:vertAnchor="text" w:horzAnchor="page" w:tblpX="1789" w:tblpY="33"/>
        <w:tblOverlap w:val="never"/>
        <w:tblW w:w="8779" w:type="dxa"/>
        <w:tblInd w:w="0" w:type="dxa"/>
        <w:shd w:val="clear" w:color="auto" w:fill="auto"/>
        <w:tblLayout w:type="autofit"/>
        <w:tblCellMar>
          <w:top w:w="0" w:type="dxa"/>
          <w:left w:w="0" w:type="dxa"/>
          <w:bottom w:w="0" w:type="dxa"/>
          <w:right w:w="0" w:type="dxa"/>
        </w:tblCellMar>
      </w:tblPr>
      <w:tblGrid>
        <w:gridCol w:w="724"/>
        <w:gridCol w:w="832"/>
        <w:gridCol w:w="957"/>
        <w:gridCol w:w="976"/>
        <w:gridCol w:w="1517"/>
        <w:gridCol w:w="1884"/>
        <w:gridCol w:w="1889"/>
      </w:tblGrid>
      <w:tr>
        <w:tblPrEx>
          <w:shd w:val="clear" w:color="auto" w:fill="auto"/>
          <w:tblCellMar>
            <w:top w:w="0" w:type="dxa"/>
            <w:left w:w="0" w:type="dxa"/>
            <w:bottom w:w="0" w:type="dxa"/>
            <w:right w:w="0" w:type="dxa"/>
          </w:tblCellMar>
        </w:tblPrEx>
        <w:trPr>
          <w:trHeight w:val="624" w:hRule="atLeast"/>
        </w:trPr>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2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政法统一着装经费</w:t>
            </w:r>
          </w:p>
        </w:tc>
      </w:tr>
      <w:tr>
        <w:tblPrEx>
          <w:shd w:val="clear" w:color="auto" w:fill="auto"/>
          <w:tblCellMar>
            <w:top w:w="0" w:type="dxa"/>
            <w:left w:w="0" w:type="dxa"/>
            <w:bottom w:w="0" w:type="dxa"/>
            <w:right w:w="0" w:type="dxa"/>
          </w:tblCellMar>
        </w:tblPrEx>
        <w:trPr>
          <w:trHeight w:val="1222" w:hRule="atLeast"/>
        </w:trPr>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624" w:hRule="atLeast"/>
        </w:trPr>
        <w:tc>
          <w:tcPr>
            <w:tcW w:w="15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 预算数：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263.05</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 执行数：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left"/>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249.62</w:t>
            </w:r>
          </w:p>
        </w:tc>
      </w:tr>
      <w:tr>
        <w:tblPrEx>
          <w:tblCellMar>
            <w:top w:w="0" w:type="dxa"/>
            <w:left w:w="0" w:type="dxa"/>
            <w:bottom w:w="0" w:type="dxa"/>
            <w:right w:w="0" w:type="dxa"/>
          </w:tblCellMar>
        </w:tblPrEx>
        <w:trPr>
          <w:trHeight w:val="648" w:hRule="atLeast"/>
        </w:trPr>
        <w:tc>
          <w:tcPr>
            <w:tcW w:w="15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263.05</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249.62</w:t>
            </w:r>
          </w:p>
        </w:tc>
      </w:tr>
      <w:tr>
        <w:tblPrEx>
          <w:shd w:val="clear" w:color="auto" w:fill="auto"/>
          <w:tblCellMar>
            <w:top w:w="0" w:type="dxa"/>
            <w:left w:w="0" w:type="dxa"/>
            <w:bottom w:w="0" w:type="dxa"/>
            <w:right w:w="0" w:type="dxa"/>
          </w:tblCellMar>
        </w:tblPrEx>
        <w:trPr>
          <w:trHeight w:val="648" w:hRule="atLeast"/>
        </w:trPr>
        <w:tc>
          <w:tcPr>
            <w:tcW w:w="15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其他资金</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w:t>
            </w:r>
            <w:r>
              <w:rPr>
                <w:rFonts w:hint="eastAsia" w:ascii="宋体" w:hAnsi="宋体" w:cs="宋体"/>
                <w:spacing w:val="6"/>
                <w:kern w:val="2"/>
                <w:sz w:val="24"/>
                <w:szCs w:val="24"/>
                <w:lang w:val="en-US" w:eastAsia="zh-CN" w:bidi="ar-SA"/>
              </w:rPr>
              <w:t>.0</w:t>
            </w:r>
          </w:p>
        </w:tc>
      </w:tr>
      <w:tr>
        <w:tblPrEx>
          <w:tblCellMar>
            <w:top w:w="0" w:type="dxa"/>
            <w:left w:w="0" w:type="dxa"/>
            <w:bottom w:w="0" w:type="dxa"/>
            <w:right w:w="0" w:type="dxa"/>
          </w:tblCellMar>
        </w:tblPrEx>
        <w:trPr>
          <w:trHeight w:val="624"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538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2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按照最高人民法院关于制服换发年限的规定，2021年是全省法院系统四年一次的大换装年份。</w:t>
            </w:r>
          </w:p>
        </w:tc>
        <w:tc>
          <w:tcPr>
            <w:tcW w:w="3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按照最高人民法院关于制服换发年限的规定，完成2021年全省法院系统四年一次大换装。</w:t>
            </w:r>
          </w:p>
        </w:tc>
      </w:tr>
      <w:tr>
        <w:tblPrEx>
          <w:tblCellMar>
            <w:top w:w="0" w:type="dxa"/>
            <w:left w:w="0" w:type="dxa"/>
            <w:bottom w:w="0" w:type="dxa"/>
            <w:right w:w="0" w:type="dxa"/>
          </w:tblCellMar>
        </w:tblPrEx>
        <w:trPr>
          <w:trHeight w:val="1222"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41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32"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审判制服</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788人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788人</w:t>
            </w:r>
          </w:p>
        </w:tc>
      </w:tr>
      <w:tr>
        <w:tblPrEx>
          <w:shd w:val="clear" w:color="auto" w:fill="auto"/>
          <w:tblCellMar>
            <w:top w:w="0" w:type="dxa"/>
            <w:left w:w="0" w:type="dxa"/>
            <w:bottom w:w="0" w:type="dxa"/>
            <w:right w:w="0" w:type="dxa"/>
          </w:tblCellMar>
        </w:tblPrEx>
        <w:trPr>
          <w:trHeight w:val="41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32"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法警制服</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40人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40人</w:t>
            </w:r>
          </w:p>
        </w:tc>
      </w:tr>
      <w:tr>
        <w:tblPrEx>
          <w:shd w:val="clear" w:color="auto" w:fill="auto"/>
          <w:tblCellMar>
            <w:top w:w="0" w:type="dxa"/>
            <w:left w:w="0" w:type="dxa"/>
            <w:bottom w:w="0" w:type="dxa"/>
            <w:right w:w="0" w:type="dxa"/>
          </w:tblCellMar>
        </w:tblPrEx>
        <w:trPr>
          <w:trHeight w:val="41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32"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法袍</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20人</w:t>
            </w:r>
          </w:p>
        </w:tc>
      </w:tr>
      <w:tr>
        <w:tblPrEx>
          <w:shd w:val="clear" w:color="auto" w:fill="auto"/>
          <w:tblCellMar>
            <w:top w:w="0" w:type="dxa"/>
            <w:left w:w="0" w:type="dxa"/>
            <w:bottom w:w="0" w:type="dxa"/>
            <w:right w:w="0" w:type="dxa"/>
          </w:tblCellMar>
        </w:tblPrEx>
        <w:trPr>
          <w:trHeight w:val="648"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32"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服装质量</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符合规定的行业质量标准</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符合规定的行业质量标准</w:t>
            </w:r>
          </w:p>
        </w:tc>
      </w:tr>
      <w:tr>
        <w:tblPrEx>
          <w:shd w:val="clear" w:color="auto" w:fill="auto"/>
          <w:tblCellMar>
            <w:top w:w="0" w:type="dxa"/>
            <w:left w:w="0" w:type="dxa"/>
            <w:bottom w:w="0" w:type="dxa"/>
            <w:right w:w="0" w:type="dxa"/>
          </w:tblCellMar>
        </w:tblPrEx>
        <w:trPr>
          <w:trHeight w:val="648"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32"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完成时间</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r>
      <w:tr>
        <w:tblPrEx>
          <w:shd w:val="clear" w:color="auto" w:fill="auto"/>
          <w:tblCellMar>
            <w:top w:w="0" w:type="dxa"/>
            <w:left w:w="0" w:type="dxa"/>
            <w:bottom w:w="0" w:type="dxa"/>
            <w:right w:w="0" w:type="dxa"/>
          </w:tblCellMar>
        </w:tblPrEx>
        <w:trPr>
          <w:trHeight w:val="41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32"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成本指标</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审判制服</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3014元/人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2447.59元/人</w:t>
            </w:r>
          </w:p>
        </w:tc>
      </w:tr>
      <w:tr>
        <w:tblPrEx>
          <w:shd w:val="clear" w:color="auto" w:fill="auto"/>
          <w:tblCellMar>
            <w:top w:w="0" w:type="dxa"/>
            <w:left w:w="0" w:type="dxa"/>
            <w:bottom w:w="0" w:type="dxa"/>
            <w:right w:w="0" w:type="dxa"/>
          </w:tblCellMar>
        </w:tblPrEx>
        <w:trPr>
          <w:trHeight w:val="41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32"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法警制服</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6209.7元/人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6008.68元/人</w:t>
            </w:r>
          </w:p>
        </w:tc>
      </w:tr>
      <w:tr>
        <w:tblPrEx>
          <w:shd w:val="clear" w:color="auto" w:fill="auto"/>
          <w:tblCellMar>
            <w:top w:w="0" w:type="dxa"/>
            <w:left w:w="0" w:type="dxa"/>
            <w:bottom w:w="0" w:type="dxa"/>
            <w:right w:w="0" w:type="dxa"/>
          </w:tblCellMar>
        </w:tblPrEx>
        <w:trPr>
          <w:trHeight w:val="41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32"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法袍</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350元/件</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270元/件</w:t>
            </w:r>
          </w:p>
        </w:tc>
      </w:tr>
      <w:tr>
        <w:tblPrEx>
          <w:shd w:val="clear" w:color="auto" w:fill="auto"/>
          <w:tblCellMar>
            <w:top w:w="0" w:type="dxa"/>
            <w:left w:w="0" w:type="dxa"/>
            <w:bottom w:w="0" w:type="dxa"/>
            <w:right w:w="0" w:type="dxa"/>
          </w:tblCellMar>
        </w:tblPrEx>
        <w:trPr>
          <w:trHeight w:val="1581"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32"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提高政法干警的统一性、规范性和纪律性，提升政法形象和司法公信</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提高政法干警的统一性、规范性和纪律性，提升政法形象和司法公信</w:t>
            </w:r>
          </w:p>
        </w:tc>
      </w:tr>
      <w:tr>
        <w:tblPrEx>
          <w:shd w:val="clear" w:color="auto" w:fill="auto"/>
          <w:tblCellMar>
            <w:top w:w="0" w:type="dxa"/>
            <w:left w:w="0" w:type="dxa"/>
            <w:bottom w:w="0" w:type="dxa"/>
            <w:right w:w="0" w:type="dxa"/>
          </w:tblCellMar>
        </w:tblPrEx>
        <w:trPr>
          <w:trHeight w:val="959"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32"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大换装持续影响</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4年</w:t>
            </w:r>
          </w:p>
        </w:tc>
      </w:tr>
      <w:tr>
        <w:tblPrEx>
          <w:shd w:val="clear" w:color="auto" w:fill="auto"/>
          <w:tblCellMar>
            <w:top w:w="0" w:type="dxa"/>
            <w:left w:w="0" w:type="dxa"/>
            <w:bottom w:w="0" w:type="dxa"/>
            <w:right w:w="0" w:type="dxa"/>
          </w:tblCellMar>
        </w:tblPrEx>
        <w:trPr>
          <w:trHeight w:val="1591"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使用干警满意度</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r>
    </w:tbl>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tbl>
      <w:tblPr>
        <w:tblStyle w:val="14"/>
        <w:tblpPr w:leftFromText="180" w:rightFromText="180" w:vertAnchor="text" w:horzAnchor="page" w:tblpX="1759" w:tblpY="-15"/>
        <w:tblOverlap w:val="never"/>
        <w:tblW w:w="8719" w:type="dxa"/>
        <w:tblInd w:w="0" w:type="dxa"/>
        <w:shd w:val="clear" w:color="auto" w:fill="auto"/>
        <w:tblLayout w:type="autofit"/>
        <w:tblCellMar>
          <w:top w:w="0" w:type="dxa"/>
          <w:left w:w="0" w:type="dxa"/>
          <w:bottom w:w="0" w:type="dxa"/>
          <w:right w:w="0" w:type="dxa"/>
        </w:tblCellMar>
      </w:tblPr>
      <w:tblGrid>
        <w:gridCol w:w="720"/>
        <w:gridCol w:w="826"/>
        <w:gridCol w:w="950"/>
        <w:gridCol w:w="970"/>
        <w:gridCol w:w="1508"/>
        <w:gridCol w:w="1872"/>
        <w:gridCol w:w="1873"/>
      </w:tblGrid>
      <w:tr>
        <w:tblPrEx>
          <w:shd w:val="clear" w:color="auto" w:fill="auto"/>
          <w:tblCellMar>
            <w:top w:w="0" w:type="dxa"/>
            <w:left w:w="0" w:type="dxa"/>
            <w:bottom w:w="0" w:type="dxa"/>
            <w:right w:w="0" w:type="dxa"/>
          </w:tblCellMar>
        </w:tblPrEx>
        <w:trPr>
          <w:trHeight w:val="462"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四川法院智慧警务建设</w:t>
            </w:r>
          </w:p>
        </w:tc>
      </w:tr>
      <w:tr>
        <w:tblPrEx>
          <w:shd w:val="clear" w:color="auto" w:fill="auto"/>
          <w:tblCellMar>
            <w:top w:w="0" w:type="dxa"/>
            <w:left w:w="0" w:type="dxa"/>
            <w:bottom w:w="0" w:type="dxa"/>
            <w:right w:w="0" w:type="dxa"/>
          </w:tblCellMar>
        </w:tblPrEx>
        <w:trPr>
          <w:trHeight w:val="614"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462"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 预算数：</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197.0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 执行数：</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197.0 </w:t>
            </w:r>
          </w:p>
        </w:tc>
      </w:tr>
      <w:tr>
        <w:tblPrEx>
          <w:shd w:val="clear" w:color="auto" w:fill="auto"/>
          <w:tblCellMar>
            <w:top w:w="0" w:type="dxa"/>
            <w:left w:w="0" w:type="dxa"/>
            <w:bottom w:w="0" w:type="dxa"/>
            <w:right w:w="0" w:type="dxa"/>
          </w:tblCellMar>
        </w:tblPrEx>
        <w:trPr>
          <w:trHeight w:val="614"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r>
      <w:tr>
        <w:tblPrEx>
          <w:shd w:val="clear" w:color="auto" w:fill="auto"/>
          <w:tblCellMar>
            <w:top w:w="0" w:type="dxa"/>
            <w:left w:w="0" w:type="dxa"/>
            <w:bottom w:w="0" w:type="dxa"/>
            <w:right w:w="0" w:type="dxa"/>
          </w:tblCellMar>
        </w:tblPrEx>
        <w:trPr>
          <w:trHeight w:val="614"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197.0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197.0</w:t>
            </w:r>
          </w:p>
        </w:tc>
      </w:tr>
      <w:tr>
        <w:tblPrEx>
          <w:shd w:val="clear" w:color="auto" w:fill="auto"/>
          <w:tblCellMar>
            <w:top w:w="0" w:type="dxa"/>
            <w:left w:w="0" w:type="dxa"/>
            <w:bottom w:w="0" w:type="dxa"/>
            <w:right w:w="0" w:type="dxa"/>
          </w:tblCellMar>
        </w:tblPrEx>
        <w:trPr>
          <w:trHeight w:val="462"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267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贯彻落实最高人民法院《关于加快推进人民法院司法警务信息化智能化建设的意见》法【2020】106号文件精神。一是研发智慧警务统一平台。二是提高司法警察教育培训与装备管理智能化水平。三是提高司法警务工作智能化保障水平。四是提高司法警务工作数据资源管理水平。五是提高司法警务联防联动智能化水平。</w:t>
            </w:r>
          </w:p>
        </w:tc>
        <w:tc>
          <w:tcPr>
            <w:tcW w:w="3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项目于2021年11月开始实施，目前已完成需求调研、系统设计工作。软件开发中；硬件部分已完成红外周界设备到货、安装工作；打印机、终端等已到货。</w:t>
            </w:r>
          </w:p>
        </w:tc>
      </w:tr>
      <w:tr>
        <w:tblPrEx>
          <w:shd w:val="clear" w:color="auto" w:fill="auto"/>
          <w:tblCellMar>
            <w:top w:w="0" w:type="dxa"/>
            <w:left w:w="0" w:type="dxa"/>
            <w:bottom w:w="0" w:type="dxa"/>
            <w:right w:w="0" w:type="dxa"/>
          </w:tblCellMar>
        </w:tblPrEx>
        <w:trPr>
          <w:trHeight w:val="614"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614"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智慧警务指挥管理平台</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1套</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614"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完成红外对射周界系统</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约1020米</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已安装</w:t>
            </w:r>
          </w:p>
        </w:tc>
      </w:tr>
      <w:tr>
        <w:tblPrEx>
          <w:shd w:val="clear" w:color="auto" w:fill="auto"/>
          <w:tblCellMar>
            <w:top w:w="0" w:type="dxa"/>
            <w:left w:w="0" w:type="dxa"/>
            <w:bottom w:w="0" w:type="dxa"/>
            <w:right w:w="0" w:type="dxa"/>
          </w:tblCellMar>
        </w:tblPrEx>
        <w:trPr>
          <w:trHeight w:val="614"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内网音视频监控管理系统</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1套</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614"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全省法警信息数据完整率</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≥98%</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614"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全省音视频、监控资源接入率</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≥96%</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614"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完成时间</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149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落实最高院文件精神，强化人民法院警务智能化水平和安全防控能力。</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90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持续影响</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153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各业务管理部门满意度</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bl>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p>
      <w:pPr>
        <w:pStyle w:val="2"/>
        <w:rPr>
          <w:rFonts w:hint="eastAsia" w:eastAsia="仿宋"/>
          <w:color w:val="auto"/>
          <w:highlight w:val="none"/>
          <w:lang w:eastAsia="zh-CN"/>
        </w:rPr>
      </w:pPr>
    </w:p>
    <w:tbl>
      <w:tblPr>
        <w:tblStyle w:val="14"/>
        <w:tblW w:w="8739" w:type="dxa"/>
        <w:tblInd w:w="0" w:type="dxa"/>
        <w:shd w:val="clear" w:color="auto" w:fill="auto"/>
        <w:tblLayout w:type="autofit"/>
        <w:tblCellMar>
          <w:top w:w="0" w:type="dxa"/>
          <w:left w:w="0" w:type="dxa"/>
          <w:bottom w:w="0" w:type="dxa"/>
          <w:right w:w="0" w:type="dxa"/>
        </w:tblCellMar>
      </w:tblPr>
      <w:tblGrid>
        <w:gridCol w:w="721"/>
        <w:gridCol w:w="828"/>
        <w:gridCol w:w="952"/>
        <w:gridCol w:w="973"/>
        <w:gridCol w:w="1511"/>
        <w:gridCol w:w="1877"/>
        <w:gridCol w:w="1877"/>
      </w:tblGrid>
      <w:tr>
        <w:tblPrEx>
          <w:shd w:val="clear" w:color="auto" w:fill="auto"/>
          <w:tblCellMar>
            <w:top w:w="0" w:type="dxa"/>
            <w:left w:w="0" w:type="dxa"/>
            <w:bottom w:w="0" w:type="dxa"/>
            <w:right w:w="0" w:type="dxa"/>
          </w:tblCellMar>
        </w:tblPrEx>
        <w:trPr>
          <w:trHeight w:val="393"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“审务通”移动办公平台经费</w:t>
            </w:r>
          </w:p>
        </w:tc>
      </w:tr>
      <w:tr>
        <w:tblPrEx>
          <w:shd w:val="clear" w:color="auto" w:fill="auto"/>
          <w:tblCellMar>
            <w:top w:w="0" w:type="dxa"/>
            <w:left w:w="0" w:type="dxa"/>
            <w:bottom w:w="0" w:type="dxa"/>
            <w:right w:w="0" w:type="dxa"/>
          </w:tblCellMar>
        </w:tblPrEx>
        <w:trPr>
          <w:trHeight w:val="638"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393" w:hRule="atLeast"/>
        </w:trPr>
        <w:tc>
          <w:tcPr>
            <w:tcW w:w="1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196.8</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196.8</w:t>
            </w:r>
          </w:p>
        </w:tc>
      </w:tr>
      <w:tr>
        <w:tblPrEx>
          <w:shd w:val="clear" w:color="auto" w:fill="auto"/>
          <w:tblCellMar>
            <w:top w:w="0" w:type="dxa"/>
            <w:left w:w="0" w:type="dxa"/>
            <w:bottom w:w="0" w:type="dxa"/>
            <w:right w:w="0" w:type="dxa"/>
          </w:tblCellMar>
        </w:tblPrEx>
        <w:trPr>
          <w:trHeight w:val="638"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196.8</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196.8</w:t>
            </w:r>
          </w:p>
        </w:tc>
      </w:tr>
      <w:tr>
        <w:tblPrEx>
          <w:shd w:val="clear" w:color="auto" w:fill="auto"/>
          <w:tblCellMar>
            <w:top w:w="0" w:type="dxa"/>
            <w:left w:w="0" w:type="dxa"/>
            <w:bottom w:w="0" w:type="dxa"/>
            <w:right w:w="0" w:type="dxa"/>
          </w:tblCellMar>
        </w:tblPrEx>
        <w:trPr>
          <w:trHeight w:val="638"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其他资金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其他资金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r>
      <w:tr>
        <w:tblPrEx>
          <w:shd w:val="clear" w:color="auto" w:fill="auto"/>
          <w:tblCellMar>
            <w:top w:w="0" w:type="dxa"/>
            <w:left w:w="0" w:type="dxa"/>
            <w:bottom w:w="0" w:type="dxa"/>
            <w:right w:w="0" w:type="dxa"/>
          </w:tblCellMar>
        </w:tblPrEx>
        <w:trPr>
          <w:trHeight w:val="393"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3089"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为推动四川省高级人民法院的建设，推进“审务通”移动办公平台的使用进程，提升四川省高级人民法院的办公办案效率，完成年度“审务通”移动办公平台搭建，完成四川省高级人民法院正府街办公区、蜀汉路办公区1条100M移动办公专线的接入,交换路由和网络安全的服务配置。完成650套配套的移动办公通信服务含办公终端的配备。</w:t>
            </w:r>
          </w:p>
        </w:tc>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已完成四川省高级人民法院正府街办公区、蜀汉路办公区1条100M移动办公专线的接入,交换路由和网络安全的服务配置。完成650套配套的移动办公通信服务含办公终端的配备。</w:t>
            </w:r>
          </w:p>
        </w:tc>
      </w:tr>
      <w:tr>
        <w:tblPrEx>
          <w:shd w:val="clear" w:color="auto" w:fill="auto"/>
          <w:tblCellMar>
            <w:top w:w="0" w:type="dxa"/>
            <w:left w:w="0" w:type="dxa"/>
            <w:bottom w:w="0" w:type="dxa"/>
            <w:right w:w="0" w:type="dxa"/>
          </w:tblCellMar>
        </w:tblPrEx>
        <w:trPr>
          <w:trHeight w:val="638"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rPr>
          <w:trHeight w:val="638"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建设移动专网线路接入</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1条</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r>
              <w:rPr>
                <w:rFonts w:hint="eastAsia" w:ascii="宋体" w:hAnsi="宋体" w:eastAsia="宋体" w:cs="宋体"/>
                <w:spacing w:val="6"/>
                <w:kern w:val="2"/>
                <w:sz w:val="24"/>
                <w:szCs w:val="24"/>
                <w:lang w:val="en-US" w:eastAsia="zh-CN" w:bidi="ar-SA"/>
              </w:rPr>
              <w:t>条</w:t>
            </w:r>
          </w:p>
        </w:tc>
      </w:tr>
      <w:tr>
        <w:tblPrEx>
          <w:tblCellMar>
            <w:top w:w="0" w:type="dxa"/>
            <w:left w:w="0" w:type="dxa"/>
            <w:bottom w:w="0" w:type="dxa"/>
            <w:right w:w="0" w:type="dxa"/>
          </w:tblCellMar>
        </w:tblPrEx>
        <w:trPr>
          <w:trHeight w:val="638"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路由交换和网络安全配置</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1套</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r>
              <w:rPr>
                <w:rFonts w:hint="eastAsia" w:ascii="宋体" w:hAnsi="宋体" w:eastAsia="宋体" w:cs="宋体"/>
                <w:spacing w:val="6"/>
                <w:kern w:val="2"/>
                <w:sz w:val="24"/>
                <w:szCs w:val="24"/>
                <w:lang w:val="en-US" w:eastAsia="zh-CN" w:bidi="ar-SA"/>
              </w:rPr>
              <w:t>套</w:t>
            </w:r>
          </w:p>
        </w:tc>
      </w:tr>
      <w:tr>
        <w:tblPrEx>
          <w:shd w:val="clear" w:color="auto" w:fill="auto"/>
          <w:tblCellMar>
            <w:top w:w="0" w:type="dxa"/>
            <w:left w:w="0" w:type="dxa"/>
            <w:bottom w:w="0" w:type="dxa"/>
            <w:right w:w="0" w:type="dxa"/>
          </w:tblCellMar>
        </w:tblPrEx>
        <w:trPr>
          <w:trHeight w:val="638"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移动办公通信服务（通话时长、流量）</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650</w:t>
            </w:r>
            <w:r>
              <w:rPr>
                <w:rFonts w:hint="eastAsia" w:ascii="宋体" w:hAnsi="宋体" w:eastAsia="宋体" w:cs="宋体"/>
                <w:spacing w:val="6"/>
                <w:kern w:val="2"/>
                <w:sz w:val="24"/>
                <w:szCs w:val="24"/>
                <w:lang w:val="en-US" w:eastAsia="zh-CN" w:bidi="ar-SA"/>
              </w:rPr>
              <w:t>套</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650</w:t>
            </w:r>
            <w:r>
              <w:rPr>
                <w:rFonts w:hint="eastAsia" w:ascii="宋体" w:hAnsi="宋体" w:eastAsia="宋体" w:cs="宋体"/>
                <w:spacing w:val="6"/>
                <w:kern w:val="2"/>
                <w:sz w:val="24"/>
                <w:szCs w:val="24"/>
                <w:lang w:val="en-US" w:eastAsia="zh-CN" w:bidi="ar-SA"/>
              </w:rPr>
              <w:t>套</w:t>
            </w:r>
          </w:p>
        </w:tc>
      </w:tr>
      <w:tr>
        <w:tblPrEx>
          <w:shd w:val="clear" w:color="auto" w:fill="auto"/>
          <w:tblCellMar>
            <w:top w:w="0" w:type="dxa"/>
            <w:left w:w="0" w:type="dxa"/>
            <w:bottom w:w="0" w:type="dxa"/>
            <w:right w:w="0" w:type="dxa"/>
          </w:tblCellMar>
        </w:tblPrEx>
        <w:trPr>
          <w:trHeight w:val="42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移动办公终端运维</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650套</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650</w:t>
            </w:r>
            <w:r>
              <w:rPr>
                <w:rFonts w:hint="eastAsia" w:ascii="宋体" w:hAnsi="宋体" w:eastAsia="宋体" w:cs="宋体"/>
                <w:spacing w:val="6"/>
                <w:kern w:val="2"/>
                <w:sz w:val="24"/>
                <w:szCs w:val="24"/>
                <w:lang w:val="en-US" w:eastAsia="zh-CN" w:bidi="ar-SA"/>
              </w:rPr>
              <w:t>套</w:t>
            </w:r>
          </w:p>
        </w:tc>
      </w:tr>
      <w:tr>
        <w:tblPrEx>
          <w:tblCellMar>
            <w:top w:w="0" w:type="dxa"/>
            <w:left w:w="0" w:type="dxa"/>
            <w:bottom w:w="0" w:type="dxa"/>
            <w:right w:w="0" w:type="dxa"/>
          </w:tblCellMar>
        </w:tblPrEx>
        <w:trPr>
          <w:trHeight w:val="42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专线稳定率</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r>
      <w:tr>
        <w:tblPrEx>
          <w:tblCellMar>
            <w:top w:w="0" w:type="dxa"/>
            <w:left w:w="0" w:type="dxa"/>
            <w:bottom w:w="0" w:type="dxa"/>
            <w:right w:w="0" w:type="dxa"/>
          </w:tblCellMar>
        </w:tblPrEx>
        <w:trPr>
          <w:trHeight w:val="42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通信服务接通率</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r>
      <w:tr>
        <w:tblPrEx>
          <w:tblCellMar>
            <w:top w:w="0" w:type="dxa"/>
            <w:left w:w="0" w:type="dxa"/>
            <w:bottom w:w="0" w:type="dxa"/>
            <w:right w:w="0" w:type="dxa"/>
          </w:tblCellMar>
        </w:tblPrEx>
        <w:trPr>
          <w:trHeight w:val="42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终端运维及时率</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r>
      <w:tr>
        <w:tblPrEx>
          <w:tblCellMar>
            <w:top w:w="0" w:type="dxa"/>
            <w:left w:w="0" w:type="dxa"/>
            <w:bottom w:w="0" w:type="dxa"/>
            <w:right w:w="0" w:type="dxa"/>
          </w:tblCellMar>
        </w:tblPrEx>
        <w:trPr>
          <w:trHeight w:val="638"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运维时间</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w:t>
            </w:r>
            <w:r>
              <w:rPr>
                <w:rFonts w:hint="eastAsia" w:ascii="宋体" w:hAnsi="宋体" w:eastAsia="宋体" w:cs="宋体"/>
                <w:spacing w:val="6"/>
                <w:kern w:val="2"/>
                <w:sz w:val="24"/>
                <w:szCs w:val="24"/>
                <w:lang w:val="en-US" w:eastAsia="zh-CN" w:bidi="ar-SA"/>
              </w:rPr>
              <w:t>年</w:t>
            </w:r>
            <w:r>
              <w:rPr>
                <w:rFonts w:hint="default" w:ascii="宋体" w:hAnsi="宋体" w:eastAsia="宋体" w:cs="宋体"/>
                <w:spacing w:val="6"/>
                <w:kern w:val="2"/>
                <w:sz w:val="24"/>
                <w:szCs w:val="24"/>
                <w:lang w:val="en-US" w:eastAsia="zh-CN" w:bidi="ar-SA"/>
              </w:rPr>
              <w:t>12</w:t>
            </w:r>
            <w:r>
              <w:rPr>
                <w:rFonts w:hint="eastAsia" w:ascii="宋体" w:hAnsi="宋体" w:eastAsia="宋体" w:cs="宋体"/>
                <w:spacing w:val="6"/>
                <w:kern w:val="2"/>
                <w:sz w:val="24"/>
                <w:szCs w:val="24"/>
                <w:lang w:val="en-US" w:eastAsia="zh-CN" w:bidi="ar-SA"/>
              </w:rPr>
              <w:t>月</w:t>
            </w:r>
            <w:r>
              <w:rPr>
                <w:rFonts w:hint="default" w:ascii="宋体" w:hAnsi="宋体" w:eastAsia="宋体" w:cs="宋体"/>
                <w:spacing w:val="6"/>
                <w:kern w:val="2"/>
                <w:sz w:val="24"/>
                <w:szCs w:val="24"/>
                <w:lang w:val="en-US" w:eastAsia="zh-CN" w:bidi="ar-SA"/>
              </w:rPr>
              <w:t>31</w:t>
            </w:r>
            <w:r>
              <w:rPr>
                <w:rFonts w:hint="eastAsia" w:ascii="宋体" w:hAnsi="宋体" w:eastAsia="宋体" w:cs="宋体"/>
                <w:spacing w:val="6"/>
                <w:kern w:val="2"/>
                <w:sz w:val="24"/>
                <w:szCs w:val="24"/>
                <w:lang w:val="en-US" w:eastAsia="zh-CN" w:bidi="ar-SA"/>
              </w:rPr>
              <w:t>日前</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w:t>
            </w:r>
          </w:p>
        </w:tc>
      </w:tr>
      <w:tr>
        <w:tblPrEx>
          <w:tblCellMar>
            <w:top w:w="0" w:type="dxa"/>
            <w:left w:w="0" w:type="dxa"/>
            <w:bottom w:w="0" w:type="dxa"/>
            <w:right w:w="0" w:type="dxa"/>
          </w:tblCellMar>
        </w:tblPrEx>
        <w:trPr>
          <w:trHeight w:val="638"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有效的提升办公办案效率</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提高了日常办公效率</w:t>
            </w:r>
          </w:p>
        </w:tc>
      </w:tr>
      <w:tr>
        <w:tblPrEx>
          <w:shd w:val="clear" w:color="auto" w:fill="auto"/>
          <w:tblCellMar>
            <w:top w:w="0" w:type="dxa"/>
            <w:left w:w="0" w:type="dxa"/>
            <w:bottom w:w="0" w:type="dxa"/>
            <w:right w:w="0" w:type="dxa"/>
          </w:tblCellMar>
        </w:tblPrEx>
        <w:trPr>
          <w:trHeight w:val="1863"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对管理的提升</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实现办公配套通信服务统一管理</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br w:type="textWrapping"/>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实现了通信服务统一管理</w:t>
            </w:r>
          </w:p>
        </w:tc>
      </w:tr>
      <w:tr>
        <w:tblPrEx>
          <w:shd w:val="clear" w:color="auto" w:fill="auto"/>
          <w:tblCellMar>
            <w:top w:w="0" w:type="dxa"/>
            <w:left w:w="0" w:type="dxa"/>
            <w:bottom w:w="0" w:type="dxa"/>
            <w:right w:w="0" w:type="dxa"/>
          </w:tblCellMar>
        </w:tblPrEx>
        <w:trPr>
          <w:trHeight w:val="237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移动办公平台使用者满意度</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spacing w:after="200" w:afterAutospacing="0"/>
              <w:ind w:leftChars="0" w:firstLine="504" w:firstLineChars="200"/>
              <w:jc w:val="both"/>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br w:type="textWrapping"/>
            </w:r>
            <w:r>
              <w:rPr>
                <w:rFonts w:hint="eastAsia" w:ascii="宋体" w:hAnsi="宋体" w:cs="宋体"/>
                <w:spacing w:val="6"/>
                <w:kern w:val="2"/>
                <w:sz w:val="24"/>
                <w:szCs w:val="24"/>
                <w:lang w:val="en-US" w:eastAsia="zh-CN" w:bidi="ar-SA"/>
              </w:rPr>
              <w:t xml:space="preserve">    </w:t>
            </w:r>
            <w:r>
              <w:rPr>
                <w:rFonts w:hint="default" w:ascii="宋体" w:hAnsi="宋体" w:eastAsia="宋体" w:cs="宋体"/>
                <w:spacing w:val="6"/>
                <w:kern w:val="2"/>
                <w:sz w:val="24"/>
                <w:szCs w:val="24"/>
                <w:lang w:val="en-US" w:eastAsia="zh-CN" w:bidi="ar-SA"/>
              </w:rPr>
              <w:t>≥95%</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br w:type="textWrapping"/>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756" w:firstLineChars="300"/>
              <w:jc w:val="both"/>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r>
    </w:tbl>
    <w:p>
      <w:pPr>
        <w:pStyle w:val="2"/>
        <w:rPr>
          <w:rFonts w:hint="eastAsia" w:eastAsia="仿宋"/>
          <w:color w:val="auto"/>
          <w:highlight w:val="none"/>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jc w:val="left"/>
        <w:rPr>
          <w:rFonts w:hint="eastAsia"/>
          <w:lang w:eastAsia="zh-CN"/>
        </w:rPr>
      </w:pPr>
    </w:p>
    <w:tbl>
      <w:tblPr>
        <w:tblStyle w:val="14"/>
        <w:tblW w:w="8779" w:type="dxa"/>
        <w:tblInd w:w="0" w:type="dxa"/>
        <w:shd w:val="clear" w:color="auto" w:fill="auto"/>
        <w:tblLayout w:type="autofit"/>
        <w:tblCellMar>
          <w:top w:w="0" w:type="dxa"/>
          <w:left w:w="0" w:type="dxa"/>
          <w:bottom w:w="0" w:type="dxa"/>
          <w:right w:w="0" w:type="dxa"/>
        </w:tblCellMar>
      </w:tblPr>
      <w:tblGrid>
        <w:gridCol w:w="820"/>
        <w:gridCol w:w="820"/>
        <w:gridCol w:w="978"/>
        <w:gridCol w:w="999"/>
        <w:gridCol w:w="1147"/>
        <w:gridCol w:w="1957"/>
        <w:gridCol w:w="2058"/>
      </w:tblGrid>
      <w:tr>
        <w:tblPrEx>
          <w:shd w:val="clear" w:color="auto" w:fill="auto"/>
          <w:tblCellMar>
            <w:top w:w="0" w:type="dxa"/>
            <w:left w:w="0" w:type="dxa"/>
            <w:bottom w:w="0" w:type="dxa"/>
            <w:right w:w="0" w:type="dxa"/>
          </w:tblCellMar>
        </w:tblPrEx>
        <w:trPr>
          <w:trHeight w:val="476" w:hRule="atLeast"/>
        </w:trPr>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执行管理平台</w:t>
            </w:r>
          </w:p>
        </w:tc>
      </w:tr>
      <w:tr>
        <w:tblPrEx>
          <w:shd w:val="clear" w:color="auto" w:fill="auto"/>
          <w:tblCellMar>
            <w:top w:w="0" w:type="dxa"/>
            <w:left w:w="0" w:type="dxa"/>
            <w:bottom w:w="0" w:type="dxa"/>
            <w:right w:w="0" w:type="dxa"/>
          </w:tblCellMar>
        </w:tblPrEx>
        <w:trPr>
          <w:trHeight w:val="654" w:hRule="atLeast"/>
        </w:trPr>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476" w:hRule="atLeast"/>
        </w:trPr>
        <w:tc>
          <w:tcPr>
            <w:tcW w:w="1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179.5</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179.5</w:t>
            </w:r>
          </w:p>
        </w:tc>
      </w:tr>
      <w:tr>
        <w:tblPrEx>
          <w:shd w:val="clear" w:color="auto" w:fill="auto"/>
          <w:tblCellMar>
            <w:top w:w="0" w:type="dxa"/>
            <w:left w:w="0" w:type="dxa"/>
            <w:bottom w:w="0" w:type="dxa"/>
            <w:right w:w="0" w:type="dxa"/>
          </w:tblCellMar>
        </w:tblPrEx>
        <w:trPr>
          <w:trHeight w:val="476" w:hRule="atLeast"/>
        </w:trPr>
        <w:tc>
          <w:tcPr>
            <w:tcW w:w="1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179.5</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179.5</w:t>
            </w:r>
          </w:p>
        </w:tc>
      </w:tr>
      <w:tr>
        <w:tblPrEx>
          <w:shd w:val="clear" w:color="auto" w:fill="auto"/>
          <w:tblCellMar>
            <w:top w:w="0" w:type="dxa"/>
            <w:left w:w="0" w:type="dxa"/>
            <w:bottom w:w="0" w:type="dxa"/>
            <w:right w:w="0" w:type="dxa"/>
          </w:tblCellMar>
        </w:tblPrEx>
        <w:trPr>
          <w:trHeight w:val="476" w:hRule="atLeast"/>
        </w:trPr>
        <w:tc>
          <w:tcPr>
            <w:tcW w:w="1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w:t>
            </w:r>
            <w:r>
              <w:rPr>
                <w:rFonts w:hint="eastAsia" w:ascii="宋体" w:hAnsi="宋体" w:cs="宋体"/>
                <w:spacing w:val="6"/>
                <w:kern w:val="2"/>
                <w:sz w:val="24"/>
                <w:szCs w:val="24"/>
                <w:lang w:val="en-US" w:eastAsia="zh-CN" w:bidi="ar-SA"/>
              </w:rPr>
              <w:t>.0</w:t>
            </w:r>
          </w:p>
        </w:tc>
      </w:tr>
      <w:tr>
        <w:tblPrEx>
          <w:shd w:val="clear" w:color="auto" w:fill="auto"/>
          <w:tblCellMar>
            <w:top w:w="0" w:type="dxa"/>
            <w:left w:w="0" w:type="dxa"/>
            <w:bottom w:w="0" w:type="dxa"/>
            <w:right w:w="0" w:type="dxa"/>
          </w:tblCellMar>
        </w:tblPrEx>
        <w:trPr>
          <w:trHeight w:val="476"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2311"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按照最高院执行管理工作部署，完成执行指挥中心优化改造和智慧执行系统建设及服务。</w:t>
            </w: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全部完成执行指挥中心优化改造和智慧执行系统建设及服务，达到合同约定标准。</w:t>
            </w:r>
          </w:p>
        </w:tc>
      </w:tr>
      <w:tr>
        <w:tblPrEx>
          <w:shd w:val="clear" w:color="auto" w:fill="auto"/>
          <w:tblCellMar>
            <w:top w:w="0" w:type="dxa"/>
            <w:left w:w="0" w:type="dxa"/>
            <w:bottom w:w="0" w:type="dxa"/>
            <w:right w:w="0" w:type="dxa"/>
          </w:tblCellMar>
        </w:tblPrEx>
        <w:trPr>
          <w:trHeight w:val="815"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5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大屏显示扩展</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5.53</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5.53</w:t>
            </w:r>
          </w:p>
        </w:tc>
      </w:tr>
      <w:tr>
        <w:tblPrEx>
          <w:shd w:val="clear" w:color="auto" w:fill="auto"/>
          <w:tblCellMar>
            <w:top w:w="0" w:type="dxa"/>
            <w:left w:w="0" w:type="dxa"/>
            <w:bottom w:w="0" w:type="dxa"/>
            <w:right w:w="0" w:type="dxa"/>
          </w:tblCellMar>
        </w:tblPrEx>
        <w:trPr>
          <w:trHeight w:val="5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视频会议系统（高清混合矩阵）</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r>
      <w:tr>
        <w:tblPrEx>
          <w:shd w:val="clear" w:color="auto" w:fill="auto"/>
          <w:tblCellMar>
            <w:top w:w="0" w:type="dxa"/>
            <w:left w:w="0" w:type="dxa"/>
            <w:bottom w:w="0" w:type="dxa"/>
            <w:right w:w="0" w:type="dxa"/>
          </w:tblCellMar>
        </w:tblPrEx>
        <w:trPr>
          <w:trHeight w:val="5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会场设备环境控制软件</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r>
      <w:tr>
        <w:tblPrEx>
          <w:shd w:val="clear" w:color="auto" w:fill="auto"/>
          <w:tblCellMar>
            <w:top w:w="0" w:type="dxa"/>
            <w:left w:w="0" w:type="dxa"/>
            <w:bottom w:w="0" w:type="dxa"/>
            <w:right w:w="0" w:type="dxa"/>
          </w:tblCellMar>
        </w:tblPrEx>
        <w:trPr>
          <w:trHeight w:val="5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智慧执行系统建设</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r>
      <w:tr>
        <w:tblPrEx>
          <w:tblCellMar>
            <w:top w:w="0" w:type="dxa"/>
            <w:left w:w="0" w:type="dxa"/>
            <w:bottom w:w="0" w:type="dxa"/>
            <w:right w:w="0" w:type="dxa"/>
          </w:tblCellMar>
        </w:tblPrEx>
        <w:trPr>
          <w:trHeight w:val="5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驻场服务人员</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w:t>
            </w:r>
          </w:p>
        </w:tc>
      </w:tr>
      <w:tr>
        <w:tblPrEx>
          <w:tblCellMar>
            <w:top w:w="0" w:type="dxa"/>
            <w:left w:w="0" w:type="dxa"/>
            <w:bottom w:w="0" w:type="dxa"/>
            <w:right w:w="0" w:type="dxa"/>
          </w:tblCellMar>
        </w:tblPrEx>
        <w:trPr>
          <w:trHeight w:val="5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质量标准</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符合合同约定</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符合合同约定</w:t>
            </w:r>
          </w:p>
        </w:tc>
      </w:tr>
      <w:tr>
        <w:tblPrEx>
          <w:tblCellMar>
            <w:top w:w="0" w:type="dxa"/>
            <w:left w:w="0" w:type="dxa"/>
            <w:bottom w:w="0" w:type="dxa"/>
            <w:right w:w="0" w:type="dxa"/>
          </w:tblCellMar>
        </w:tblPrEx>
        <w:trPr>
          <w:trHeight w:val="5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完成时间</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2022年3月24日</w:t>
            </w:r>
          </w:p>
        </w:tc>
      </w:tr>
      <w:tr>
        <w:tblPrEx>
          <w:tblCellMar>
            <w:top w:w="0" w:type="dxa"/>
            <w:left w:w="0" w:type="dxa"/>
            <w:bottom w:w="0" w:type="dxa"/>
            <w:right w:w="0" w:type="dxa"/>
          </w:tblCellMar>
        </w:tblPrEx>
        <w:trPr>
          <w:trHeight w:val="839"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推进智慧执行建设，提高法院执行工作水平</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推进智慧执行建设，提高法院执行工作水平</w:t>
            </w:r>
          </w:p>
        </w:tc>
      </w:tr>
      <w:tr>
        <w:tblPrEx>
          <w:tblCellMar>
            <w:top w:w="0" w:type="dxa"/>
            <w:left w:w="0" w:type="dxa"/>
            <w:bottom w:w="0" w:type="dxa"/>
            <w:right w:w="0" w:type="dxa"/>
          </w:tblCellMar>
        </w:tblPrEx>
        <w:trPr>
          <w:trHeight w:val="51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持续时间</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w:t>
            </w:r>
            <w:r>
              <w:rPr>
                <w:rFonts w:hint="default" w:ascii="宋体" w:hAnsi="宋体" w:eastAsia="宋体" w:cs="宋体"/>
                <w:spacing w:val="6"/>
                <w:kern w:val="2"/>
                <w:sz w:val="24"/>
                <w:szCs w:val="24"/>
                <w:lang w:val="en-US" w:eastAsia="zh-CN" w:bidi="ar-SA"/>
              </w:rPr>
              <w:t>1</w:t>
            </w:r>
            <w:r>
              <w:rPr>
                <w:rFonts w:hint="eastAsia" w:ascii="宋体" w:hAnsi="宋体" w:eastAsia="宋体" w:cs="宋体"/>
                <w:spacing w:val="6"/>
                <w:kern w:val="2"/>
                <w:sz w:val="24"/>
                <w:szCs w:val="24"/>
                <w:lang w:val="en-US" w:eastAsia="zh-CN" w:bidi="ar-SA"/>
              </w:rPr>
              <w:t>年</w:t>
            </w:r>
          </w:p>
        </w:tc>
      </w:tr>
      <w:tr>
        <w:tblPrEx>
          <w:tblCellMar>
            <w:top w:w="0" w:type="dxa"/>
            <w:left w:w="0" w:type="dxa"/>
            <w:bottom w:w="0" w:type="dxa"/>
            <w:right w:w="0" w:type="dxa"/>
          </w:tblCellMar>
        </w:tblPrEx>
        <w:trPr>
          <w:trHeight w:val="163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满</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意</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使用部门满意度</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w:t>
            </w:r>
            <w:r>
              <w:rPr>
                <w:rFonts w:hint="default" w:ascii="宋体" w:hAnsi="宋体" w:eastAsia="宋体" w:cs="宋体"/>
                <w:spacing w:val="6"/>
                <w:kern w:val="2"/>
                <w:sz w:val="24"/>
                <w:szCs w:val="24"/>
                <w:lang w:val="en-US" w:eastAsia="zh-CN" w:bidi="ar-SA"/>
              </w:rPr>
              <w:t>90%</w:t>
            </w:r>
          </w:p>
        </w:tc>
      </w:tr>
    </w:tbl>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tbl>
      <w:tblPr>
        <w:tblStyle w:val="14"/>
        <w:tblW w:w="8799" w:type="dxa"/>
        <w:tblInd w:w="0" w:type="dxa"/>
        <w:shd w:val="clear" w:color="auto" w:fill="auto"/>
        <w:tblLayout w:type="autofit"/>
        <w:tblCellMar>
          <w:top w:w="0" w:type="dxa"/>
          <w:left w:w="0" w:type="dxa"/>
          <w:bottom w:w="0" w:type="dxa"/>
          <w:right w:w="0" w:type="dxa"/>
        </w:tblCellMar>
      </w:tblPr>
      <w:tblGrid>
        <w:gridCol w:w="725"/>
        <w:gridCol w:w="835"/>
        <w:gridCol w:w="958"/>
        <w:gridCol w:w="979"/>
        <w:gridCol w:w="1522"/>
        <w:gridCol w:w="1888"/>
        <w:gridCol w:w="1892"/>
      </w:tblGrid>
      <w:tr>
        <w:tblPrEx>
          <w:shd w:val="clear" w:color="auto" w:fill="auto"/>
          <w:tblCellMar>
            <w:top w:w="0" w:type="dxa"/>
            <w:left w:w="0" w:type="dxa"/>
            <w:bottom w:w="0" w:type="dxa"/>
            <w:right w:w="0" w:type="dxa"/>
          </w:tblCellMar>
        </w:tblPrEx>
        <w:trPr>
          <w:trHeight w:val="539"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23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二套高清视频线路租赁</w:t>
            </w:r>
          </w:p>
        </w:tc>
      </w:tr>
      <w:tr>
        <w:tblPrEx>
          <w:shd w:val="clear" w:color="auto" w:fill="auto"/>
          <w:tblCellMar>
            <w:top w:w="0" w:type="dxa"/>
            <w:left w:w="0" w:type="dxa"/>
            <w:bottom w:w="0" w:type="dxa"/>
            <w:right w:w="0" w:type="dxa"/>
          </w:tblCellMar>
        </w:tblPrEx>
        <w:trPr>
          <w:trHeight w:val="703"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539" w:hRule="atLeast"/>
        </w:trPr>
        <w:tc>
          <w:tcPr>
            <w:tcW w:w="1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178.0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79.51</w:t>
            </w:r>
          </w:p>
        </w:tc>
      </w:tr>
      <w:tr>
        <w:tblPrEx>
          <w:shd w:val="clear" w:color="auto" w:fill="auto"/>
          <w:tblCellMar>
            <w:top w:w="0" w:type="dxa"/>
            <w:left w:w="0" w:type="dxa"/>
            <w:bottom w:w="0" w:type="dxa"/>
            <w:right w:w="0" w:type="dxa"/>
          </w:tblCellMar>
        </w:tblPrEx>
        <w:trPr>
          <w:trHeight w:val="703"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178.0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79.51</w:t>
            </w:r>
          </w:p>
        </w:tc>
      </w:tr>
      <w:tr>
        <w:tblPrEx>
          <w:shd w:val="clear" w:color="auto" w:fill="auto"/>
        </w:tblPrEx>
        <w:trPr>
          <w:trHeight w:val="703"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w:t>
            </w:r>
            <w:r>
              <w:rPr>
                <w:rFonts w:hint="eastAsia" w:ascii="宋体" w:hAnsi="宋体" w:cs="宋体"/>
                <w:spacing w:val="6"/>
                <w:kern w:val="2"/>
                <w:sz w:val="24"/>
                <w:szCs w:val="24"/>
                <w:lang w:val="en-US" w:eastAsia="zh-CN" w:bidi="ar-SA"/>
              </w:rPr>
              <w:t>.0</w:t>
            </w:r>
          </w:p>
        </w:tc>
      </w:tr>
      <w:tr>
        <w:tblPrEx>
          <w:shd w:val="clear" w:color="auto" w:fill="auto"/>
          <w:tblCellMar>
            <w:top w:w="0" w:type="dxa"/>
            <w:left w:w="0" w:type="dxa"/>
            <w:bottom w:w="0" w:type="dxa"/>
            <w:right w:w="0" w:type="dxa"/>
          </w:tblCellMar>
        </w:tblPrEx>
        <w:trPr>
          <w:trHeight w:val="539"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2941"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2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建设第二套高清视频会议E1线路租赁，包含线路配套设备，同时作为大要案庭审备线使用，接入每个中院。</w:t>
            </w: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完成了第二套高清视频E1线路租赁服务；从省法院延伸了22条4*E1电路至各中级法院；为省法院及22个中级法院完成新增1套高清视频会议终端，共计新增23台终端。</w:t>
            </w:r>
          </w:p>
        </w:tc>
      </w:tr>
      <w:tr>
        <w:tblPrEx>
          <w:shd w:val="clear" w:color="auto" w:fill="auto"/>
          <w:tblCellMar>
            <w:top w:w="0" w:type="dxa"/>
            <w:left w:w="0" w:type="dxa"/>
            <w:bottom w:w="0" w:type="dxa"/>
            <w:right w:w="0" w:type="dxa"/>
          </w:tblCellMar>
        </w:tblPrEx>
        <w:trPr>
          <w:trHeight w:val="703"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58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租赁数量</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1套</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r>
              <w:rPr>
                <w:rFonts w:hint="eastAsia" w:ascii="宋体" w:hAnsi="宋体" w:eastAsia="宋体" w:cs="宋体"/>
                <w:spacing w:val="6"/>
                <w:kern w:val="2"/>
                <w:sz w:val="24"/>
                <w:szCs w:val="24"/>
                <w:lang w:val="en-US" w:eastAsia="zh-CN" w:bidi="ar-SA"/>
              </w:rPr>
              <w:t>套</w:t>
            </w:r>
          </w:p>
        </w:tc>
      </w:tr>
      <w:tr>
        <w:tblPrEx>
          <w:shd w:val="clear" w:color="auto" w:fill="auto"/>
          <w:tblCellMar>
            <w:top w:w="0" w:type="dxa"/>
            <w:left w:w="0" w:type="dxa"/>
            <w:bottom w:w="0" w:type="dxa"/>
            <w:right w:w="0" w:type="dxa"/>
          </w:tblCellMar>
        </w:tblPrEx>
        <w:trPr>
          <w:trHeight w:val="58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中院覆盖</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22家</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22</w:t>
            </w:r>
            <w:r>
              <w:rPr>
                <w:rFonts w:hint="eastAsia" w:ascii="宋体" w:hAnsi="宋体" w:eastAsia="宋体" w:cs="宋体"/>
                <w:spacing w:val="6"/>
                <w:kern w:val="2"/>
                <w:sz w:val="24"/>
                <w:szCs w:val="24"/>
                <w:lang w:val="en-US" w:eastAsia="zh-CN" w:bidi="ar-SA"/>
              </w:rPr>
              <w:t>家</w:t>
            </w:r>
          </w:p>
        </w:tc>
      </w:tr>
      <w:tr>
        <w:tblPrEx>
          <w:shd w:val="clear" w:color="auto" w:fill="auto"/>
          <w:tblCellMar>
            <w:top w:w="0" w:type="dxa"/>
            <w:left w:w="0" w:type="dxa"/>
            <w:bottom w:w="0" w:type="dxa"/>
            <w:right w:w="0" w:type="dxa"/>
          </w:tblCellMar>
        </w:tblPrEx>
        <w:trPr>
          <w:trHeight w:val="70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标准质量</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行业标准，合同约定</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符合合同约定</w:t>
            </w:r>
          </w:p>
        </w:tc>
      </w:tr>
      <w:tr>
        <w:tblPrEx>
          <w:shd w:val="clear" w:color="auto" w:fill="auto"/>
          <w:tblCellMar>
            <w:top w:w="0" w:type="dxa"/>
            <w:left w:w="0" w:type="dxa"/>
            <w:bottom w:w="0" w:type="dxa"/>
            <w:right w:w="0" w:type="dxa"/>
          </w:tblCellMar>
        </w:tblPrEx>
        <w:trPr>
          <w:trHeight w:val="70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完成时间</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2021年12月29日</w:t>
            </w:r>
          </w:p>
        </w:tc>
      </w:tr>
      <w:tr>
        <w:tblPrEx>
          <w:shd w:val="clear" w:color="auto" w:fill="auto"/>
          <w:tblCellMar>
            <w:top w:w="0" w:type="dxa"/>
            <w:left w:w="0" w:type="dxa"/>
            <w:bottom w:w="0" w:type="dxa"/>
            <w:right w:w="0" w:type="dxa"/>
          </w:tblCellMar>
        </w:tblPrEx>
        <w:trPr>
          <w:trHeight w:val="735"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推进法院工作开展</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为庭审、会议提供备线支撑</w:t>
            </w:r>
          </w:p>
        </w:tc>
      </w:tr>
      <w:tr>
        <w:tblPrEx>
          <w:shd w:val="clear" w:color="auto" w:fill="auto"/>
          <w:tblCellMar>
            <w:top w:w="0" w:type="dxa"/>
            <w:left w:w="0" w:type="dxa"/>
            <w:bottom w:w="0" w:type="dxa"/>
            <w:right w:w="0" w:type="dxa"/>
          </w:tblCellMar>
        </w:tblPrEx>
        <w:trPr>
          <w:trHeight w:val="103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不低于3年</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tblCellMar>
            <w:top w:w="0" w:type="dxa"/>
            <w:left w:w="0" w:type="dxa"/>
            <w:bottom w:w="0" w:type="dxa"/>
            <w:right w:w="0" w:type="dxa"/>
          </w:tblCellMar>
        </w:tblPrEx>
        <w:trPr>
          <w:trHeight w:val="1753"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使用满意度</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90%</w:t>
            </w:r>
          </w:p>
        </w:tc>
      </w:tr>
    </w:tbl>
    <w:tbl>
      <w:tblPr>
        <w:tblStyle w:val="14"/>
        <w:tblpPr w:leftFromText="180" w:rightFromText="180" w:vertAnchor="text" w:horzAnchor="page" w:tblpX="1789" w:tblpY="61"/>
        <w:tblOverlap w:val="never"/>
        <w:tblW w:w="8759" w:type="dxa"/>
        <w:tblInd w:w="0" w:type="dxa"/>
        <w:shd w:val="clear" w:color="auto" w:fill="auto"/>
        <w:tblLayout w:type="autofit"/>
        <w:tblCellMar>
          <w:top w:w="0" w:type="dxa"/>
          <w:left w:w="0" w:type="dxa"/>
          <w:bottom w:w="0" w:type="dxa"/>
          <w:right w:w="0" w:type="dxa"/>
        </w:tblCellMar>
      </w:tblPr>
      <w:tblGrid>
        <w:gridCol w:w="723"/>
        <w:gridCol w:w="829"/>
        <w:gridCol w:w="955"/>
        <w:gridCol w:w="974"/>
        <w:gridCol w:w="1515"/>
        <w:gridCol w:w="1880"/>
        <w:gridCol w:w="1883"/>
      </w:tblGrid>
      <w:tr>
        <w:tblPrEx>
          <w:shd w:val="clear" w:color="auto" w:fill="auto"/>
          <w:tblCellMar>
            <w:top w:w="0" w:type="dxa"/>
            <w:left w:w="0" w:type="dxa"/>
            <w:bottom w:w="0" w:type="dxa"/>
            <w:right w:w="0" w:type="dxa"/>
          </w:tblCellMar>
        </w:tblPrEx>
        <w:trPr>
          <w:trHeight w:val="496" w:hRule="atLeast"/>
        </w:trPr>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20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聘用制书记员、警辅人员经费</w:t>
            </w:r>
          </w:p>
        </w:tc>
      </w:tr>
      <w:tr>
        <w:tblPrEx>
          <w:shd w:val="clear" w:color="auto" w:fill="auto"/>
          <w:tblCellMar>
            <w:top w:w="0" w:type="dxa"/>
            <w:left w:w="0" w:type="dxa"/>
            <w:bottom w:w="0" w:type="dxa"/>
            <w:right w:w="0" w:type="dxa"/>
          </w:tblCellMar>
        </w:tblPrEx>
        <w:trPr>
          <w:trHeight w:val="670" w:hRule="atLeast"/>
        </w:trPr>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成都铁路运输法院</w:t>
            </w:r>
          </w:p>
        </w:tc>
      </w:tr>
      <w:tr>
        <w:tblPrEx>
          <w:shd w:val="clear" w:color="auto" w:fill="auto"/>
          <w:tblCellMar>
            <w:top w:w="0" w:type="dxa"/>
            <w:left w:w="0" w:type="dxa"/>
            <w:bottom w:w="0" w:type="dxa"/>
            <w:right w:w="0" w:type="dxa"/>
          </w:tblCellMar>
        </w:tblPrEx>
        <w:trPr>
          <w:trHeight w:val="496" w:hRule="atLeast"/>
        </w:trPr>
        <w:tc>
          <w:tcPr>
            <w:tcW w:w="15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162.57</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161.0</w:t>
            </w:r>
          </w:p>
        </w:tc>
      </w:tr>
      <w:tr>
        <w:tblPrEx>
          <w:shd w:val="clear" w:color="auto" w:fill="auto"/>
          <w:tblCellMar>
            <w:top w:w="0" w:type="dxa"/>
            <w:left w:w="0" w:type="dxa"/>
            <w:bottom w:w="0" w:type="dxa"/>
            <w:right w:w="0" w:type="dxa"/>
          </w:tblCellMar>
        </w:tblPrEx>
        <w:trPr>
          <w:trHeight w:val="670" w:hRule="atLeast"/>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162.57</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161.0</w:t>
            </w:r>
          </w:p>
        </w:tc>
      </w:tr>
      <w:tr>
        <w:tblPrEx>
          <w:shd w:val="clear" w:color="auto" w:fill="auto"/>
          <w:tblCellMar>
            <w:top w:w="0" w:type="dxa"/>
            <w:left w:w="0" w:type="dxa"/>
            <w:bottom w:w="0" w:type="dxa"/>
            <w:right w:w="0" w:type="dxa"/>
          </w:tblCellMar>
        </w:tblPrEx>
        <w:trPr>
          <w:trHeight w:val="670" w:hRule="atLeast"/>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r>
      <w:tr>
        <w:tblPrEx>
          <w:shd w:val="clear" w:color="auto" w:fill="auto"/>
          <w:tblCellMar>
            <w:top w:w="0" w:type="dxa"/>
            <w:left w:w="0" w:type="dxa"/>
            <w:bottom w:w="0" w:type="dxa"/>
            <w:right w:w="0" w:type="dxa"/>
          </w:tblCellMar>
        </w:tblPrEx>
        <w:trPr>
          <w:trHeight w:val="496"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267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保障单位聘用制书记员人员经费、公用经费。</w:t>
            </w:r>
          </w:p>
        </w:tc>
        <w:tc>
          <w:tcPr>
            <w:tcW w:w="3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顺利保障单位聘用制书记员人员经费、公用经费。</w:t>
            </w:r>
          </w:p>
        </w:tc>
      </w:tr>
      <w:tr>
        <w:tblPrEx>
          <w:shd w:val="clear" w:color="auto" w:fill="auto"/>
          <w:tblCellMar>
            <w:top w:w="0" w:type="dxa"/>
            <w:left w:w="0" w:type="dxa"/>
            <w:bottom w:w="0" w:type="dxa"/>
            <w:right w:w="0" w:type="dxa"/>
          </w:tblCellMar>
        </w:tblPrEx>
        <w:trPr>
          <w:trHeight w:val="67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53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829"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聘用制书记员人数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19人</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18人</w:t>
            </w:r>
          </w:p>
        </w:tc>
      </w:tr>
      <w:tr>
        <w:tblPrEx>
          <w:shd w:val="clear" w:color="auto" w:fill="auto"/>
          <w:tblCellMar>
            <w:top w:w="0" w:type="dxa"/>
            <w:left w:w="0" w:type="dxa"/>
            <w:bottom w:w="0" w:type="dxa"/>
            <w:right w:w="0" w:type="dxa"/>
          </w:tblCellMar>
        </w:tblPrEx>
        <w:trPr>
          <w:trHeight w:val="67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829"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聘用制书记员公用经费</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0.85</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0.85</w:t>
            </w:r>
          </w:p>
        </w:tc>
      </w:tr>
      <w:tr>
        <w:tblPrEx>
          <w:shd w:val="clear" w:color="auto" w:fill="auto"/>
          <w:tblCellMar>
            <w:top w:w="0" w:type="dxa"/>
            <w:left w:w="0" w:type="dxa"/>
            <w:bottom w:w="0" w:type="dxa"/>
            <w:right w:w="0" w:type="dxa"/>
          </w:tblCellMar>
        </w:tblPrEx>
        <w:trPr>
          <w:trHeight w:val="53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829"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成本指标</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聘用制书记员薪酬</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7.12万元/月</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7.12万元/月</w:t>
            </w:r>
          </w:p>
        </w:tc>
      </w:tr>
      <w:tr>
        <w:tblPrEx>
          <w:shd w:val="clear" w:color="auto" w:fill="auto"/>
          <w:tblCellMar>
            <w:top w:w="0" w:type="dxa"/>
            <w:left w:w="0" w:type="dxa"/>
            <w:bottom w:w="0" w:type="dxa"/>
            <w:right w:w="0" w:type="dxa"/>
          </w:tblCellMar>
        </w:tblPrEx>
        <w:trPr>
          <w:trHeight w:val="67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829"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聘用制书记员公用经费</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0.85万元/月</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0.85万元/月</w:t>
            </w:r>
          </w:p>
        </w:tc>
      </w:tr>
      <w:tr>
        <w:tblPrEx>
          <w:shd w:val="clear" w:color="auto" w:fill="auto"/>
          <w:tblCellMar>
            <w:top w:w="0" w:type="dxa"/>
            <w:left w:w="0" w:type="dxa"/>
            <w:bottom w:w="0" w:type="dxa"/>
            <w:right w:w="0" w:type="dxa"/>
          </w:tblCellMar>
        </w:tblPrEx>
        <w:trPr>
          <w:trHeight w:val="67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829"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聘用制书记员装备经费</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0.75万元/月</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0.75万元/月</w:t>
            </w:r>
          </w:p>
        </w:tc>
      </w:tr>
      <w:tr>
        <w:tblPrEx>
          <w:shd w:val="clear" w:color="auto" w:fill="auto"/>
          <w:tblCellMar>
            <w:top w:w="0" w:type="dxa"/>
            <w:left w:w="0" w:type="dxa"/>
            <w:bottom w:w="0" w:type="dxa"/>
            <w:right w:w="0" w:type="dxa"/>
          </w:tblCellMar>
        </w:tblPrEx>
        <w:trPr>
          <w:trHeight w:val="128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829"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效</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益</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提供良好履职基础，服务社会发展能力。</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良好</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良好</w:t>
            </w:r>
          </w:p>
        </w:tc>
      </w:tr>
      <w:tr>
        <w:tblPrEx>
          <w:tblCellMar>
            <w:top w:w="0" w:type="dxa"/>
            <w:left w:w="0" w:type="dxa"/>
            <w:bottom w:w="0" w:type="dxa"/>
            <w:right w:w="0" w:type="dxa"/>
          </w:tblCellMar>
        </w:tblPrEx>
        <w:trPr>
          <w:trHeight w:val="161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8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群众满意度</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w:t>
            </w:r>
          </w:p>
        </w:tc>
      </w:tr>
    </w:tbl>
    <w:p>
      <w:pPr>
        <w:pStyle w:val="2"/>
        <w:rPr>
          <w:rFonts w:hint="eastAsia" w:ascii="宋体" w:hAnsi="宋体" w:eastAsia="宋体" w:cs="宋体"/>
          <w:spacing w:val="6"/>
          <w:kern w:val="2"/>
          <w:sz w:val="24"/>
          <w:szCs w:val="24"/>
          <w:lang w:val="en-US" w:eastAsia="zh-CN" w:bidi="ar-SA"/>
        </w:rPr>
      </w:pPr>
    </w:p>
    <w:tbl>
      <w:tblPr>
        <w:tblStyle w:val="14"/>
        <w:tblW w:w="8719" w:type="dxa"/>
        <w:tblInd w:w="0" w:type="dxa"/>
        <w:shd w:val="clear" w:color="auto" w:fill="auto"/>
        <w:tblLayout w:type="autofit"/>
        <w:tblCellMar>
          <w:top w:w="0" w:type="dxa"/>
          <w:left w:w="0" w:type="dxa"/>
          <w:bottom w:w="0" w:type="dxa"/>
          <w:right w:w="0" w:type="dxa"/>
        </w:tblCellMar>
      </w:tblPr>
      <w:tblGrid>
        <w:gridCol w:w="720"/>
        <w:gridCol w:w="826"/>
        <w:gridCol w:w="950"/>
        <w:gridCol w:w="970"/>
        <w:gridCol w:w="1508"/>
        <w:gridCol w:w="1872"/>
        <w:gridCol w:w="1873"/>
      </w:tblGrid>
      <w:tr>
        <w:tblPrEx>
          <w:shd w:val="clear" w:color="auto" w:fill="auto"/>
          <w:tblCellMar>
            <w:top w:w="0" w:type="dxa"/>
            <w:left w:w="0" w:type="dxa"/>
            <w:bottom w:w="0" w:type="dxa"/>
            <w:right w:w="0" w:type="dxa"/>
          </w:tblCellMar>
        </w:tblPrEx>
        <w:trPr>
          <w:trHeight w:val="512"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审判监督管理一体化平台</w:t>
            </w:r>
          </w:p>
        </w:tc>
      </w:tr>
      <w:tr>
        <w:tblPrEx>
          <w:shd w:val="clear" w:color="auto" w:fill="auto"/>
          <w:tblCellMar>
            <w:top w:w="0" w:type="dxa"/>
            <w:left w:w="0" w:type="dxa"/>
            <w:bottom w:w="0" w:type="dxa"/>
            <w:right w:w="0" w:type="dxa"/>
          </w:tblCellMar>
        </w:tblPrEx>
        <w:trPr>
          <w:trHeight w:val="649"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512"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145.0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141.8</w:t>
            </w:r>
          </w:p>
        </w:tc>
      </w:tr>
      <w:tr>
        <w:tblPrEx>
          <w:shd w:val="clear" w:color="auto" w:fill="auto"/>
          <w:tblCellMar>
            <w:top w:w="0" w:type="dxa"/>
            <w:left w:w="0" w:type="dxa"/>
            <w:bottom w:w="0" w:type="dxa"/>
            <w:right w:w="0" w:type="dxa"/>
          </w:tblCellMar>
        </w:tblPrEx>
        <w:trPr>
          <w:trHeight w:val="649"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145.0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141.8</w:t>
            </w:r>
          </w:p>
        </w:tc>
      </w:tr>
      <w:tr>
        <w:tblPrEx>
          <w:shd w:val="clear" w:color="auto" w:fill="auto"/>
          <w:tblCellMar>
            <w:top w:w="0" w:type="dxa"/>
            <w:left w:w="0" w:type="dxa"/>
            <w:bottom w:w="0" w:type="dxa"/>
            <w:right w:w="0" w:type="dxa"/>
          </w:tblCellMar>
        </w:tblPrEx>
        <w:trPr>
          <w:trHeight w:val="649"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w:t>
            </w:r>
            <w:r>
              <w:rPr>
                <w:rFonts w:hint="eastAsia" w:ascii="宋体" w:hAnsi="宋体" w:cs="宋体"/>
                <w:spacing w:val="6"/>
                <w:kern w:val="2"/>
                <w:sz w:val="24"/>
                <w:szCs w:val="24"/>
                <w:lang w:val="en-US" w:eastAsia="zh-CN" w:bidi="ar-SA"/>
              </w:rPr>
              <w:t>.0</w:t>
            </w:r>
          </w:p>
        </w:tc>
      </w:tr>
      <w:tr>
        <w:tblPrEx>
          <w:shd w:val="clear" w:color="auto" w:fill="auto"/>
          <w:tblCellMar>
            <w:top w:w="0" w:type="dxa"/>
            <w:left w:w="0" w:type="dxa"/>
            <w:bottom w:w="0" w:type="dxa"/>
            <w:right w:w="0" w:type="dxa"/>
          </w:tblCellMar>
        </w:tblPrEx>
        <w:trPr>
          <w:trHeight w:val="512"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2904"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按照最高院部署，构建审判监督管理一体化系统平台</w:t>
            </w:r>
          </w:p>
        </w:tc>
        <w:tc>
          <w:tcPr>
            <w:tcW w:w="3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项目于2021年9月开始实施，已完成需求调研、系统设计、功能开发、系统测试工作，并于2022年3月上线开始试运行，试运行期3个月。</w:t>
            </w:r>
          </w:p>
        </w:tc>
      </w:tr>
      <w:tr>
        <w:tblPrEx>
          <w:shd w:val="clear" w:color="auto" w:fill="auto"/>
          <w:tblCellMar>
            <w:top w:w="0" w:type="dxa"/>
            <w:left w:w="0" w:type="dxa"/>
            <w:bottom w:w="0" w:type="dxa"/>
            <w:right w:w="0" w:type="dxa"/>
          </w:tblCellMar>
        </w:tblPrEx>
        <w:trPr>
          <w:trHeight w:val="649"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55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平台数量</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1个</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r>
              <w:rPr>
                <w:rFonts w:hint="eastAsia" w:ascii="宋体" w:hAnsi="宋体" w:eastAsia="宋体" w:cs="宋体"/>
                <w:spacing w:val="6"/>
                <w:kern w:val="2"/>
                <w:sz w:val="24"/>
                <w:szCs w:val="24"/>
                <w:lang w:val="en-US" w:eastAsia="zh-CN" w:bidi="ar-SA"/>
              </w:rPr>
              <w:t>个</w:t>
            </w:r>
          </w:p>
        </w:tc>
      </w:tr>
      <w:tr>
        <w:tblPrEx>
          <w:shd w:val="clear" w:color="auto" w:fill="auto"/>
          <w:tblCellMar>
            <w:top w:w="0" w:type="dxa"/>
            <w:left w:w="0" w:type="dxa"/>
            <w:bottom w:w="0" w:type="dxa"/>
            <w:right w:w="0" w:type="dxa"/>
          </w:tblCellMar>
        </w:tblPrEx>
        <w:trPr>
          <w:trHeight w:val="55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模块数量</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4个</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w:t>
            </w:r>
            <w:r>
              <w:rPr>
                <w:rFonts w:hint="eastAsia" w:ascii="宋体" w:hAnsi="宋体" w:eastAsia="宋体" w:cs="宋体"/>
                <w:spacing w:val="6"/>
                <w:kern w:val="2"/>
                <w:sz w:val="24"/>
                <w:szCs w:val="24"/>
                <w:lang w:val="en-US" w:eastAsia="zh-CN" w:bidi="ar-SA"/>
              </w:rPr>
              <w:t>个</w:t>
            </w:r>
          </w:p>
        </w:tc>
      </w:tr>
      <w:tr>
        <w:tblPrEx>
          <w:shd w:val="clear" w:color="auto" w:fill="auto"/>
          <w:tblCellMar>
            <w:top w:w="0" w:type="dxa"/>
            <w:left w:w="0" w:type="dxa"/>
            <w:bottom w:w="0" w:type="dxa"/>
            <w:right w:w="0" w:type="dxa"/>
          </w:tblCellMar>
        </w:tblPrEx>
        <w:trPr>
          <w:trHeight w:val="649"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质量标准</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按合同约定</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按合同约定完成</w:t>
            </w:r>
          </w:p>
        </w:tc>
      </w:tr>
      <w:tr>
        <w:tblPrEx>
          <w:shd w:val="clear" w:color="auto" w:fill="auto"/>
          <w:tblCellMar>
            <w:top w:w="0" w:type="dxa"/>
            <w:left w:w="0" w:type="dxa"/>
            <w:bottom w:w="0" w:type="dxa"/>
            <w:right w:w="0" w:type="dxa"/>
          </w:tblCellMar>
        </w:tblPrEx>
        <w:trPr>
          <w:trHeight w:val="649"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完成时限</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2022年3月1日</w:t>
            </w:r>
          </w:p>
        </w:tc>
      </w:tr>
      <w:tr>
        <w:tblPrEx>
          <w:shd w:val="clear" w:color="auto" w:fill="auto"/>
          <w:tblCellMar>
            <w:top w:w="0" w:type="dxa"/>
            <w:left w:w="0" w:type="dxa"/>
            <w:bottom w:w="0" w:type="dxa"/>
            <w:right w:w="0" w:type="dxa"/>
          </w:tblCellMar>
        </w:tblPrEx>
        <w:trPr>
          <w:trHeight w:val="96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提升对案件审判的监督管理能力</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PrEx>
        <w:trPr>
          <w:trHeight w:val="96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影响年限</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PrEx>
        <w:trPr>
          <w:trHeight w:val="17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使用部门满意度</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bl>
    <w:p>
      <w:pPr>
        <w:pStyle w:val="2"/>
        <w:rPr>
          <w:rFonts w:hint="eastAsia" w:ascii="宋体" w:hAnsi="宋体" w:eastAsia="宋体" w:cs="宋体"/>
          <w:spacing w:val="6"/>
          <w:kern w:val="2"/>
          <w:sz w:val="24"/>
          <w:szCs w:val="24"/>
          <w:lang w:val="en-US" w:eastAsia="zh-CN" w:bidi="ar-SA"/>
        </w:rPr>
      </w:pPr>
    </w:p>
    <w:tbl>
      <w:tblPr>
        <w:tblStyle w:val="14"/>
        <w:tblW w:w="8719" w:type="dxa"/>
        <w:tblInd w:w="0" w:type="dxa"/>
        <w:shd w:val="clear" w:color="auto" w:fill="auto"/>
        <w:tblLayout w:type="autofit"/>
        <w:tblCellMar>
          <w:top w:w="0" w:type="dxa"/>
          <w:left w:w="0" w:type="dxa"/>
          <w:bottom w:w="0" w:type="dxa"/>
          <w:right w:w="0" w:type="dxa"/>
        </w:tblCellMar>
      </w:tblPr>
      <w:tblGrid>
        <w:gridCol w:w="719"/>
        <w:gridCol w:w="826"/>
        <w:gridCol w:w="949"/>
        <w:gridCol w:w="971"/>
        <w:gridCol w:w="1508"/>
        <w:gridCol w:w="1872"/>
        <w:gridCol w:w="1874"/>
      </w:tblGrid>
      <w:tr>
        <w:tblPrEx>
          <w:shd w:val="clear" w:color="auto" w:fill="auto"/>
          <w:tblCellMar>
            <w:top w:w="0" w:type="dxa"/>
            <w:left w:w="0" w:type="dxa"/>
            <w:bottom w:w="0" w:type="dxa"/>
            <w:right w:w="0" w:type="dxa"/>
          </w:tblCellMar>
        </w:tblPrEx>
        <w:trPr>
          <w:trHeight w:val="487"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全省法院系统第三方审计服务</w:t>
            </w:r>
          </w:p>
        </w:tc>
      </w:tr>
      <w:tr>
        <w:tblPrEx>
          <w:shd w:val="clear" w:color="auto" w:fill="auto"/>
          <w:tblCellMar>
            <w:top w:w="0" w:type="dxa"/>
            <w:left w:w="0" w:type="dxa"/>
            <w:bottom w:w="0" w:type="dxa"/>
            <w:right w:w="0" w:type="dxa"/>
          </w:tblCellMar>
        </w:tblPrEx>
        <w:trPr>
          <w:trHeight w:val="640"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487" w:hRule="atLeast"/>
        </w:trPr>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140.0</w:t>
            </w:r>
          </w:p>
        </w:tc>
      </w:tr>
      <w:tr>
        <w:tblPrEx>
          <w:shd w:val="clear" w:color="auto" w:fill="auto"/>
          <w:tblCellMar>
            <w:top w:w="0" w:type="dxa"/>
            <w:left w:w="0" w:type="dxa"/>
            <w:bottom w:w="0" w:type="dxa"/>
            <w:right w:w="0" w:type="dxa"/>
          </w:tblCellMar>
        </w:tblPrEx>
        <w:trPr>
          <w:trHeight w:val="64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140.0</w:t>
            </w:r>
          </w:p>
        </w:tc>
      </w:tr>
      <w:tr>
        <w:tblPrEx>
          <w:shd w:val="clear" w:color="auto" w:fill="auto"/>
          <w:tblCellMar>
            <w:top w:w="0" w:type="dxa"/>
            <w:left w:w="0" w:type="dxa"/>
            <w:bottom w:w="0" w:type="dxa"/>
            <w:right w:w="0" w:type="dxa"/>
          </w:tblCellMar>
        </w:tblPrEx>
        <w:trPr>
          <w:trHeight w:val="64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spacing w:val="6"/>
                <w:kern w:val="2"/>
                <w:sz w:val="24"/>
                <w:szCs w:val="24"/>
                <w:lang w:val="en-US" w:eastAsia="zh-CN" w:bidi="ar-SA"/>
              </w:rPr>
            </w:pPr>
            <w:r>
              <w:rPr>
                <w:rFonts w:hint="eastAsia" w:ascii="宋体" w:hAnsi="宋体" w:cs="宋体"/>
                <w:spacing w:val="6"/>
                <w:kern w:val="2"/>
                <w:sz w:val="24"/>
                <w:szCs w:val="24"/>
                <w:lang w:val="en-US" w:eastAsia="zh-CN" w:bidi="ar-SA"/>
              </w:rPr>
              <w:t>0.0</w:t>
            </w:r>
          </w:p>
        </w:tc>
      </w:tr>
      <w:tr>
        <w:tblPrEx>
          <w:shd w:val="clear" w:color="auto" w:fill="auto"/>
          <w:tblCellMar>
            <w:top w:w="0" w:type="dxa"/>
            <w:left w:w="0" w:type="dxa"/>
            <w:bottom w:w="0" w:type="dxa"/>
            <w:right w:w="0" w:type="dxa"/>
          </w:tblCellMar>
        </w:tblPrEx>
        <w:trPr>
          <w:trHeight w:val="487"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4022"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根据《中华人民共和国审计法》、《中国内部审计和准则》《四川省内部审计条例》《四川省法院系统内部审计暂行规定》和其他有关审计规定，按照院党组要求及三年工作规划,省法院拟于2019-2021年内完成对全省211家法院上一年度财务收支情况（含机关经费收支、案款诉讼费、往来资金）的内部审计。2021年暂定选择75家法院开展三方审计工作。</w:t>
            </w:r>
          </w:p>
        </w:tc>
        <w:tc>
          <w:tcPr>
            <w:tcW w:w="3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根据《中华人民共和国审计法》、《中国内部审计和准则》《四川省内部审计条例》《四川省法院系统内部审计暂行规定》和其他有关审计规定，按照院党组要求及三年工作规划,省法院拟于2019-2021年内完成对全省211家法院上一年度财务收支情况（含机关经费收支、案款诉讼费、往来资金）的内部审计。2019和2020年已完成141家法院审计，2021年对剩余71家法院开展三方审计工作。</w:t>
            </w:r>
          </w:p>
        </w:tc>
      </w:tr>
      <w:tr>
        <w:tblPrEx>
          <w:shd w:val="clear" w:color="auto" w:fill="auto"/>
          <w:tblCellMar>
            <w:top w:w="0" w:type="dxa"/>
            <w:left w:w="0" w:type="dxa"/>
            <w:bottom w:w="0" w:type="dxa"/>
            <w:right w:w="0" w:type="dxa"/>
          </w:tblCellMar>
        </w:tblPrEx>
        <w:trPr>
          <w:trHeight w:val="640"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64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完成对2020年度收支情况的检查</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71家法院</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71家法院</w:t>
            </w:r>
          </w:p>
        </w:tc>
      </w:tr>
      <w:tr>
        <w:tblPrEx>
          <w:shd w:val="clear" w:color="auto" w:fill="auto"/>
          <w:tblCellMar>
            <w:top w:w="0" w:type="dxa"/>
            <w:left w:w="0" w:type="dxa"/>
            <w:bottom w:w="0" w:type="dxa"/>
            <w:right w:w="0" w:type="dxa"/>
          </w:tblCellMar>
        </w:tblPrEx>
        <w:trPr>
          <w:trHeight w:val="947"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撰写被检查法院的检查报告</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完成对71家被检查法院的审计报告</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完成对71家被检查法院的审计报告</w:t>
            </w:r>
          </w:p>
        </w:tc>
      </w:tr>
      <w:tr>
        <w:tblPrEx>
          <w:shd w:val="clear" w:color="auto" w:fill="auto"/>
          <w:tblCellMar>
            <w:top w:w="0" w:type="dxa"/>
            <w:left w:w="0" w:type="dxa"/>
            <w:bottom w:w="0" w:type="dxa"/>
            <w:right w:w="0" w:type="dxa"/>
          </w:tblCellMar>
        </w:tblPrEx>
        <w:trPr>
          <w:trHeight w:val="529"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收支情况审计覆盖率</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100%</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100%</w:t>
            </w:r>
          </w:p>
        </w:tc>
      </w:tr>
      <w:tr>
        <w:tblPrEx>
          <w:shd w:val="clear" w:color="auto" w:fill="auto"/>
          <w:tblCellMar>
            <w:top w:w="0" w:type="dxa"/>
            <w:left w:w="0" w:type="dxa"/>
            <w:bottom w:w="0" w:type="dxa"/>
            <w:right w:w="0" w:type="dxa"/>
          </w:tblCellMar>
        </w:tblPrEx>
        <w:trPr>
          <w:trHeight w:val="64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审计中发现的问题是否如实写入报告</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100%</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100%</w:t>
            </w:r>
          </w:p>
        </w:tc>
      </w:tr>
      <w:tr>
        <w:tblPrEx>
          <w:shd w:val="clear" w:color="auto" w:fill="auto"/>
        </w:tblPrEx>
        <w:trPr>
          <w:trHeight w:val="64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对经费、案款、诉讼费账目审计覆盖率</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100%</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100%</w:t>
            </w:r>
          </w:p>
        </w:tc>
      </w:tr>
      <w:tr>
        <w:trPr>
          <w:trHeight w:val="947"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完成时间</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2021年12月31日前完成现场审计</w:t>
            </w:r>
          </w:p>
        </w:tc>
      </w:tr>
      <w:tr>
        <w:tblPrEx>
          <w:tblCellMar>
            <w:top w:w="0" w:type="dxa"/>
            <w:left w:w="0" w:type="dxa"/>
            <w:bottom w:w="0" w:type="dxa"/>
            <w:right w:w="0" w:type="dxa"/>
          </w:tblCellMar>
        </w:tblPrEx>
        <w:trPr>
          <w:trHeight w:val="125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82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效</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益</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对全省法院系统财务部门的规范作用</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规范全省财务工作，防范财务风险，认真落实各项规章制度。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规范全省财务工作，防范财务风险，认真落实各项规章制度。</w:t>
            </w:r>
          </w:p>
        </w:tc>
      </w:tr>
      <w:tr>
        <w:tblPrEx>
          <w:tblCellMar>
            <w:top w:w="0" w:type="dxa"/>
            <w:left w:w="0" w:type="dxa"/>
            <w:bottom w:w="0" w:type="dxa"/>
            <w:right w:w="0" w:type="dxa"/>
          </w:tblCellMar>
        </w:tblPrEx>
        <w:trPr>
          <w:trHeight w:val="24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排查全省法院财务管理中的问题</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梳理排查全省法院系统财务中存在的问题并形成审计报告，督促各级法院加强管理，规范流程，封堵漏洞。</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梳理排查全省法院系统财务中存在的问题并形成审计报告，督促各级法院加强管理，规范流程，封堵漏洞。</w:t>
            </w:r>
          </w:p>
        </w:tc>
      </w:tr>
      <w:tr>
        <w:tblPrEx>
          <w:tblCellMar>
            <w:top w:w="0" w:type="dxa"/>
            <w:left w:w="0" w:type="dxa"/>
            <w:bottom w:w="0" w:type="dxa"/>
            <w:right w:w="0" w:type="dxa"/>
          </w:tblCellMar>
        </w:tblPrEx>
        <w:trPr>
          <w:trHeight w:val="947"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持续影响时间</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r>
      <w:tr>
        <w:tblPrEx>
          <w:shd w:val="clear" w:color="auto" w:fill="auto"/>
          <w:tblCellMar>
            <w:top w:w="0" w:type="dxa"/>
            <w:left w:w="0" w:type="dxa"/>
            <w:bottom w:w="0" w:type="dxa"/>
            <w:right w:w="0" w:type="dxa"/>
          </w:tblCellMar>
        </w:tblPrEx>
        <w:trPr>
          <w:trHeight w:val="162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使用者满意度</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&gt;90%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96%</w:t>
            </w:r>
          </w:p>
        </w:tc>
      </w:tr>
    </w:tbl>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tbl>
      <w:tblPr>
        <w:tblStyle w:val="14"/>
        <w:tblW w:w="8739" w:type="dxa"/>
        <w:tblInd w:w="0" w:type="dxa"/>
        <w:shd w:val="clear" w:color="auto" w:fill="auto"/>
        <w:tblLayout w:type="autofit"/>
        <w:tblCellMar>
          <w:top w:w="0" w:type="dxa"/>
          <w:left w:w="0" w:type="dxa"/>
          <w:bottom w:w="0" w:type="dxa"/>
          <w:right w:w="0" w:type="dxa"/>
        </w:tblCellMar>
      </w:tblPr>
      <w:tblGrid>
        <w:gridCol w:w="721"/>
        <w:gridCol w:w="828"/>
        <w:gridCol w:w="952"/>
        <w:gridCol w:w="973"/>
        <w:gridCol w:w="1511"/>
        <w:gridCol w:w="1877"/>
        <w:gridCol w:w="1877"/>
      </w:tblGrid>
      <w:tr>
        <w:tblPrEx>
          <w:shd w:val="clear" w:color="auto" w:fill="auto"/>
          <w:tblCellMar>
            <w:top w:w="0" w:type="dxa"/>
            <w:left w:w="0" w:type="dxa"/>
            <w:bottom w:w="0" w:type="dxa"/>
            <w:right w:w="0" w:type="dxa"/>
          </w:tblCellMar>
        </w:tblPrEx>
        <w:trPr>
          <w:trHeight w:val="465"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四类案件系统功能优化及全省推广部署</w:t>
            </w:r>
          </w:p>
        </w:tc>
      </w:tr>
      <w:tr>
        <w:tblPrEx>
          <w:shd w:val="clear" w:color="auto" w:fill="auto"/>
          <w:tblCellMar>
            <w:top w:w="0" w:type="dxa"/>
            <w:left w:w="0" w:type="dxa"/>
            <w:bottom w:w="0" w:type="dxa"/>
            <w:right w:w="0" w:type="dxa"/>
          </w:tblCellMar>
        </w:tblPrEx>
        <w:trPr>
          <w:trHeight w:val="465"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465" w:hRule="atLeast"/>
        </w:trPr>
        <w:tc>
          <w:tcPr>
            <w:tcW w:w="1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140.0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86.31</w:t>
            </w:r>
          </w:p>
        </w:tc>
      </w:tr>
      <w:tr>
        <w:tblPrEx>
          <w:shd w:val="clear" w:color="auto" w:fill="auto"/>
          <w:tblCellMar>
            <w:top w:w="0" w:type="dxa"/>
            <w:left w:w="0" w:type="dxa"/>
            <w:bottom w:w="0" w:type="dxa"/>
            <w:right w:w="0" w:type="dxa"/>
          </w:tblCellMar>
        </w:tblPrEx>
        <w:trPr>
          <w:trHeight w:val="465"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140.0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86.31</w:t>
            </w:r>
          </w:p>
        </w:tc>
      </w:tr>
      <w:tr>
        <w:tblPrEx>
          <w:shd w:val="clear" w:color="auto" w:fill="auto"/>
          <w:tblCellMar>
            <w:top w:w="0" w:type="dxa"/>
            <w:left w:w="0" w:type="dxa"/>
            <w:bottom w:w="0" w:type="dxa"/>
            <w:right w:w="0" w:type="dxa"/>
          </w:tblCellMar>
        </w:tblPrEx>
        <w:trPr>
          <w:trHeight w:val="465"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w:t>
            </w:r>
            <w:r>
              <w:rPr>
                <w:rFonts w:hint="eastAsia" w:ascii="宋体" w:hAnsi="宋体" w:cs="宋体"/>
                <w:spacing w:val="6"/>
                <w:kern w:val="2"/>
                <w:sz w:val="24"/>
                <w:szCs w:val="24"/>
                <w:lang w:val="en-US" w:eastAsia="zh-CN" w:bidi="ar-SA"/>
              </w:rPr>
              <w:t>.0</w:t>
            </w:r>
          </w:p>
        </w:tc>
      </w:tr>
      <w:tr>
        <w:tblPrEx>
          <w:shd w:val="clear" w:color="auto" w:fill="auto"/>
          <w:tblCellMar>
            <w:top w:w="0" w:type="dxa"/>
            <w:left w:w="0" w:type="dxa"/>
            <w:bottom w:w="0" w:type="dxa"/>
            <w:right w:w="0" w:type="dxa"/>
          </w:tblCellMar>
        </w:tblPrEx>
        <w:trPr>
          <w:trHeight w:val="465"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2748"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全省推广部署“四类案件”监督管理平台，增加减刑、执行案件的监管功能，及优化“四类案件”监管相关配套功能，实现高、中、基三级法院查询统计辖区法院四类案件相关情况的功能。</w:t>
            </w:r>
          </w:p>
        </w:tc>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项目于2021年9月开始实施，已完成需求调研,系统设计,软件开发等工作；目前除减刑假释模块未完成测试外，其余模块已通过内部测试。</w:t>
            </w:r>
          </w:p>
        </w:tc>
      </w:tr>
      <w:tr>
        <w:tblPrEx>
          <w:shd w:val="clear" w:color="auto" w:fill="auto"/>
          <w:tblCellMar>
            <w:top w:w="0" w:type="dxa"/>
            <w:left w:w="0" w:type="dxa"/>
            <w:bottom w:w="0" w:type="dxa"/>
            <w:right w:w="0" w:type="dxa"/>
          </w:tblCellMar>
        </w:tblPrEx>
        <w:trPr>
          <w:trHeight w:val="465"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50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完成上线使用法院</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212家</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50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完成四类案件启动</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1套</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r>
      <w:tr>
        <w:tblPrEx>
          <w:shd w:val="clear" w:color="auto" w:fill="auto"/>
          <w:tblCellMar>
            <w:top w:w="0" w:type="dxa"/>
            <w:left w:w="0" w:type="dxa"/>
            <w:bottom w:w="0" w:type="dxa"/>
            <w:right w:w="0" w:type="dxa"/>
          </w:tblCellMar>
        </w:tblPrEx>
        <w:trPr>
          <w:trHeight w:val="50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完成四类案件监管</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1套</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r>
      <w:tr>
        <w:tblPrEx>
          <w:tblCellMar>
            <w:top w:w="0" w:type="dxa"/>
            <w:left w:w="0" w:type="dxa"/>
            <w:bottom w:w="0" w:type="dxa"/>
            <w:right w:w="0" w:type="dxa"/>
          </w:tblCellMar>
        </w:tblPrEx>
        <w:trPr>
          <w:trHeight w:val="50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完成系统对接</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10套</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w:t>
            </w:r>
          </w:p>
        </w:tc>
      </w:tr>
      <w:tr>
        <w:tblPrEx>
          <w:tblCellMar>
            <w:top w:w="0" w:type="dxa"/>
            <w:left w:w="0" w:type="dxa"/>
            <w:bottom w:w="0" w:type="dxa"/>
            <w:right w:w="0" w:type="dxa"/>
          </w:tblCellMar>
        </w:tblPrEx>
        <w:trPr>
          <w:trHeight w:val="50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四类案件自动识别率</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tblCellMar>
            <w:top w:w="0" w:type="dxa"/>
            <w:left w:w="0" w:type="dxa"/>
            <w:bottom w:w="0" w:type="dxa"/>
            <w:right w:w="0" w:type="dxa"/>
          </w:tblCellMar>
        </w:tblPrEx>
        <w:trPr>
          <w:trHeight w:val="50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四类案件标识准确率</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tblCellMar>
            <w:top w:w="0" w:type="dxa"/>
            <w:left w:w="0" w:type="dxa"/>
            <w:bottom w:w="0" w:type="dxa"/>
            <w:right w:w="0" w:type="dxa"/>
          </w:tblCellMar>
        </w:tblPrEx>
        <w:trPr>
          <w:trHeight w:val="50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完成时间</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651"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提升“四类案件”审判水平和司法审判社会公平感</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62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项目影响持续时间</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不少于2年</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1600"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使用部门满意度</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bl>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tbl>
      <w:tblPr>
        <w:tblStyle w:val="14"/>
        <w:tblW w:w="8719" w:type="dxa"/>
        <w:tblInd w:w="0" w:type="dxa"/>
        <w:shd w:val="clear" w:color="auto" w:fill="auto"/>
        <w:tblLayout w:type="autofit"/>
        <w:tblCellMar>
          <w:top w:w="0" w:type="dxa"/>
          <w:left w:w="0" w:type="dxa"/>
          <w:bottom w:w="0" w:type="dxa"/>
          <w:right w:w="0" w:type="dxa"/>
        </w:tblCellMar>
      </w:tblPr>
      <w:tblGrid>
        <w:gridCol w:w="720"/>
        <w:gridCol w:w="826"/>
        <w:gridCol w:w="950"/>
        <w:gridCol w:w="970"/>
        <w:gridCol w:w="1508"/>
        <w:gridCol w:w="1872"/>
        <w:gridCol w:w="1873"/>
      </w:tblGrid>
      <w:tr>
        <w:tblPrEx>
          <w:shd w:val="clear" w:color="auto" w:fill="auto"/>
          <w:tblCellMar>
            <w:top w:w="0" w:type="dxa"/>
            <w:left w:w="0" w:type="dxa"/>
            <w:bottom w:w="0" w:type="dxa"/>
            <w:right w:w="0" w:type="dxa"/>
          </w:tblCellMar>
        </w:tblPrEx>
        <w:trPr>
          <w:trHeight w:val="518"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办公办案系统运维项目</w:t>
            </w:r>
          </w:p>
        </w:tc>
      </w:tr>
      <w:tr>
        <w:tblPrEx>
          <w:shd w:val="clear" w:color="auto" w:fill="auto"/>
          <w:tblCellMar>
            <w:top w:w="0" w:type="dxa"/>
            <w:left w:w="0" w:type="dxa"/>
            <w:bottom w:w="0" w:type="dxa"/>
            <w:right w:w="0" w:type="dxa"/>
          </w:tblCellMar>
        </w:tblPrEx>
        <w:trPr>
          <w:trHeight w:val="666"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518"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135.0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135</w:t>
            </w:r>
          </w:p>
        </w:tc>
      </w:tr>
      <w:tr>
        <w:tblPrEx>
          <w:shd w:val="clear" w:color="auto" w:fill="auto"/>
          <w:tblCellMar>
            <w:top w:w="0" w:type="dxa"/>
            <w:left w:w="0" w:type="dxa"/>
            <w:bottom w:w="0" w:type="dxa"/>
            <w:right w:w="0" w:type="dxa"/>
          </w:tblCellMar>
        </w:tblPrEx>
        <w:trPr>
          <w:trHeight w:val="666"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135.0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135.0</w:t>
            </w:r>
          </w:p>
        </w:tc>
      </w:tr>
      <w:tr>
        <w:tblPrEx>
          <w:shd w:val="clear" w:color="auto" w:fill="auto"/>
          <w:tblCellMar>
            <w:top w:w="0" w:type="dxa"/>
            <w:left w:w="0" w:type="dxa"/>
            <w:bottom w:w="0" w:type="dxa"/>
            <w:right w:w="0" w:type="dxa"/>
          </w:tblCellMar>
        </w:tblPrEx>
        <w:trPr>
          <w:trHeight w:val="666"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r>
      <w:tr>
        <w:tblPrEx>
          <w:shd w:val="clear" w:color="auto" w:fill="auto"/>
          <w:tblCellMar>
            <w:top w:w="0" w:type="dxa"/>
            <w:left w:w="0" w:type="dxa"/>
            <w:bottom w:w="0" w:type="dxa"/>
            <w:right w:w="0" w:type="dxa"/>
          </w:tblCellMar>
        </w:tblPrEx>
        <w:trPr>
          <w:trHeight w:val="51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293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服务人员数量10人，全年处理接听电话数不低于10000次，处理问题保修数不低于10000次，培训次数6次，系统巡检50次</w:t>
            </w:r>
          </w:p>
        </w:tc>
        <w:tc>
          <w:tcPr>
            <w:tcW w:w="3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完成在省法院集中处理全省所有法院的软件维护工作，提供应用服务，数据管理，系统服务，服务管理等运维服务工作。服务主要针对5大平台29套系统中全省统一使用的系统。</w:t>
            </w:r>
          </w:p>
        </w:tc>
      </w:tr>
      <w:tr>
        <w:tblPrEx>
          <w:shd w:val="clear" w:color="auto" w:fill="auto"/>
          <w:tblCellMar>
            <w:top w:w="0" w:type="dxa"/>
            <w:left w:w="0" w:type="dxa"/>
            <w:bottom w:w="0" w:type="dxa"/>
            <w:right w:w="0" w:type="dxa"/>
          </w:tblCellMar>
        </w:tblPrEx>
        <w:trPr>
          <w:trHeight w:val="666"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56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服务人员数量</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10人</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w:t>
            </w:r>
            <w:r>
              <w:rPr>
                <w:rFonts w:hint="eastAsia" w:ascii="宋体" w:hAnsi="宋体" w:eastAsia="宋体" w:cs="宋体"/>
                <w:spacing w:val="6"/>
                <w:kern w:val="2"/>
                <w:sz w:val="24"/>
                <w:szCs w:val="24"/>
                <w:lang w:val="en-US" w:eastAsia="zh-CN" w:bidi="ar-SA"/>
              </w:rPr>
              <w:t>人</w:t>
            </w:r>
          </w:p>
        </w:tc>
      </w:tr>
      <w:tr>
        <w:tblPrEx>
          <w:shd w:val="clear" w:color="auto" w:fill="auto"/>
          <w:tblCellMar>
            <w:top w:w="0" w:type="dxa"/>
            <w:left w:w="0" w:type="dxa"/>
            <w:bottom w:w="0" w:type="dxa"/>
            <w:right w:w="0" w:type="dxa"/>
          </w:tblCellMar>
        </w:tblPrEx>
        <w:trPr>
          <w:trHeight w:val="56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处理问题保修</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≥10000次</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约</w:t>
            </w:r>
            <w:r>
              <w:rPr>
                <w:rFonts w:hint="default" w:ascii="宋体" w:hAnsi="宋体" w:eastAsia="宋体" w:cs="宋体"/>
                <w:spacing w:val="6"/>
                <w:kern w:val="2"/>
                <w:sz w:val="24"/>
                <w:szCs w:val="24"/>
                <w:lang w:val="en-US" w:eastAsia="zh-CN" w:bidi="ar-SA"/>
              </w:rPr>
              <w:t>25000</w:t>
            </w:r>
            <w:r>
              <w:rPr>
                <w:rFonts w:hint="eastAsia" w:ascii="宋体" w:hAnsi="宋体" w:eastAsia="宋体" w:cs="宋体"/>
                <w:spacing w:val="6"/>
                <w:kern w:val="2"/>
                <w:sz w:val="24"/>
                <w:szCs w:val="24"/>
                <w:lang w:val="en-US" w:eastAsia="zh-CN" w:bidi="ar-SA"/>
              </w:rPr>
              <w:t>次</w:t>
            </w:r>
          </w:p>
        </w:tc>
      </w:tr>
      <w:tr>
        <w:tblPrEx>
          <w:tblCellMar>
            <w:top w:w="0" w:type="dxa"/>
            <w:left w:w="0" w:type="dxa"/>
            <w:bottom w:w="0" w:type="dxa"/>
            <w:right w:w="0" w:type="dxa"/>
          </w:tblCellMar>
        </w:tblPrEx>
        <w:trPr>
          <w:trHeight w:val="56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培训</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6次</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7</w:t>
            </w:r>
            <w:r>
              <w:rPr>
                <w:rFonts w:hint="eastAsia" w:ascii="宋体" w:hAnsi="宋体" w:eastAsia="宋体" w:cs="宋体"/>
                <w:spacing w:val="6"/>
                <w:kern w:val="2"/>
                <w:sz w:val="24"/>
                <w:szCs w:val="24"/>
                <w:lang w:val="en-US" w:eastAsia="zh-CN" w:bidi="ar-SA"/>
              </w:rPr>
              <w:t>次</w:t>
            </w:r>
          </w:p>
        </w:tc>
      </w:tr>
      <w:tr>
        <w:tblPrEx>
          <w:tblCellMar>
            <w:top w:w="0" w:type="dxa"/>
            <w:left w:w="0" w:type="dxa"/>
            <w:bottom w:w="0" w:type="dxa"/>
            <w:right w:w="0" w:type="dxa"/>
          </w:tblCellMar>
        </w:tblPrEx>
        <w:trPr>
          <w:trHeight w:val="56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系统巡检</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50次</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63</w:t>
            </w:r>
            <w:r>
              <w:rPr>
                <w:rFonts w:hint="eastAsia" w:ascii="宋体" w:hAnsi="宋体" w:eastAsia="宋体" w:cs="宋体"/>
                <w:spacing w:val="6"/>
                <w:kern w:val="2"/>
                <w:sz w:val="24"/>
                <w:szCs w:val="24"/>
                <w:lang w:val="en-US" w:eastAsia="zh-CN" w:bidi="ar-SA"/>
              </w:rPr>
              <w:t>次</w:t>
            </w:r>
          </w:p>
        </w:tc>
      </w:tr>
      <w:tr>
        <w:tblPrEx>
          <w:tblCellMar>
            <w:top w:w="0" w:type="dxa"/>
            <w:left w:w="0" w:type="dxa"/>
            <w:bottom w:w="0" w:type="dxa"/>
            <w:right w:w="0" w:type="dxa"/>
          </w:tblCellMar>
        </w:tblPrEx>
        <w:trPr>
          <w:trHeight w:val="56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报修问题解决率</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96%</w:t>
            </w:r>
          </w:p>
        </w:tc>
      </w:tr>
      <w:tr>
        <w:tblPrEx>
          <w:tblCellMar>
            <w:top w:w="0" w:type="dxa"/>
            <w:left w:w="0" w:type="dxa"/>
            <w:bottom w:w="0" w:type="dxa"/>
            <w:right w:w="0" w:type="dxa"/>
          </w:tblCellMar>
        </w:tblPrEx>
        <w:trPr>
          <w:trHeight w:val="66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最高院大数据上报合格率（年平均）</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≥97%</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98%</w:t>
            </w:r>
          </w:p>
        </w:tc>
      </w:tr>
      <w:tr>
        <w:tblPrEx>
          <w:tblCellMar>
            <w:top w:w="0" w:type="dxa"/>
            <w:left w:w="0" w:type="dxa"/>
            <w:bottom w:w="0" w:type="dxa"/>
            <w:right w:w="0" w:type="dxa"/>
          </w:tblCellMar>
        </w:tblPrEx>
        <w:trPr>
          <w:trHeight w:val="66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服务时间</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每周</w:t>
            </w:r>
            <w:r>
              <w:rPr>
                <w:rFonts w:hint="default" w:ascii="宋体" w:hAnsi="宋体" w:eastAsia="宋体" w:cs="宋体"/>
                <w:spacing w:val="6"/>
                <w:kern w:val="2"/>
                <w:sz w:val="24"/>
                <w:szCs w:val="24"/>
                <w:lang w:val="en-US" w:eastAsia="zh-CN" w:bidi="ar-SA"/>
              </w:rPr>
              <w:t>5*8</w:t>
            </w:r>
            <w:r>
              <w:rPr>
                <w:rFonts w:hint="eastAsia" w:ascii="宋体" w:hAnsi="宋体" w:eastAsia="宋体" w:cs="宋体"/>
                <w:spacing w:val="6"/>
                <w:kern w:val="2"/>
                <w:sz w:val="24"/>
                <w:szCs w:val="24"/>
                <w:lang w:val="en-US" w:eastAsia="zh-CN" w:bidi="ar-SA"/>
              </w:rPr>
              <w:t>小时</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5*8</w:t>
            </w:r>
            <w:r>
              <w:rPr>
                <w:rFonts w:hint="eastAsia" w:ascii="宋体" w:hAnsi="宋体" w:eastAsia="宋体" w:cs="宋体"/>
                <w:spacing w:val="6"/>
                <w:kern w:val="2"/>
                <w:sz w:val="24"/>
                <w:szCs w:val="24"/>
                <w:lang w:val="en-US" w:eastAsia="zh-CN" w:bidi="ar-SA"/>
              </w:rPr>
              <w:t>小时</w:t>
            </w:r>
          </w:p>
        </w:tc>
      </w:tr>
      <w:tr>
        <w:tblPrEx>
          <w:shd w:val="clear" w:color="auto" w:fill="auto"/>
          <w:tblCellMar>
            <w:top w:w="0" w:type="dxa"/>
            <w:left w:w="0" w:type="dxa"/>
            <w:bottom w:w="0" w:type="dxa"/>
            <w:right w:w="0" w:type="dxa"/>
          </w:tblCellMar>
        </w:tblPrEx>
        <w:trPr>
          <w:trHeight w:val="98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保障办公办案系统正常运行</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保障了办公办案系统正常运行</w:t>
            </w:r>
          </w:p>
        </w:tc>
      </w:tr>
      <w:tr>
        <w:tblPrEx>
          <w:shd w:val="clear" w:color="auto" w:fill="auto"/>
          <w:tblCellMar>
            <w:top w:w="0" w:type="dxa"/>
            <w:left w:w="0" w:type="dxa"/>
            <w:bottom w:w="0" w:type="dxa"/>
            <w:right w:w="0" w:type="dxa"/>
          </w:tblCellMar>
        </w:tblPrEx>
        <w:trPr>
          <w:trHeight w:val="98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服务期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合同签订后一年</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合同签订后一年</w:t>
            </w:r>
          </w:p>
        </w:tc>
      </w:tr>
      <w:tr>
        <w:tblPrEx>
          <w:shd w:val="clear" w:color="auto" w:fill="auto"/>
          <w:tblCellMar>
            <w:top w:w="0" w:type="dxa"/>
            <w:left w:w="0" w:type="dxa"/>
            <w:bottom w:w="0" w:type="dxa"/>
            <w:right w:w="0" w:type="dxa"/>
          </w:tblCellMar>
        </w:tblPrEx>
        <w:trPr>
          <w:trHeight w:val="173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用户满意度</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r>
    </w:tbl>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tbl>
      <w:tblPr>
        <w:tblStyle w:val="14"/>
        <w:tblW w:w="8759" w:type="dxa"/>
        <w:tblInd w:w="0" w:type="dxa"/>
        <w:shd w:val="clear" w:color="auto" w:fill="auto"/>
        <w:tblLayout w:type="autofit"/>
        <w:tblCellMar>
          <w:top w:w="0" w:type="dxa"/>
          <w:left w:w="0" w:type="dxa"/>
          <w:bottom w:w="0" w:type="dxa"/>
          <w:right w:w="0" w:type="dxa"/>
        </w:tblCellMar>
      </w:tblPr>
      <w:tblGrid>
        <w:gridCol w:w="722"/>
        <w:gridCol w:w="830"/>
        <w:gridCol w:w="954"/>
        <w:gridCol w:w="975"/>
        <w:gridCol w:w="1515"/>
        <w:gridCol w:w="1881"/>
        <w:gridCol w:w="1882"/>
      </w:tblGrid>
      <w:tr>
        <w:tblPrEx>
          <w:shd w:val="clear" w:color="auto" w:fill="auto"/>
          <w:tblCellMar>
            <w:top w:w="0" w:type="dxa"/>
            <w:left w:w="0" w:type="dxa"/>
            <w:bottom w:w="0" w:type="dxa"/>
            <w:right w:w="0" w:type="dxa"/>
          </w:tblCellMar>
        </w:tblPrEx>
        <w:trPr>
          <w:trHeight w:val="466" w:hRule="atLeast"/>
        </w:trPr>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20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设备购置经费</w:t>
            </w:r>
          </w:p>
        </w:tc>
      </w:tr>
      <w:tr>
        <w:tblPrEx>
          <w:shd w:val="clear" w:color="auto" w:fill="auto"/>
          <w:tblCellMar>
            <w:top w:w="0" w:type="dxa"/>
            <w:left w:w="0" w:type="dxa"/>
            <w:bottom w:w="0" w:type="dxa"/>
            <w:right w:w="0" w:type="dxa"/>
          </w:tblCellMar>
        </w:tblPrEx>
        <w:trPr>
          <w:trHeight w:val="466" w:hRule="atLeast"/>
        </w:trPr>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466" w:hRule="atLeast"/>
        </w:trPr>
        <w:tc>
          <w:tcPr>
            <w:tcW w:w="15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131.2</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85.93</w:t>
            </w:r>
          </w:p>
        </w:tc>
      </w:tr>
      <w:tr>
        <w:tblPrEx>
          <w:shd w:val="clear" w:color="auto" w:fill="auto"/>
          <w:tblCellMar>
            <w:top w:w="0" w:type="dxa"/>
            <w:left w:w="0" w:type="dxa"/>
            <w:bottom w:w="0" w:type="dxa"/>
            <w:right w:w="0" w:type="dxa"/>
          </w:tblCellMar>
        </w:tblPrEx>
        <w:trPr>
          <w:trHeight w:val="466" w:hRule="atLeast"/>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131.2</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85.93</w:t>
            </w:r>
          </w:p>
        </w:tc>
      </w:tr>
      <w:tr>
        <w:tblPrEx>
          <w:shd w:val="clear" w:color="auto" w:fill="auto"/>
          <w:tblCellMar>
            <w:top w:w="0" w:type="dxa"/>
            <w:left w:w="0" w:type="dxa"/>
            <w:bottom w:w="0" w:type="dxa"/>
            <w:right w:w="0" w:type="dxa"/>
          </w:tblCellMar>
        </w:tblPrEx>
        <w:trPr>
          <w:trHeight w:val="466" w:hRule="atLeast"/>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w:t>
            </w:r>
            <w:r>
              <w:rPr>
                <w:rFonts w:hint="eastAsia" w:ascii="宋体" w:hAnsi="宋体" w:cs="宋体"/>
                <w:spacing w:val="6"/>
                <w:kern w:val="2"/>
                <w:sz w:val="24"/>
                <w:szCs w:val="24"/>
                <w:lang w:val="en-US" w:eastAsia="zh-CN" w:bidi="ar-SA"/>
              </w:rPr>
              <w:t>.0</w:t>
            </w:r>
          </w:p>
        </w:tc>
      </w:tr>
      <w:tr>
        <w:tblPrEx>
          <w:shd w:val="clear" w:color="auto" w:fill="auto"/>
          <w:tblCellMar>
            <w:top w:w="0" w:type="dxa"/>
            <w:left w:w="0" w:type="dxa"/>
            <w:bottom w:w="0" w:type="dxa"/>
            <w:right w:w="0" w:type="dxa"/>
          </w:tblCellMar>
        </w:tblPrEx>
        <w:trPr>
          <w:trHeight w:val="466"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2756"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42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配置2021年涉密设备、食堂及家用家具等</w:t>
            </w:r>
          </w:p>
        </w:tc>
        <w:tc>
          <w:tcPr>
            <w:tcW w:w="3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完成2021年涉密设备、食堂及家用家具等的配备</w:t>
            </w:r>
          </w:p>
        </w:tc>
      </w:tr>
      <w:tr>
        <w:tblPrEx>
          <w:shd w:val="clear" w:color="auto" w:fill="auto"/>
          <w:tblCellMar>
            <w:top w:w="0" w:type="dxa"/>
            <w:left w:w="0" w:type="dxa"/>
            <w:bottom w:w="0" w:type="dxa"/>
            <w:right w:w="0" w:type="dxa"/>
          </w:tblCellMar>
        </w:tblPrEx>
        <w:trPr>
          <w:trHeight w:val="466"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50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购买数量</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351件</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351</w:t>
            </w:r>
            <w:r>
              <w:rPr>
                <w:rFonts w:hint="eastAsia" w:ascii="宋体" w:hAnsi="宋体" w:eastAsia="宋体" w:cs="宋体"/>
                <w:spacing w:val="6"/>
                <w:kern w:val="2"/>
                <w:sz w:val="24"/>
                <w:szCs w:val="24"/>
                <w:lang w:val="en-US" w:eastAsia="zh-CN" w:bidi="ar-SA"/>
              </w:rPr>
              <w:t>件</w:t>
            </w:r>
          </w:p>
        </w:tc>
      </w:tr>
      <w:tr>
        <w:tblPrEx>
          <w:shd w:val="clear" w:color="auto" w:fill="auto"/>
          <w:tblCellMar>
            <w:top w:w="0" w:type="dxa"/>
            <w:left w:w="0" w:type="dxa"/>
            <w:bottom w:w="0" w:type="dxa"/>
            <w:right w:w="0" w:type="dxa"/>
          </w:tblCellMar>
        </w:tblPrEx>
        <w:trPr>
          <w:trHeight w:val="50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质量要求</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符合国家规定质量标准</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符合国家规定质量标准</w:t>
            </w:r>
          </w:p>
        </w:tc>
      </w:tr>
      <w:tr>
        <w:tblPrEx>
          <w:shd w:val="clear" w:color="auto" w:fill="auto"/>
          <w:tblCellMar>
            <w:top w:w="0" w:type="dxa"/>
            <w:left w:w="0" w:type="dxa"/>
            <w:bottom w:w="0" w:type="dxa"/>
            <w:right w:w="0" w:type="dxa"/>
          </w:tblCellMar>
        </w:tblPrEx>
        <w:trPr>
          <w:trHeight w:val="50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完成时间</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w:t>
            </w:r>
            <w:r>
              <w:rPr>
                <w:rFonts w:hint="eastAsia" w:ascii="宋体" w:hAnsi="宋体" w:eastAsia="宋体" w:cs="宋体"/>
                <w:spacing w:val="6"/>
                <w:kern w:val="2"/>
                <w:sz w:val="24"/>
                <w:szCs w:val="24"/>
                <w:lang w:val="en-US" w:eastAsia="zh-CN" w:bidi="ar-SA"/>
              </w:rPr>
              <w:t>年</w:t>
            </w:r>
            <w:r>
              <w:rPr>
                <w:rFonts w:hint="default" w:ascii="宋体" w:hAnsi="宋体" w:eastAsia="宋体" w:cs="宋体"/>
                <w:spacing w:val="6"/>
                <w:kern w:val="2"/>
                <w:sz w:val="24"/>
                <w:szCs w:val="24"/>
                <w:lang w:val="en-US" w:eastAsia="zh-CN" w:bidi="ar-SA"/>
              </w:rPr>
              <w:t>12</w:t>
            </w:r>
            <w:r>
              <w:rPr>
                <w:rFonts w:hint="eastAsia" w:ascii="宋体" w:hAnsi="宋体" w:eastAsia="宋体" w:cs="宋体"/>
                <w:spacing w:val="6"/>
                <w:kern w:val="2"/>
                <w:sz w:val="24"/>
                <w:szCs w:val="24"/>
                <w:lang w:val="en-US" w:eastAsia="zh-CN" w:bidi="ar-SA"/>
              </w:rPr>
              <w:t>月</w:t>
            </w:r>
            <w:r>
              <w:rPr>
                <w:rFonts w:hint="default" w:ascii="宋体" w:hAnsi="宋体" w:eastAsia="宋体" w:cs="宋体"/>
                <w:spacing w:val="6"/>
                <w:kern w:val="2"/>
                <w:sz w:val="24"/>
                <w:szCs w:val="24"/>
                <w:lang w:val="en-US" w:eastAsia="zh-CN" w:bidi="ar-SA"/>
              </w:rPr>
              <w:t>31</w:t>
            </w:r>
            <w:r>
              <w:rPr>
                <w:rFonts w:hint="eastAsia" w:ascii="宋体" w:hAnsi="宋体" w:eastAsia="宋体" w:cs="宋体"/>
                <w:spacing w:val="6"/>
                <w:kern w:val="2"/>
                <w:sz w:val="24"/>
                <w:szCs w:val="24"/>
                <w:lang w:val="en-US" w:eastAsia="zh-CN" w:bidi="ar-SA"/>
              </w:rPr>
              <w:t>日前</w:t>
            </w:r>
          </w:p>
        </w:tc>
      </w:tr>
      <w:tr>
        <w:tblPrEx>
          <w:tblCellMar>
            <w:top w:w="0" w:type="dxa"/>
            <w:left w:w="0" w:type="dxa"/>
            <w:bottom w:w="0" w:type="dxa"/>
            <w:right w:w="0" w:type="dxa"/>
          </w:tblCellMar>
        </w:tblPrEx>
        <w:trPr>
          <w:trHeight w:val="50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成本指标</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平均成本</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3428.57元</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2448.09</w:t>
            </w:r>
            <w:r>
              <w:rPr>
                <w:rFonts w:hint="eastAsia" w:ascii="宋体" w:hAnsi="宋体" w:eastAsia="宋体" w:cs="宋体"/>
                <w:spacing w:val="6"/>
                <w:kern w:val="2"/>
                <w:sz w:val="24"/>
                <w:szCs w:val="24"/>
                <w:lang w:val="en-US" w:eastAsia="zh-CN" w:bidi="ar-SA"/>
              </w:rPr>
              <w:t>元</w:t>
            </w:r>
          </w:p>
        </w:tc>
      </w:tr>
      <w:tr>
        <w:tblPrEx>
          <w:tblCellMar>
            <w:top w:w="0" w:type="dxa"/>
            <w:left w:w="0" w:type="dxa"/>
            <w:bottom w:w="0" w:type="dxa"/>
            <w:right w:w="0" w:type="dxa"/>
          </w:tblCellMar>
        </w:tblPrEx>
        <w:trPr>
          <w:trHeight w:val="652"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促进办公运转，提升司法保障工作</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促进办公运转，提升司法保障工作</w:t>
            </w:r>
          </w:p>
        </w:tc>
      </w:tr>
      <w:tr>
        <w:trPr>
          <w:trHeight w:val="62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持续时间</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w:t>
            </w:r>
            <w:r>
              <w:rPr>
                <w:rFonts w:hint="default" w:ascii="宋体" w:hAnsi="宋体" w:eastAsia="宋体" w:cs="宋体"/>
                <w:spacing w:val="6"/>
                <w:kern w:val="2"/>
                <w:sz w:val="24"/>
                <w:szCs w:val="24"/>
                <w:lang w:val="en-US" w:eastAsia="zh-CN" w:bidi="ar-SA"/>
              </w:rPr>
              <w:t>1</w:t>
            </w:r>
            <w:r>
              <w:rPr>
                <w:rFonts w:hint="eastAsia" w:ascii="宋体" w:hAnsi="宋体" w:eastAsia="宋体" w:cs="宋体"/>
                <w:spacing w:val="6"/>
                <w:kern w:val="2"/>
                <w:sz w:val="24"/>
                <w:szCs w:val="24"/>
                <w:lang w:val="en-US" w:eastAsia="zh-CN" w:bidi="ar-SA"/>
              </w:rPr>
              <w:t>年</w:t>
            </w:r>
          </w:p>
        </w:tc>
      </w:tr>
      <w:tr>
        <w:tblPrEx>
          <w:shd w:val="clear" w:color="auto" w:fill="auto"/>
          <w:tblCellMar>
            <w:top w:w="0" w:type="dxa"/>
            <w:left w:w="0" w:type="dxa"/>
            <w:bottom w:w="0" w:type="dxa"/>
            <w:right w:w="0" w:type="dxa"/>
          </w:tblCellMar>
        </w:tblPrEx>
        <w:trPr>
          <w:trHeight w:val="1604"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使用部门满意度</w:t>
            </w:r>
          </w:p>
        </w:tc>
        <w:tc>
          <w:tcPr>
            <w:tcW w:w="1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w:t>
            </w:r>
            <w:r>
              <w:rPr>
                <w:rFonts w:hint="default" w:ascii="宋体" w:hAnsi="宋体" w:eastAsia="宋体" w:cs="宋体"/>
                <w:spacing w:val="6"/>
                <w:kern w:val="2"/>
                <w:sz w:val="24"/>
                <w:szCs w:val="24"/>
                <w:lang w:val="en-US" w:eastAsia="zh-CN" w:bidi="ar-SA"/>
              </w:rPr>
              <w:t>90%</w:t>
            </w:r>
          </w:p>
        </w:tc>
      </w:tr>
    </w:tbl>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tbl>
      <w:tblPr>
        <w:tblStyle w:val="14"/>
        <w:tblW w:w="8739" w:type="dxa"/>
        <w:tblInd w:w="0" w:type="dxa"/>
        <w:shd w:val="clear" w:color="auto" w:fill="auto"/>
        <w:tblLayout w:type="autofit"/>
        <w:tblCellMar>
          <w:top w:w="0" w:type="dxa"/>
          <w:left w:w="0" w:type="dxa"/>
          <w:bottom w:w="0" w:type="dxa"/>
          <w:right w:w="0" w:type="dxa"/>
        </w:tblCellMar>
      </w:tblPr>
      <w:tblGrid>
        <w:gridCol w:w="721"/>
        <w:gridCol w:w="828"/>
        <w:gridCol w:w="952"/>
        <w:gridCol w:w="972"/>
        <w:gridCol w:w="1512"/>
        <w:gridCol w:w="1876"/>
        <w:gridCol w:w="1878"/>
      </w:tblGrid>
      <w:tr>
        <w:tblPrEx>
          <w:shd w:val="clear" w:color="auto" w:fill="auto"/>
          <w:tblCellMar>
            <w:top w:w="0" w:type="dxa"/>
            <w:left w:w="0" w:type="dxa"/>
            <w:bottom w:w="0" w:type="dxa"/>
            <w:right w:w="0" w:type="dxa"/>
          </w:tblCellMar>
        </w:tblPrEx>
        <w:trPr>
          <w:trHeight w:val="506"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案件审判经费</w:t>
            </w:r>
          </w:p>
        </w:tc>
      </w:tr>
      <w:tr>
        <w:tblPrEx>
          <w:shd w:val="clear" w:color="auto" w:fill="auto"/>
          <w:tblCellMar>
            <w:top w:w="0" w:type="dxa"/>
            <w:left w:w="0" w:type="dxa"/>
            <w:bottom w:w="0" w:type="dxa"/>
            <w:right w:w="0" w:type="dxa"/>
          </w:tblCellMar>
        </w:tblPrEx>
        <w:trPr>
          <w:trHeight w:val="648"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成都铁路运输法院</w:t>
            </w:r>
          </w:p>
        </w:tc>
      </w:tr>
      <w:tr>
        <w:tblPrEx>
          <w:shd w:val="clear" w:color="auto" w:fill="auto"/>
          <w:tblCellMar>
            <w:top w:w="0" w:type="dxa"/>
            <w:left w:w="0" w:type="dxa"/>
            <w:bottom w:w="0" w:type="dxa"/>
            <w:right w:w="0" w:type="dxa"/>
          </w:tblCellMar>
        </w:tblPrEx>
        <w:trPr>
          <w:trHeight w:val="506" w:hRule="atLeast"/>
        </w:trPr>
        <w:tc>
          <w:tcPr>
            <w:tcW w:w="1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119.11</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110.57</w:t>
            </w:r>
          </w:p>
        </w:tc>
      </w:tr>
      <w:tr>
        <w:tblPrEx>
          <w:shd w:val="clear" w:color="auto" w:fill="auto"/>
          <w:tblCellMar>
            <w:top w:w="0" w:type="dxa"/>
            <w:left w:w="0" w:type="dxa"/>
            <w:bottom w:w="0" w:type="dxa"/>
            <w:right w:w="0" w:type="dxa"/>
          </w:tblCellMar>
        </w:tblPrEx>
        <w:trPr>
          <w:trHeight w:val="648"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119.11</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110.57</w:t>
            </w:r>
          </w:p>
        </w:tc>
      </w:tr>
      <w:tr>
        <w:tblPrEx>
          <w:shd w:val="clear" w:color="auto" w:fill="auto"/>
          <w:tblCellMar>
            <w:top w:w="0" w:type="dxa"/>
            <w:left w:w="0" w:type="dxa"/>
            <w:bottom w:w="0" w:type="dxa"/>
            <w:right w:w="0" w:type="dxa"/>
          </w:tblCellMar>
        </w:tblPrEx>
        <w:trPr>
          <w:trHeight w:val="648"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r>
      <w:tr>
        <w:tblPrEx>
          <w:shd w:val="clear" w:color="auto" w:fill="auto"/>
          <w:tblCellMar>
            <w:top w:w="0" w:type="dxa"/>
            <w:left w:w="0" w:type="dxa"/>
            <w:bottom w:w="0" w:type="dxa"/>
            <w:right w:w="0" w:type="dxa"/>
          </w:tblCellMar>
        </w:tblPrEx>
        <w:trPr>
          <w:trHeight w:val="506"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2865"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保障我院办公办案顺利开展，聘用法官助理、书记员、警务辅助人员及后勤人员。</w:t>
            </w:r>
          </w:p>
        </w:tc>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顺利保障我院办公办案开展，聘用法官助理、书记员、警务辅助人员及后勤人员。</w:t>
            </w:r>
          </w:p>
        </w:tc>
      </w:tr>
      <w:tr>
        <w:tblPrEx>
          <w:shd w:val="clear" w:color="auto" w:fill="auto"/>
          <w:tblCellMar>
            <w:top w:w="0" w:type="dxa"/>
            <w:left w:w="0" w:type="dxa"/>
            <w:bottom w:w="0" w:type="dxa"/>
            <w:right w:w="0" w:type="dxa"/>
          </w:tblCellMar>
        </w:tblPrEx>
        <w:trPr>
          <w:trHeight w:val="648"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648"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聘用人员数量</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13名</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13名</w:t>
            </w:r>
          </w:p>
        </w:tc>
      </w:tr>
      <w:tr>
        <w:tblPrEx>
          <w:shd w:val="clear" w:color="auto" w:fill="auto"/>
          <w:tblCellMar>
            <w:top w:w="0" w:type="dxa"/>
            <w:left w:w="0" w:type="dxa"/>
            <w:bottom w:w="0" w:type="dxa"/>
            <w:right w:w="0" w:type="dxa"/>
          </w:tblCellMar>
        </w:tblPrEx>
        <w:trPr>
          <w:trHeight w:val="777"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成本指标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聘用人员工资</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9.16万元/年</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8.51万元/年</w:t>
            </w:r>
          </w:p>
        </w:tc>
      </w:tr>
      <w:tr>
        <w:tblPrEx>
          <w:shd w:val="clear" w:color="auto" w:fill="auto"/>
          <w:tblCellMar>
            <w:top w:w="0" w:type="dxa"/>
            <w:left w:w="0" w:type="dxa"/>
            <w:bottom w:w="0" w:type="dxa"/>
            <w:right w:w="0" w:type="dxa"/>
          </w:tblCellMar>
        </w:tblPrEx>
        <w:trPr>
          <w:trHeight w:val="1344"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效</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益</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提供良好履职基础，服务社会发展能力。</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良好</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良好</w:t>
            </w:r>
          </w:p>
        </w:tc>
      </w:tr>
      <w:tr>
        <w:tblPrEx>
          <w:tblCellMar>
            <w:top w:w="0" w:type="dxa"/>
            <w:left w:w="0" w:type="dxa"/>
            <w:bottom w:w="0" w:type="dxa"/>
            <w:right w:w="0" w:type="dxa"/>
          </w:tblCellMar>
        </w:tblPrEx>
        <w:trPr>
          <w:trHeight w:val="1688"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群众满意度</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w:t>
            </w:r>
          </w:p>
        </w:tc>
      </w:tr>
    </w:tbl>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tbl>
      <w:tblPr>
        <w:tblStyle w:val="14"/>
        <w:tblW w:w="8759" w:type="dxa"/>
        <w:tblInd w:w="0" w:type="dxa"/>
        <w:shd w:val="clear" w:color="auto" w:fill="auto"/>
        <w:tblLayout w:type="autofit"/>
        <w:tblCellMar>
          <w:top w:w="0" w:type="dxa"/>
          <w:left w:w="0" w:type="dxa"/>
          <w:bottom w:w="0" w:type="dxa"/>
          <w:right w:w="0" w:type="dxa"/>
        </w:tblCellMar>
      </w:tblPr>
      <w:tblGrid>
        <w:gridCol w:w="643"/>
        <w:gridCol w:w="733"/>
        <w:gridCol w:w="1893"/>
        <w:gridCol w:w="30"/>
        <w:gridCol w:w="2132"/>
        <w:gridCol w:w="1663"/>
        <w:gridCol w:w="1665"/>
      </w:tblGrid>
      <w:tr>
        <w:tblPrEx>
          <w:shd w:val="clear" w:color="auto" w:fill="auto"/>
          <w:tblCellMar>
            <w:top w:w="0" w:type="dxa"/>
            <w:left w:w="0" w:type="dxa"/>
            <w:bottom w:w="0" w:type="dxa"/>
            <w:right w:w="0" w:type="dxa"/>
          </w:tblCellMar>
        </w:tblPrEx>
        <w:trPr>
          <w:trHeight w:val="447" w:hRule="atLeast"/>
        </w:trPr>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3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全省数据库智能化运维项目</w:t>
            </w:r>
          </w:p>
        </w:tc>
      </w:tr>
      <w:tr>
        <w:tblPrEx>
          <w:shd w:val="clear" w:color="auto" w:fill="auto"/>
          <w:tblCellMar>
            <w:top w:w="0" w:type="dxa"/>
            <w:left w:w="0" w:type="dxa"/>
            <w:bottom w:w="0" w:type="dxa"/>
            <w:right w:w="0" w:type="dxa"/>
          </w:tblCellMar>
        </w:tblPrEx>
        <w:trPr>
          <w:trHeight w:val="664" w:hRule="atLeast"/>
        </w:trPr>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40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447" w:hRule="atLeast"/>
        </w:trPr>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118.8</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118.8</w:t>
            </w:r>
          </w:p>
        </w:tc>
      </w:tr>
      <w:tr>
        <w:tblPrEx>
          <w:shd w:val="clear" w:color="auto" w:fill="auto"/>
          <w:tblCellMar>
            <w:top w:w="0" w:type="dxa"/>
            <w:left w:w="0" w:type="dxa"/>
            <w:bottom w:w="0" w:type="dxa"/>
            <w:right w:w="0" w:type="dxa"/>
          </w:tblCellMar>
        </w:tblPrEx>
        <w:trPr>
          <w:trHeight w:val="664" w:hRule="atLeast"/>
        </w:trPr>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118.8</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118.8</w:t>
            </w:r>
          </w:p>
        </w:tc>
      </w:tr>
      <w:tr>
        <w:tblPrEx>
          <w:shd w:val="clear" w:color="auto" w:fill="auto"/>
          <w:tblCellMar>
            <w:top w:w="0" w:type="dxa"/>
            <w:left w:w="0" w:type="dxa"/>
            <w:bottom w:w="0" w:type="dxa"/>
            <w:right w:w="0" w:type="dxa"/>
          </w:tblCellMar>
        </w:tblPrEx>
        <w:trPr>
          <w:trHeight w:val="664" w:hRule="atLeast"/>
        </w:trPr>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w:t>
            </w:r>
            <w:r>
              <w:rPr>
                <w:rFonts w:hint="eastAsia" w:ascii="宋体" w:hAnsi="宋体" w:cs="宋体"/>
                <w:spacing w:val="6"/>
                <w:kern w:val="2"/>
                <w:sz w:val="24"/>
                <w:szCs w:val="24"/>
                <w:lang w:val="en-US" w:eastAsia="zh-CN" w:bidi="ar-SA"/>
              </w:rPr>
              <w:t>.0</w:t>
            </w:r>
          </w:p>
        </w:tc>
      </w:tr>
      <w:tr>
        <w:tblPrEx>
          <w:shd w:val="clear" w:color="auto" w:fill="auto"/>
          <w:tblCellMar>
            <w:top w:w="0" w:type="dxa"/>
            <w:left w:w="0" w:type="dxa"/>
            <w:bottom w:w="0" w:type="dxa"/>
            <w:right w:w="0" w:type="dxa"/>
          </w:tblCellMar>
        </w:tblPrEx>
        <w:trPr>
          <w:trHeight w:val="447"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7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2772"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47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在一年的服务期中</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（1）完成高院现场数据库运维；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（2）完成高院现场综合运维服务管理；</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（3）完成地市中院远程运维。</w:t>
            </w:r>
          </w:p>
        </w:tc>
        <w:tc>
          <w:tcPr>
            <w:tcW w:w="3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（1）完成高院现场数据库运维；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（2）完成22家地市中院远程运维；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（3）完成高院现场集中运维服务管理。</w:t>
            </w:r>
          </w:p>
        </w:tc>
      </w:tr>
      <w:tr>
        <w:tblPrEx>
          <w:shd w:val="clear" w:color="auto" w:fill="auto"/>
          <w:tblCellMar>
            <w:top w:w="0" w:type="dxa"/>
            <w:left w:w="0" w:type="dxa"/>
            <w:bottom w:w="0" w:type="dxa"/>
            <w:right w:w="0" w:type="dxa"/>
          </w:tblCellMar>
        </w:tblPrEx>
        <w:trPr>
          <w:trHeight w:val="664"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7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66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高院现场数据库日常维护</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365次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450</w:t>
            </w:r>
            <w:r>
              <w:rPr>
                <w:rFonts w:hint="eastAsia" w:ascii="宋体" w:hAnsi="宋体" w:eastAsia="宋体" w:cs="宋体"/>
                <w:spacing w:val="6"/>
                <w:kern w:val="2"/>
                <w:sz w:val="24"/>
                <w:szCs w:val="24"/>
                <w:lang w:val="en-US" w:eastAsia="zh-CN" w:bidi="ar-SA"/>
              </w:rPr>
              <w:t>次</w:t>
            </w:r>
          </w:p>
        </w:tc>
      </w:tr>
      <w:tr>
        <w:tblPrEx>
          <w:shd w:val="clear" w:color="auto" w:fill="auto"/>
          <w:tblCellMar>
            <w:top w:w="0" w:type="dxa"/>
            <w:left w:w="0" w:type="dxa"/>
            <w:bottom w:w="0" w:type="dxa"/>
            <w:right w:w="0" w:type="dxa"/>
          </w:tblCellMar>
        </w:tblPrEx>
        <w:trPr>
          <w:trHeight w:val="66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高院数据库应急故障处理</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4*12次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51</w:t>
            </w:r>
            <w:r>
              <w:rPr>
                <w:rFonts w:hint="eastAsia" w:ascii="宋体" w:hAnsi="宋体" w:eastAsia="宋体" w:cs="宋体"/>
                <w:spacing w:val="6"/>
                <w:kern w:val="2"/>
                <w:sz w:val="24"/>
                <w:szCs w:val="24"/>
                <w:lang w:val="en-US" w:eastAsia="zh-CN" w:bidi="ar-SA"/>
              </w:rPr>
              <w:t>次</w:t>
            </w:r>
          </w:p>
        </w:tc>
      </w:tr>
      <w:tr>
        <w:tblPrEx>
          <w:shd w:val="clear" w:color="auto" w:fill="auto"/>
          <w:tblCellMar>
            <w:top w:w="0" w:type="dxa"/>
            <w:left w:w="0" w:type="dxa"/>
            <w:bottom w:w="0" w:type="dxa"/>
            <w:right w:w="0" w:type="dxa"/>
          </w:tblCellMar>
        </w:tblPrEx>
        <w:trPr>
          <w:trHeight w:val="66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高院数据库定期备份任务</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4*12次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51</w:t>
            </w:r>
            <w:r>
              <w:rPr>
                <w:rFonts w:hint="eastAsia" w:ascii="宋体" w:hAnsi="宋体" w:eastAsia="宋体" w:cs="宋体"/>
                <w:spacing w:val="6"/>
                <w:kern w:val="2"/>
                <w:sz w:val="24"/>
                <w:szCs w:val="24"/>
                <w:lang w:val="en-US" w:eastAsia="zh-CN" w:bidi="ar-SA"/>
              </w:rPr>
              <w:t>次</w:t>
            </w:r>
          </w:p>
        </w:tc>
      </w:tr>
      <w:tr>
        <w:tblPrEx>
          <w:shd w:val="clear" w:color="auto" w:fill="auto"/>
          <w:tblCellMar>
            <w:top w:w="0" w:type="dxa"/>
            <w:left w:w="0" w:type="dxa"/>
            <w:bottom w:w="0" w:type="dxa"/>
            <w:right w:w="0" w:type="dxa"/>
          </w:tblCellMar>
        </w:tblPrEx>
        <w:trPr>
          <w:trHeight w:val="66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协助定期统计高院运维服务流程工单</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4*12次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48</w:t>
            </w:r>
            <w:r>
              <w:rPr>
                <w:rFonts w:hint="eastAsia" w:ascii="宋体" w:hAnsi="宋体" w:eastAsia="宋体" w:cs="宋体"/>
                <w:spacing w:val="6"/>
                <w:kern w:val="2"/>
                <w:sz w:val="24"/>
                <w:szCs w:val="24"/>
                <w:lang w:val="en-US" w:eastAsia="zh-CN" w:bidi="ar-SA"/>
              </w:rPr>
              <w:t>次</w:t>
            </w:r>
          </w:p>
        </w:tc>
      </w:tr>
      <w:tr>
        <w:tblPrEx>
          <w:shd w:val="clear" w:color="auto" w:fill="auto"/>
          <w:tblCellMar>
            <w:top w:w="0" w:type="dxa"/>
            <w:left w:w="0" w:type="dxa"/>
            <w:bottom w:w="0" w:type="dxa"/>
            <w:right w:w="0" w:type="dxa"/>
          </w:tblCellMar>
        </w:tblPrEx>
        <w:trPr>
          <w:trHeight w:val="66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协助定期高院集中运维服务质量管理</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4*12次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48</w:t>
            </w:r>
            <w:r>
              <w:rPr>
                <w:rFonts w:hint="eastAsia" w:ascii="宋体" w:hAnsi="宋体" w:eastAsia="宋体" w:cs="宋体"/>
                <w:spacing w:val="6"/>
                <w:kern w:val="2"/>
                <w:sz w:val="24"/>
                <w:szCs w:val="24"/>
                <w:lang w:val="en-US" w:eastAsia="zh-CN" w:bidi="ar-SA"/>
              </w:rPr>
              <w:t>次</w:t>
            </w:r>
          </w:p>
        </w:tc>
      </w:tr>
      <w:tr>
        <w:tblPrEx>
          <w:shd w:val="clear" w:color="auto" w:fill="auto"/>
          <w:tblCellMar>
            <w:top w:w="0" w:type="dxa"/>
            <w:left w:w="0" w:type="dxa"/>
            <w:bottom w:w="0" w:type="dxa"/>
            <w:right w:w="0" w:type="dxa"/>
          </w:tblCellMar>
        </w:tblPrEx>
        <w:trPr>
          <w:trHeight w:val="66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中院数据库日常维护</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365次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470</w:t>
            </w:r>
            <w:r>
              <w:rPr>
                <w:rFonts w:hint="eastAsia" w:ascii="宋体" w:hAnsi="宋体" w:eastAsia="宋体" w:cs="宋体"/>
                <w:spacing w:val="6"/>
                <w:kern w:val="2"/>
                <w:sz w:val="24"/>
                <w:szCs w:val="24"/>
                <w:lang w:val="en-US" w:eastAsia="zh-CN" w:bidi="ar-SA"/>
              </w:rPr>
              <w:t>次</w:t>
            </w:r>
          </w:p>
        </w:tc>
      </w:tr>
      <w:tr>
        <w:tblPrEx>
          <w:shd w:val="clear" w:color="auto" w:fill="auto"/>
          <w:tblCellMar>
            <w:top w:w="0" w:type="dxa"/>
            <w:left w:w="0" w:type="dxa"/>
            <w:bottom w:w="0" w:type="dxa"/>
            <w:right w:w="0" w:type="dxa"/>
          </w:tblCellMar>
        </w:tblPrEx>
        <w:trPr>
          <w:trHeight w:val="66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22个中院数据库月度健康检查</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12*22次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264</w:t>
            </w:r>
            <w:r>
              <w:rPr>
                <w:rFonts w:hint="eastAsia" w:ascii="宋体" w:hAnsi="宋体" w:eastAsia="宋体" w:cs="宋体"/>
                <w:spacing w:val="6"/>
                <w:kern w:val="2"/>
                <w:sz w:val="24"/>
                <w:szCs w:val="24"/>
                <w:lang w:val="en-US" w:eastAsia="zh-CN" w:bidi="ar-SA"/>
              </w:rPr>
              <w:t>次</w:t>
            </w:r>
          </w:p>
        </w:tc>
      </w:tr>
      <w:tr>
        <w:tblPrEx>
          <w:shd w:val="clear" w:color="auto" w:fill="auto"/>
          <w:tblCellMar>
            <w:top w:w="0" w:type="dxa"/>
            <w:left w:w="0" w:type="dxa"/>
            <w:bottom w:w="0" w:type="dxa"/>
            <w:right w:w="0" w:type="dxa"/>
          </w:tblCellMar>
        </w:tblPrEx>
        <w:trPr>
          <w:trHeight w:val="66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22个中院数据库应急故障处理</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4*22次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110</w:t>
            </w:r>
            <w:r>
              <w:rPr>
                <w:rFonts w:hint="eastAsia" w:ascii="宋体" w:hAnsi="宋体" w:eastAsia="宋体" w:cs="宋体"/>
                <w:spacing w:val="6"/>
                <w:kern w:val="2"/>
                <w:sz w:val="24"/>
                <w:szCs w:val="24"/>
                <w:lang w:val="en-US" w:eastAsia="zh-CN" w:bidi="ar-SA"/>
              </w:rPr>
              <w:t>次</w:t>
            </w:r>
          </w:p>
        </w:tc>
      </w:tr>
      <w:tr>
        <w:tblPrEx>
          <w:shd w:val="clear" w:color="auto" w:fill="auto"/>
          <w:tblCellMar>
            <w:top w:w="0" w:type="dxa"/>
            <w:left w:w="0" w:type="dxa"/>
            <w:bottom w:w="0" w:type="dxa"/>
            <w:right w:w="0" w:type="dxa"/>
          </w:tblCellMar>
        </w:tblPrEx>
        <w:trPr>
          <w:trHeight w:val="66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高院数据库服务器系统CPU负载</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80%以下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w:t>
            </w:r>
          </w:p>
        </w:tc>
      </w:tr>
      <w:tr>
        <w:tblPrEx>
          <w:shd w:val="clear" w:color="auto" w:fill="auto"/>
          <w:tblCellMar>
            <w:top w:w="0" w:type="dxa"/>
            <w:left w:w="0" w:type="dxa"/>
            <w:bottom w:w="0" w:type="dxa"/>
            <w:right w:w="0" w:type="dxa"/>
          </w:tblCellMar>
        </w:tblPrEx>
        <w:trPr>
          <w:trHeight w:val="66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中院数据库服务器系统CPU负载</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80%以下</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w:t>
            </w:r>
          </w:p>
        </w:tc>
      </w:tr>
      <w:tr>
        <w:tblPrEx>
          <w:shd w:val="clear" w:color="auto" w:fill="auto"/>
          <w:tblCellMar>
            <w:top w:w="0" w:type="dxa"/>
            <w:left w:w="0" w:type="dxa"/>
            <w:bottom w:w="0" w:type="dxa"/>
            <w:right w:w="0" w:type="dxa"/>
          </w:tblCellMar>
        </w:tblPrEx>
        <w:trPr>
          <w:trHeight w:val="66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全省数据库运维完成时间</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w:t>
            </w:r>
            <w:r>
              <w:rPr>
                <w:rFonts w:hint="eastAsia" w:ascii="宋体" w:hAnsi="宋体" w:eastAsia="宋体" w:cs="宋体"/>
                <w:spacing w:val="6"/>
                <w:kern w:val="2"/>
                <w:sz w:val="24"/>
                <w:szCs w:val="24"/>
                <w:lang w:val="en-US" w:eastAsia="zh-CN" w:bidi="ar-SA"/>
              </w:rPr>
              <w:t>年</w:t>
            </w:r>
            <w:r>
              <w:rPr>
                <w:rFonts w:hint="default" w:ascii="宋体" w:hAnsi="宋体" w:eastAsia="宋体" w:cs="宋体"/>
                <w:spacing w:val="6"/>
                <w:kern w:val="2"/>
                <w:sz w:val="24"/>
                <w:szCs w:val="24"/>
                <w:lang w:val="en-US" w:eastAsia="zh-CN" w:bidi="ar-SA"/>
              </w:rPr>
              <w:t>12</w:t>
            </w:r>
            <w:r>
              <w:rPr>
                <w:rFonts w:hint="eastAsia" w:ascii="宋体" w:hAnsi="宋体" w:eastAsia="宋体" w:cs="宋体"/>
                <w:spacing w:val="6"/>
                <w:kern w:val="2"/>
                <w:sz w:val="24"/>
                <w:szCs w:val="24"/>
                <w:lang w:val="en-US" w:eastAsia="zh-CN" w:bidi="ar-SA"/>
              </w:rPr>
              <w:t>月</w:t>
            </w:r>
            <w:r>
              <w:rPr>
                <w:rFonts w:hint="default" w:ascii="宋体" w:hAnsi="宋体" w:eastAsia="宋体" w:cs="宋体"/>
                <w:spacing w:val="6"/>
                <w:kern w:val="2"/>
                <w:sz w:val="24"/>
                <w:szCs w:val="24"/>
                <w:lang w:val="en-US" w:eastAsia="zh-CN" w:bidi="ar-SA"/>
              </w:rPr>
              <w:t>31</w:t>
            </w:r>
            <w:r>
              <w:rPr>
                <w:rFonts w:hint="eastAsia" w:ascii="宋体" w:hAnsi="宋体" w:eastAsia="宋体" w:cs="宋体"/>
                <w:spacing w:val="6"/>
                <w:kern w:val="2"/>
                <w:sz w:val="24"/>
                <w:szCs w:val="24"/>
                <w:lang w:val="en-US" w:eastAsia="zh-CN" w:bidi="ar-SA"/>
              </w:rPr>
              <w:t>日前</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w:t>
            </w:r>
          </w:p>
        </w:tc>
      </w:tr>
      <w:tr>
        <w:tblPrEx>
          <w:shd w:val="clear" w:color="auto" w:fill="auto"/>
          <w:tblCellMar>
            <w:top w:w="0" w:type="dxa"/>
            <w:left w:w="0" w:type="dxa"/>
            <w:bottom w:w="0" w:type="dxa"/>
            <w:right w:w="0" w:type="dxa"/>
          </w:tblCellMar>
        </w:tblPrEx>
        <w:trPr>
          <w:trHeight w:val="983"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满足当前全省办公办案系统处理能力需求</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满足当前全省办公办案系统处理能力需求</w:t>
            </w:r>
          </w:p>
        </w:tc>
      </w:tr>
      <w:tr>
        <w:tblPrEx>
          <w:tblCellMar>
            <w:top w:w="0" w:type="dxa"/>
            <w:left w:w="0" w:type="dxa"/>
            <w:bottom w:w="0" w:type="dxa"/>
            <w:right w:w="0" w:type="dxa"/>
          </w:tblCellMar>
        </w:tblPrEx>
        <w:trPr>
          <w:trHeight w:val="591"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可持续影响年限</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r>
              <w:rPr>
                <w:rFonts w:hint="eastAsia" w:ascii="宋体" w:hAnsi="宋体" w:eastAsia="宋体" w:cs="宋体"/>
                <w:spacing w:val="6"/>
                <w:kern w:val="2"/>
                <w:sz w:val="24"/>
                <w:szCs w:val="24"/>
                <w:lang w:val="en-US" w:eastAsia="zh-CN" w:bidi="ar-SA"/>
              </w:rPr>
              <w:t>年</w:t>
            </w:r>
          </w:p>
        </w:tc>
      </w:tr>
      <w:tr>
        <w:tblPrEx>
          <w:tblCellMar>
            <w:top w:w="0" w:type="dxa"/>
            <w:left w:w="0" w:type="dxa"/>
            <w:bottom w:w="0" w:type="dxa"/>
            <w:right w:w="0" w:type="dxa"/>
          </w:tblCellMar>
        </w:tblPrEx>
        <w:trPr>
          <w:trHeight w:val="1633"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使用部门满意度</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98%</w:t>
            </w:r>
          </w:p>
        </w:tc>
      </w:tr>
    </w:tbl>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tbl>
      <w:tblPr>
        <w:tblStyle w:val="14"/>
        <w:tblW w:w="8719" w:type="dxa"/>
        <w:tblInd w:w="0" w:type="dxa"/>
        <w:shd w:val="clear" w:color="auto" w:fill="auto"/>
        <w:tblLayout w:type="autofit"/>
        <w:tblCellMar>
          <w:top w:w="0" w:type="dxa"/>
          <w:left w:w="0" w:type="dxa"/>
          <w:bottom w:w="0" w:type="dxa"/>
          <w:right w:w="0" w:type="dxa"/>
        </w:tblCellMar>
      </w:tblPr>
      <w:tblGrid>
        <w:gridCol w:w="720"/>
        <w:gridCol w:w="826"/>
        <w:gridCol w:w="950"/>
        <w:gridCol w:w="970"/>
        <w:gridCol w:w="1508"/>
        <w:gridCol w:w="1872"/>
        <w:gridCol w:w="1873"/>
      </w:tblGrid>
      <w:tr>
        <w:tblPrEx>
          <w:shd w:val="clear" w:color="auto" w:fill="auto"/>
          <w:tblCellMar>
            <w:top w:w="0" w:type="dxa"/>
            <w:left w:w="0" w:type="dxa"/>
            <w:bottom w:w="0" w:type="dxa"/>
            <w:right w:w="0" w:type="dxa"/>
          </w:tblCellMar>
        </w:tblPrEx>
        <w:trPr>
          <w:trHeight w:val="462"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邮寄送达外包服务项目</w:t>
            </w:r>
          </w:p>
        </w:tc>
      </w:tr>
      <w:tr>
        <w:tblPrEx>
          <w:shd w:val="clear" w:color="auto" w:fill="auto"/>
          <w:tblCellMar>
            <w:top w:w="0" w:type="dxa"/>
            <w:left w:w="0" w:type="dxa"/>
            <w:bottom w:w="0" w:type="dxa"/>
            <w:right w:w="0" w:type="dxa"/>
          </w:tblCellMar>
        </w:tblPrEx>
        <w:trPr>
          <w:trHeight w:val="646"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462" w:hRule="atLeast"/>
        </w:trPr>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115.0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114.08</w:t>
            </w:r>
          </w:p>
        </w:tc>
      </w:tr>
      <w:tr>
        <w:tblPrEx>
          <w:shd w:val="clear" w:color="auto" w:fill="auto"/>
          <w:tblCellMar>
            <w:top w:w="0" w:type="dxa"/>
            <w:left w:w="0" w:type="dxa"/>
            <w:bottom w:w="0" w:type="dxa"/>
            <w:right w:w="0" w:type="dxa"/>
          </w:tblCellMar>
        </w:tblPrEx>
        <w:trPr>
          <w:trHeight w:val="646"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115.0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114.08</w:t>
            </w:r>
          </w:p>
        </w:tc>
      </w:tr>
      <w:tr>
        <w:tblPrEx>
          <w:shd w:val="clear" w:color="auto" w:fill="auto"/>
          <w:tblCellMar>
            <w:top w:w="0" w:type="dxa"/>
            <w:left w:w="0" w:type="dxa"/>
            <w:bottom w:w="0" w:type="dxa"/>
            <w:right w:w="0" w:type="dxa"/>
          </w:tblCellMar>
        </w:tblPrEx>
        <w:trPr>
          <w:trHeight w:val="646" w:hRule="atLeast"/>
        </w:trPr>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r>
      <w:tr>
        <w:tblPrEx>
          <w:shd w:val="clear" w:color="auto" w:fill="auto"/>
          <w:tblCellMar>
            <w:top w:w="0" w:type="dxa"/>
            <w:left w:w="0" w:type="dxa"/>
            <w:bottom w:w="0" w:type="dxa"/>
            <w:right w:w="0" w:type="dxa"/>
          </w:tblCellMar>
        </w:tblPrEx>
        <w:trPr>
          <w:trHeight w:val="462"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4373"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根据最高院《关于建设一站式多元解纷机制、一站式诉讼服务中心的意见》相关规定，采取邮寄送达外包服务解决裁判文书及过程性文书日益增长的送达需求。</w:t>
            </w:r>
          </w:p>
        </w:tc>
        <w:tc>
          <w:tcPr>
            <w:tcW w:w="3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江苏新视云科技股份有限公司作为辅助外包的服务商，将送达事务性辅助工作进行了服务外包，并通过提供“一站式”“集约化”的司法辅助送达服务的创新形式，以期大幅降低法官和书记员的送达相关工作量，提升整体审判工作的效率，降低人力物力的消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2.使用邮寄送达外包服务后，送达流程有效完善，减少了送达难、送达乱的问题；</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3.庭前文书送达降低至4.28天；裁判文书送达降低至7.78天。</w:t>
            </w:r>
          </w:p>
        </w:tc>
      </w:tr>
      <w:tr>
        <w:tblPrEx>
          <w:shd w:val="clear" w:color="auto" w:fill="auto"/>
          <w:tblCellMar>
            <w:top w:w="0" w:type="dxa"/>
            <w:left w:w="0" w:type="dxa"/>
            <w:bottom w:w="0" w:type="dxa"/>
            <w:right w:w="0" w:type="dxa"/>
          </w:tblCellMar>
        </w:tblPrEx>
        <w:trPr>
          <w:trHeight w:val="646"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64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案件送达数量</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1.5万件</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17184件</w:t>
            </w:r>
          </w:p>
        </w:tc>
      </w:tr>
      <w:tr>
        <w:tblPrEx>
          <w:shd w:val="clear" w:color="auto" w:fill="auto"/>
          <w:tblCellMar>
            <w:top w:w="0" w:type="dxa"/>
            <w:left w:w="0" w:type="dxa"/>
            <w:bottom w:w="0" w:type="dxa"/>
            <w:right w:w="0" w:type="dxa"/>
          </w:tblCellMar>
        </w:tblPrEx>
        <w:trPr>
          <w:trHeight w:val="64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庭前文书电子送达占比</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60%</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69.42%</w:t>
            </w:r>
          </w:p>
        </w:tc>
      </w:tr>
      <w:tr>
        <w:tblPrEx>
          <w:shd w:val="clear" w:color="auto" w:fill="auto"/>
          <w:tblCellMar>
            <w:top w:w="0" w:type="dxa"/>
            <w:left w:w="0" w:type="dxa"/>
            <w:bottom w:w="0" w:type="dxa"/>
            <w:right w:w="0" w:type="dxa"/>
          </w:tblCellMar>
        </w:tblPrEx>
        <w:trPr>
          <w:trHeight w:val="95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庭前文书窗口送达占比</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1.54%</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（该指标低，表明质效越高）</w:t>
            </w:r>
          </w:p>
        </w:tc>
      </w:tr>
      <w:tr>
        <w:tblPrEx>
          <w:shd w:val="clear" w:color="auto" w:fill="auto"/>
          <w:tblCellMar>
            <w:top w:w="0" w:type="dxa"/>
            <w:left w:w="0" w:type="dxa"/>
            <w:bottom w:w="0" w:type="dxa"/>
            <w:right w:w="0" w:type="dxa"/>
          </w:tblCellMar>
        </w:tblPrEx>
        <w:trPr>
          <w:trHeight w:val="95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庭前文书邮寄送达占比</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30%</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29.04%</w:t>
            </w:r>
            <w:r>
              <w:rPr>
                <w:rFonts w:hint="default"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（该指标低，表明质效越高）</w:t>
            </w:r>
          </w:p>
        </w:tc>
      </w:tr>
      <w:tr>
        <w:tblPrEx>
          <w:shd w:val="clear" w:color="auto" w:fill="auto"/>
          <w:tblCellMar>
            <w:top w:w="0" w:type="dxa"/>
            <w:left w:w="0" w:type="dxa"/>
            <w:bottom w:w="0" w:type="dxa"/>
            <w:right w:w="0" w:type="dxa"/>
          </w:tblCellMar>
        </w:tblPrEx>
        <w:trPr>
          <w:trHeight w:val="64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项目完成时间</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r>
      <w:tr>
        <w:tblPrEx>
          <w:shd w:val="clear" w:color="auto" w:fill="auto"/>
          <w:tblCellMar>
            <w:top w:w="0" w:type="dxa"/>
            <w:left w:w="0" w:type="dxa"/>
            <w:bottom w:w="0" w:type="dxa"/>
            <w:right w:w="0" w:type="dxa"/>
          </w:tblCellMar>
        </w:tblPrEx>
        <w:trPr>
          <w:trHeight w:val="157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选择时效</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庭前文书送达：接收后3日内开展送达。窗口送达当事人超期2日未领取额的，在1个工作日内转邮寄送达。</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庭前文书送达：接收后当日开展送达。窗口送达当事人超期2日未领取额的，再次电话通知，若选择邮寄，在1个工作日内转邮寄送达。</w:t>
            </w:r>
          </w:p>
        </w:tc>
      </w:tr>
      <w:tr>
        <w:tblPrEx>
          <w:shd w:val="clear" w:color="auto" w:fill="auto"/>
          <w:tblCellMar>
            <w:top w:w="0" w:type="dxa"/>
            <w:left w:w="0" w:type="dxa"/>
            <w:bottom w:w="0" w:type="dxa"/>
            <w:right w:w="0" w:type="dxa"/>
          </w:tblCellMar>
        </w:tblPrEx>
        <w:trPr>
          <w:trHeight w:val="251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大幅度降低邮寄送达、外出送达成本，同时解决裁判文书及过程性文书日益增长的送达需求。</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大幅降低了邮寄送达、直接送达成本，提高了送达效率。截止2021年12月31日庭前文书送达平均天数降低至4.28天.</w:t>
            </w:r>
          </w:p>
        </w:tc>
      </w:tr>
      <w:tr>
        <w:tblPrEx>
          <w:shd w:val="clear" w:color="auto" w:fill="auto"/>
          <w:tblCellMar>
            <w:top w:w="0" w:type="dxa"/>
            <w:left w:w="0" w:type="dxa"/>
            <w:bottom w:w="0" w:type="dxa"/>
            <w:right w:w="0" w:type="dxa"/>
          </w:tblCellMar>
        </w:tblPrEx>
        <w:trPr>
          <w:trHeight w:val="95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持续影响时间</w:t>
            </w:r>
          </w:p>
        </w:tc>
        <w:tc>
          <w:tcPr>
            <w:tcW w:w="187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3年（1年1签，每年进行考核，考核通过续签）</w:t>
            </w:r>
          </w:p>
        </w:tc>
      </w:tr>
      <w:tr>
        <w:tblPrEx>
          <w:tblCellMar>
            <w:top w:w="0" w:type="dxa"/>
            <w:left w:w="0" w:type="dxa"/>
            <w:bottom w:w="0" w:type="dxa"/>
            <w:right w:w="0" w:type="dxa"/>
          </w:tblCellMar>
        </w:tblPrEx>
        <w:trPr>
          <w:trHeight w:val="158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使用部门满意度</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18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r>
    </w:tbl>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tbl>
      <w:tblPr>
        <w:tblStyle w:val="14"/>
        <w:tblW w:w="8779" w:type="dxa"/>
        <w:tblInd w:w="0" w:type="dxa"/>
        <w:shd w:val="clear" w:color="auto" w:fill="auto"/>
        <w:tblLayout w:type="autofit"/>
        <w:tblCellMar>
          <w:top w:w="0" w:type="dxa"/>
          <w:left w:w="0" w:type="dxa"/>
          <w:bottom w:w="0" w:type="dxa"/>
          <w:right w:w="0" w:type="dxa"/>
        </w:tblCellMar>
      </w:tblPr>
      <w:tblGrid>
        <w:gridCol w:w="724"/>
        <w:gridCol w:w="832"/>
        <w:gridCol w:w="957"/>
        <w:gridCol w:w="977"/>
        <w:gridCol w:w="1518"/>
        <w:gridCol w:w="1885"/>
        <w:gridCol w:w="1886"/>
      </w:tblGrid>
      <w:tr>
        <w:tblPrEx>
          <w:shd w:val="clear" w:color="auto" w:fill="auto"/>
          <w:tblCellMar>
            <w:top w:w="0" w:type="dxa"/>
            <w:left w:w="0" w:type="dxa"/>
            <w:bottom w:w="0" w:type="dxa"/>
            <w:right w:w="0" w:type="dxa"/>
          </w:tblCellMar>
        </w:tblPrEx>
        <w:trPr>
          <w:trHeight w:val="477" w:hRule="atLeast"/>
        </w:trPr>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2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档案扫描外包项目</w:t>
            </w:r>
          </w:p>
        </w:tc>
      </w:tr>
      <w:tr>
        <w:tblPrEx>
          <w:shd w:val="clear" w:color="auto" w:fill="auto"/>
          <w:tblCellMar>
            <w:top w:w="0" w:type="dxa"/>
            <w:left w:w="0" w:type="dxa"/>
            <w:bottom w:w="0" w:type="dxa"/>
            <w:right w:w="0" w:type="dxa"/>
          </w:tblCellMar>
        </w:tblPrEx>
        <w:trPr>
          <w:trHeight w:val="477" w:hRule="atLeast"/>
        </w:trPr>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477" w:hRule="atLeast"/>
        </w:trPr>
        <w:tc>
          <w:tcPr>
            <w:tcW w:w="15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112.0</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112.0</w:t>
            </w:r>
          </w:p>
        </w:tc>
      </w:tr>
      <w:tr>
        <w:tblPrEx>
          <w:shd w:val="clear" w:color="auto" w:fill="auto"/>
          <w:tblCellMar>
            <w:top w:w="0" w:type="dxa"/>
            <w:left w:w="0" w:type="dxa"/>
            <w:bottom w:w="0" w:type="dxa"/>
            <w:right w:w="0" w:type="dxa"/>
          </w:tblCellMar>
        </w:tblPrEx>
        <w:trPr>
          <w:trHeight w:val="477" w:hRule="atLeast"/>
        </w:trPr>
        <w:tc>
          <w:tcPr>
            <w:tcW w:w="15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112.0</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112.0</w:t>
            </w:r>
          </w:p>
        </w:tc>
      </w:tr>
      <w:tr>
        <w:tblPrEx>
          <w:shd w:val="clear" w:color="auto" w:fill="auto"/>
          <w:tblCellMar>
            <w:top w:w="0" w:type="dxa"/>
            <w:left w:w="0" w:type="dxa"/>
            <w:bottom w:w="0" w:type="dxa"/>
            <w:right w:w="0" w:type="dxa"/>
          </w:tblCellMar>
        </w:tblPrEx>
        <w:trPr>
          <w:trHeight w:val="477" w:hRule="atLeast"/>
        </w:trPr>
        <w:tc>
          <w:tcPr>
            <w:tcW w:w="15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1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r>
      <w:tr>
        <w:tblPrEx>
          <w:shd w:val="clear" w:color="auto" w:fill="auto"/>
          <w:tblCellMar>
            <w:top w:w="0" w:type="dxa"/>
            <w:left w:w="0" w:type="dxa"/>
            <w:bottom w:w="0" w:type="dxa"/>
            <w:right w:w="0" w:type="dxa"/>
          </w:tblCellMar>
        </w:tblPrEx>
        <w:trPr>
          <w:trHeight w:val="477"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4518"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（1）通过过程卷同步生成服务，使案件的立案材料在法院办案系统的过程卷中同步生成，达到方便办案法官阅览电子卷宗的目旳。</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（2）建设新收档案数字化加工服务，使人民法院案件卷宗完全电子化、数字化，达到四川省高级人民法院电子档案归档要求。</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3）为推进结案标准规范化工作，解决补充档案的扫描归档，按照相关文件规定，需完成所有补充档案的补录工作。通过补充档案数字化加工服务，将之前未数字化加工的案件，进行档案数字化补充加工，使四川省高级人民法院档案全部电子化、数字化。</w:t>
            </w:r>
          </w:p>
        </w:tc>
        <w:tc>
          <w:tcPr>
            <w:tcW w:w="37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（1）已通过过程卷同步生成服务，使案件的立案材料在法院办案系统的过程卷中同步生成，达到方便办案法官阅览电子卷宗的目旳。</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（2）建设新收档案数字化加工服务，使人民法院案件卷宗完全电子化、数字化，达到四川省高级人民法院电子档案归档要求。</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3）为推进结案标准规范化工作，解决补充档案的扫描归档，按照相关文件规定，需完成所有补充档案的补录工作。通过补充档案数字化加工服务，将之前未数字化加工的案件，进行档案数字化补充加工，使四川省高级人民法院档案全部电子化、数字化。</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（4）由于2021年涉及集中归档时间阶段，于1月-2月临时增派派3人，10月临时增派5人协助集中扫描归档等工作。</w:t>
            </w:r>
          </w:p>
        </w:tc>
      </w:tr>
      <w:tr>
        <w:tblPrEx>
          <w:tblCellMar>
            <w:top w:w="0" w:type="dxa"/>
            <w:left w:w="0" w:type="dxa"/>
            <w:bottom w:w="0" w:type="dxa"/>
            <w:right w:w="0" w:type="dxa"/>
          </w:tblCellMar>
        </w:tblPrEx>
        <w:trPr>
          <w:trHeight w:val="477"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519"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完成2021年新收案件的扫描</w:t>
            </w:r>
          </w:p>
        </w:tc>
        <w:tc>
          <w:tcPr>
            <w:tcW w:w="1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20000件</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22986件</w:t>
            </w:r>
          </w:p>
        </w:tc>
      </w:tr>
      <w:tr>
        <w:tblPrEx>
          <w:shd w:val="clear" w:color="auto" w:fill="auto"/>
          <w:tblCellMar>
            <w:top w:w="0" w:type="dxa"/>
            <w:left w:w="0" w:type="dxa"/>
            <w:bottom w:w="0" w:type="dxa"/>
            <w:right w:w="0" w:type="dxa"/>
          </w:tblCellMar>
        </w:tblPrEx>
        <w:trPr>
          <w:trHeight w:val="519"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案卷扫描规范率</w:t>
            </w:r>
          </w:p>
        </w:tc>
        <w:tc>
          <w:tcPr>
            <w:tcW w:w="1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95%</w:t>
            </w:r>
          </w:p>
        </w:tc>
      </w:tr>
      <w:tr>
        <w:tblPrEx>
          <w:shd w:val="clear" w:color="auto" w:fill="auto"/>
          <w:tblCellMar>
            <w:top w:w="0" w:type="dxa"/>
            <w:left w:w="0" w:type="dxa"/>
            <w:bottom w:w="0" w:type="dxa"/>
            <w:right w:w="0" w:type="dxa"/>
          </w:tblCellMar>
        </w:tblPrEx>
        <w:trPr>
          <w:trHeight w:val="519"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案卷归档规范率</w:t>
            </w:r>
          </w:p>
        </w:tc>
        <w:tc>
          <w:tcPr>
            <w:tcW w:w="1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95%</w:t>
            </w:r>
          </w:p>
        </w:tc>
      </w:tr>
      <w:tr>
        <w:tblPrEx>
          <w:tblCellMar>
            <w:top w:w="0" w:type="dxa"/>
            <w:left w:w="0" w:type="dxa"/>
            <w:bottom w:w="0" w:type="dxa"/>
            <w:right w:w="0" w:type="dxa"/>
          </w:tblCellMar>
        </w:tblPrEx>
        <w:trPr>
          <w:trHeight w:val="519"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完成时间</w:t>
            </w:r>
          </w:p>
        </w:tc>
        <w:tc>
          <w:tcPr>
            <w:tcW w:w="1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2021年</w:t>
            </w:r>
            <w:r>
              <w:rPr>
                <w:rFonts w:hint="default" w:ascii="宋体" w:hAnsi="宋体" w:eastAsia="宋体" w:cs="宋体"/>
                <w:spacing w:val="6"/>
                <w:kern w:val="2"/>
                <w:sz w:val="24"/>
                <w:szCs w:val="24"/>
                <w:lang w:val="en-US" w:eastAsia="zh-CN" w:bidi="ar-SA"/>
              </w:rPr>
              <w:t>12</w:t>
            </w:r>
            <w:r>
              <w:rPr>
                <w:rFonts w:hint="eastAsia" w:ascii="宋体" w:hAnsi="宋体" w:eastAsia="宋体" w:cs="宋体"/>
                <w:spacing w:val="6"/>
                <w:kern w:val="2"/>
                <w:sz w:val="24"/>
                <w:szCs w:val="24"/>
                <w:lang w:val="en-US" w:eastAsia="zh-CN" w:bidi="ar-SA"/>
              </w:rPr>
              <w:t>月</w:t>
            </w:r>
            <w:r>
              <w:rPr>
                <w:rFonts w:hint="default" w:ascii="宋体" w:hAnsi="宋体" w:eastAsia="宋体" w:cs="宋体"/>
                <w:spacing w:val="6"/>
                <w:kern w:val="2"/>
                <w:sz w:val="24"/>
                <w:szCs w:val="24"/>
                <w:lang w:val="en-US" w:eastAsia="zh-CN" w:bidi="ar-SA"/>
              </w:rPr>
              <w:t>31</w:t>
            </w:r>
            <w:r>
              <w:rPr>
                <w:rFonts w:hint="eastAsia" w:ascii="宋体" w:hAnsi="宋体" w:eastAsia="宋体" w:cs="宋体"/>
                <w:spacing w:val="6"/>
                <w:kern w:val="2"/>
                <w:sz w:val="24"/>
                <w:szCs w:val="24"/>
                <w:lang w:val="en-US" w:eastAsia="zh-CN" w:bidi="ar-SA"/>
              </w:rPr>
              <w:t>日前</w:t>
            </w:r>
          </w:p>
        </w:tc>
      </w:tr>
      <w:tr>
        <w:tblPrEx>
          <w:tblCellMar>
            <w:top w:w="0" w:type="dxa"/>
            <w:left w:w="0" w:type="dxa"/>
            <w:bottom w:w="0" w:type="dxa"/>
            <w:right w:w="0" w:type="dxa"/>
          </w:tblCellMar>
        </w:tblPrEx>
        <w:trPr>
          <w:trHeight w:val="1309"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规范卷宗电子材料的生成，便于卷宗材料网上流转；整理案卷归档，有效保存工作资料，方便档案查询</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规范卷宗电子材料的生成，便于卷宗材料网上流转；整理案卷归档，有效保存工作资料，方便档案查询</w:t>
            </w:r>
          </w:p>
        </w:tc>
      </w:tr>
      <w:tr>
        <w:tblPrEx>
          <w:shd w:val="clear" w:color="auto" w:fill="auto"/>
          <w:tblCellMar>
            <w:top w:w="0" w:type="dxa"/>
            <w:left w:w="0" w:type="dxa"/>
            <w:bottom w:w="0" w:type="dxa"/>
            <w:right w:w="0" w:type="dxa"/>
          </w:tblCellMar>
        </w:tblPrEx>
        <w:trPr>
          <w:trHeight w:val="519"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档案使用年限</w:t>
            </w:r>
          </w:p>
        </w:tc>
        <w:tc>
          <w:tcPr>
            <w:tcW w:w="1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电子档案永久保存、使用</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电子档案永久保存、使用</w:t>
            </w:r>
          </w:p>
        </w:tc>
      </w:tr>
      <w:tr>
        <w:tblPrEx>
          <w:shd w:val="clear" w:color="auto" w:fill="auto"/>
          <w:tblCellMar>
            <w:top w:w="0" w:type="dxa"/>
            <w:left w:w="0" w:type="dxa"/>
            <w:bottom w:w="0" w:type="dxa"/>
            <w:right w:w="0" w:type="dxa"/>
          </w:tblCellMar>
        </w:tblPrEx>
        <w:trPr>
          <w:trHeight w:val="164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使用部门满意度</w:t>
            </w:r>
          </w:p>
        </w:tc>
        <w:tc>
          <w:tcPr>
            <w:tcW w:w="1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95%</w:t>
            </w:r>
          </w:p>
        </w:tc>
      </w:tr>
    </w:tbl>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tbl>
      <w:tblPr>
        <w:tblStyle w:val="14"/>
        <w:tblW w:w="8739" w:type="dxa"/>
        <w:tblInd w:w="0" w:type="dxa"/>
        <w:shd w:val="clear" w:color="auto" w:fill="auto"/>
        <w:tblLayout w:type="autofit"/>
        <w:tblCellMar>
          <w:top w:w="0" w:type="dxa"/>
          <w:left w:w="0" w:type="dxa"/>
          <w:bottom w:w="0" w:type="dxa"/>
          <w:right w:w="0" w:type="dxa"/>
        </w:tblCellMar>
      </w:tblPr>
      <w:tblGrid>
        <w:gridCol w:w="721"/>
        <w:gridCol w:w="828"/>
        <w:gridCol w:w="952"/>
        <w:gridCol w:w="973"/>
        <w:gridCol w:w="1511"/>
        <w:gridCol w:w="1877"/>
        <w:gridCol w:w="1877"/>
      </w:tblGrid>
      <w:tr>
        <w:tblPrEx>
          <w:shd w:val="clear" w:color="auto" w:fill="auto"/>
          <w:tblCellMar>
            <w:top w:w="0" w:type="dxa"/>
            <w:left w:w="0" w:type="dxa"/>
            <w:bottom w:w="0" w:type="dxa"/>
            <w:right w:w="0" w:type="dxa"/>
          </w:tblCellMar>
        </w:tblPrEx>
        <w:trPr>
          <w:trHeight w:val="564"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人民法院“六专四室”建设</w:t>
            </w:r>
          </w:p>
        </w:tc>
      </w:tr>
      <w:tr>
        <w:tblPrEx>
          <w:shd w:val="clear" w:color="auto" w:fill="auto"/>
          <w:tblCellMar>
            <w:top w:w="0" w:type="dxa"/>
            <w:left w:w="0" w:type="dxa"/>
            <w:bottom w:w="0" w:type="dxa"/>
            <w:right w:w="0" w:type="dxa"/>
          </w:tblCellMar>
        </w:tblPrEx>
        <w:trPr>
          <w:trHeight w:val="670"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564" w:hRule="atLeast"/>
        </w:trPr>
        <w:tc>
          <w:tcPr>
            <w:tcW w:w="1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110.89</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68.58</w:t>
            </w:r>
          </w:p>
        </w:tc>
      </w:tr>
      <w:tr>
        <w:tblPrEx>
          <w:shd w:val="clear" w:color="auto" w:fill="auto"/>
          <w:tblCellMar>
            <w:top w:w="0" w:type="dxa"/>
            <w:left w:w="0" w:type="dxa"/>
            <w:bottom w:w="0" w:type="dxa"/>
            <w:right w:w="0" w:type="dxa"/>
          </w:tblCellMar>
        </w:tblPrEx>
        <w:trPr>
          <w:trHeight w:val="670"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w:t>
            </w:r>
            <w:r>
              <w:rPr>
                <w:rFonts w:hint="eastAsia" w:ascii="宋体" w:hAnsi="宋体" w:cs="宋体"/>
                <w:spacing w:val="6"/>
                <w:kern w:val="2"/>
                <w:sz w:val="24"/>
                <w:szCs w:val="24"/>
                <w:lang w:val="en-US" w:eastAsia="zh-CN" w:bidi="ar-SA"/>
              </w:rPr>
              <w:t>.0</w:t>
            </w:r>
          </w:p>
        </w:tc>
      </w:tr>
      <w:tr>
        <w:tblPrEx>
          <w:shd w:val="clear" w:color="auto" w:fill="auto"/>
          <w:tblCellMar>
            <w:top w:w="0" w:type="dxa"/>
            <w:left w:w="0" w:type="dxa"/>
            <w:bottom w:w="0" w:type="dxa"/>
            <w:right w:w="0" w:type="dxa"/>
          </w:tblCellMar>
        </w:tblPrEx>
        <w:trPr>
          <w:trHeight w:val="670"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110.89</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68.58</w:t>
            </w:r>
          </w:p>
        </w:tc>
      </w:tr>
      <w:tr>
        <w:tblPrEx>
          <w:shd w:val="clear" w:color="auto" w:fill="auto"/>
          <w:tblCellMar>
            <w:top w:w="0" w:type="dxa"/>
            <w:left w:w="0" w:type="dxa"/>
            <w:bottom w:w="0" w:type="dxa"/>
            <w:right w:w="0" w:type="dxa"/>
          </w:tblCellMar>
        </w:tblPrEx>
        <w:trPr>
          <w:trHeight w:val="564"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321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根据最高人民法院关于人民法院“六专四室”的建设规范要求，配置囚车、改造羁押场所以及信息化监控建设。</w:t>
            </w:r>
          </w:p>
        </w:tc>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已按照所署报告完成配置囚车、改造专用车库隔断门以及专用囚车相关信息化改造部分建设。</w:t>
            </w:r>
          </w:p>
        </w:tc>
      </w:tr>
      <w:tr>
        <w:tblPrEx>
          <w:shd w:val="clear" w:color="auto" w:fill="auto"/>
          <w:tblCellMar>
            <w:top w:w="0" w:type="dxa"/>
            <w:left w:w="0" w:type="dxa"/>
            <w:bottom w:w="0" w:type="dxa"/>
            <w:right w:w="0" w:type="dxa"/>
          </w:tblCellMar>
        </w:tblPrEx>
        <w:trPr>
          <w:trHeight w:val="670"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61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购置囚车数量</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r>
      <w:tr>
        <w:tblPrEx>
          <w:tblCellMar>
            <w:top w:w="0" w:type="dxa"/>
            <w:left w:w="0" w:type="dxa"/>
            <w:bottom w:w="0" w:type="dxa"/>
            <w:right w:w="0" w:type="dxa"/>
          </w:tblCellMar>
        </w:tblPrEx>
        <w:trPr>
          <w:trHeight w:val="61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改装囚车数量</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w:t>
            </w:r>
          </w:p>
        </w:tc>
      </w:tr>
      <w:tr>
        <w:tblPrEx>
          <w:shd w:val="clear" w:color="auto" w:fill="auto"/>
          <w:tblCellMar>
            <w:top w:w="0" w:type="dxa"/>
            <w:left w:w="0" w:type="dxa"/>
            <w:bottom w:w="0" w:type="dxa"/>
            <w:right w:w="0" w:type="dxa"/>
          </w:tblCellMar>
        </w:tblPrEx>
        <w:trPr>
          <w:trHeight w:val="61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信息化建设项</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w:t>
            </w:r>
          </w:p>
        </w:tc>
      </w:tr>
      <w:tr>
        <w:tblPrEx>
          <w:tblCellMar>
            <w:top w:w="0" w:type="dxa"/>
            <w:left w:w="0" w:type="dxa"/>
            <w:bottom w:w="0" w:type="dxa"/>
            <w:right w:w="0" w:type="dxa"/>
          </w:tblCellMar>
        </w:tblPrEx>
        <w:trPr>
          <w:trHeight w:val="99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改造质量</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符合最高院相关规定和合同约定标准</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符合最高院相关规定和合同约定标准</w:t>
            </w:r>
          </w:p>
        </w:tc>
      </w:tr>
      <w:tr>
        <w:tblPrEx>
          <w:tblCellMar>
            <w:top w:w="0" w:type="dxa"/>
            <w:left w:w="0" w:type="dxa"/>
            <w:bottom w:w="0" w:type="dxa"/>
            <w:right w:w="0" w:type="dxa"/>
          </w:tblCellMar>
        </w:tblPrEx>
        <w:trPr>
          <w:trHeight w:val="670"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完成时间</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w:t>
            </w:r>
            <w:r>
              <w:rPr>
                <w:rFonts w:hint="eastAsia" w:ascii="宋体" w:hAnsi="宋体" w:eastAsia="宋体" w:cs="宋体"/>
                <w:spacing w:val="6"/>
                <w:kern w:val="2"/>
                <w:sz w:val="24"/>
                <w:szCs w:val="24"/>
                <w:lang w:val="en-US" w:eastAsia="zh-CN" w:bidi="ar-SA"/>
              </w:rPr>
              <w:t>年</w:t>
            </w:r>
            <w:r>
              <w:rPr>
                <w:rFonts w:hint="default" w:ascii="宋体" w:hAnsi="宋体" w:eastAsia="宋体" w:cs="宋体"/>
                <w:spacing w:val="6"/>
                <w:kern w:val="2"/>
                <w:sz w:val="24"/>
                <w:szCs w:val="24"/>
                <w:lang w:val="en-US" w:eastAsia="zh-CN" w:bidi="ar-SA"/>
              </w:rPr>
              <w:t>12</w:t>
            </w:r>
            <w:r>
              <w:rPr>
                <w:rFonts w:hint="eastAsia" w:ascii="宋体" w:hAnsi="宋体" w:eastAsia="宋体" w:cs="宋体"/>
                <w:spacing w:val="6"/>
                <w:kern w:val="2"/>
                <w:sz w:val="24"/>
                <w:szCs w:val="24"/>
                <w:lang w:val="en-US" w:eastAsia="zh-CN" w:bidi="ar-SA"/>
              </w:rPr>
              <w:t>月</w:t>
            </w:r>
            <w:r>
              <w:rPr>
                <w:rFonts w:hint="default" w:ascii="宋体" w:hAnsi="宋体" w:eastAsia="宋体" w:cs="宋体"/>
                <w:spacing w:val="6"/>
                <w:kern w:val="2"/>
                <w:sz w:val="24"/>
                <w:szCs w:val="24"/>
                <w:lang w:val="en-US" w:eastAsia="zh-CN" w:bidi="ar-SA"/>
              </w:rPr>
              <w:t>31</w:t>
            </w:r>
            <w:r>
              <w:rPr>
                <w:rFonts w:hint="eastAsia" w:ascii="宋体" w:hAnsi="宋体" w:eastAsia="宋体" w:cs="宋体"/>
                <w:spacing w:val="6"/>
                <w:kern w:val="2"/>
                <w:sz w:val="24"/>
                <w:szCs w:val="24"/>
                <w:lang w:val="en-US" w:eastAsia="zh-CN" w:bidi="ar-SA"/>
              </w:rPr>
              <w:t>日前</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w:t>
            </w:r>
            <w:r>
              <w:rPr>
                <w:rFonts w:hint="eastAsia" w:ascii="宋体" w:hAnsi="宋体" w:eastAsia="宋体" w:cs="宋体"/>
                <w:spacing w:val="6"/>
                <w:kern w:val="2"/>
                <w:sz w:val="24"/>
                <w:szCs w:val="24"/>
                <w:lang w:val="en-US" w:eastAsia="zh-CN" w:bidi="ar-SA"/>
              </w:rPr>
              <w:t>年</w:t>
            </w:r>
            <w:r>
              <w:rPr>
                <w:rFonts w:hint="default" w:ascii="宋体" w:hAnsi="宋体" w:eastAsia="宋体" w:cs="宋体"/>
                <w:spacing w:val="6"/>
                <w:kern w:val="2"/>
                <w:sz w:val="24"/>
                <w:szCs w:val="24"/>
                <w:lang w:val="en-US" w:eastAsia="zh-CN" w:bidi="ar-SA"/>
              </w:rPr>
              <w:t>12</w:t>
            </w:r>
            <w:r>
              <w:rPr>
                <w:rFonts w:hint="eastAsia" w:ascii="宋体" w:hAnsi="宋体" w:eastAsia="宋体" w:cs="宋体"/>
                <w:spacing w:val="6"/>
                <w:kern w:val="2"/>
                <w:sz w:val="24"/>
                <w:szCs w:val="24"/>
                <w:lang w:val="en-US" w:eastAsia="zh-CN" w:bidi="ar-SA"/>
              </w:rPr>
              <w:t>月</w:t>
            </w:r>
            <w:r>
              <w:rPr>
                <w:rFonts w:hint="default" w:ascii="宋体" w:hAnsi="宋体" w:eastAsia="宋体" w:cs="宋体"/>
                <w:spacing w:val="6"/>
                <w:kern w:val="2"/>
                <w:sz w:val="24"/>
                <w:szCs w:val="24"/>
                <w:lang w:val="en-US" w:eastAsia="zh-CN" w:bidi="ar-SA"/>
              </w:rPr>
              <w:t>31</w:t>
            </w:r>
            <w:r>
              <w:rPr>
                <w:rFonts w:hint="eastAsia" w:ascii="宋体" w:hAnsi="宋体" w:eastAsia="宋体" w:cs="宋体"/>
                <w:spacing w:val="6"/>
                <w:kern w:val="2"/>
                <w:sz w:val="24"/>
                <w:szCs w:val="24"/>
                <w:lang w:val="en-US" w:eastAsia="zh-CN" w:bidi="ar-SA"/>
              </w:rPr>
              <w:t>日前</w:t>
            </w:r>
          </w:p>
        </w:tc>
      </w:tr>
      <w:tr>
        <w:tblPrEx>
          <w:tblCellMar>
            <w:top w:w="0" w:type="dxa"/>
            <w:left w:w="0" w:type="dxa"/>
            <w:bottom w:w="0" w:type="dxa"/>
            <w:right w:w="0" w:type="dxa"/>
          </w:tblCellMar>
        </w:tblPrEx>
        <w:trPr>
          <w:trHeight w:val="1314"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对工作促进作用</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落实最高院要求，切实推进司法审判场所建设</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有效落实最高院要求，切实推进司法审判场所建设</w:t>
            </w:r>
          </w:p>
        </w:tc>
      </w:tr>
      <w:tr>
        <w:tblPrEx>
          <w:tblCellMar>
            <w:top w:w="0" w:type="dxa"/>
            <w:left w:w="0" w:type="dxa"/>
            <w:bottom w:w="0" w:type="dxa"/>
            <w:right w:w="0" w:type="dxa"/>
          </w:tblCellMar>
        </w:tblPrEx>
        <w:trPr>
          <w:trHeight w:val="99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持续影响</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w:t>
            </w:r>
            <w:r>
              <w:rPr>
                <w:rFonts w:hint="default" w:ascii="宋体" w:hAnsi="宋体" w:eastAsia="宋体" w:cs="宋体"/>
                <w:spacing w:val="6"/>
                <w:kern w:val="2"/>
                <w:sz w:val="24"/>
                <w:szCs w:val="24"/>
                <w:lang w:val="en-US" w:eastAsia="zh-CN" w:bidi="ar-SA"/>
              </w:rPr>
              <w:t>1</w:t>
            </w:r>
            <w:r>
              <w:rPr>
                <w:rFonts w:hint="eastAsia" w:ascii="宋体" w:hAnsi="宋体" w:eastAsia="宋体" w:cs="宋体"/>
                <w:spacing w:val="6"/>
                <w:kern w:val="2"/>
                <w:sz w:val="24"/>
                <w:szCs w:val="24"/>
                <w:lang w:val="en-US" w:eastAsia="zh-CN" w:bidi="ar-SA"/>
              </w:rPr>
              <w:t>年</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w:t>
            </w:r>
            <w:r>
              <w:rPr>
                <w:rFonts w:hint="default" w:ascii="宋体" w:hAnsi="宋体" w:eastAsia="宋体" w:cs="宋体"/>
                <w:spacing w:val="6"/>
                <w:kern w:val="2"/>
                <w:sz w:val="24"/>
                <w:szCs w:val="24"/>
                <w:lang w:val="en-US" w:eastAsia="zh-CN" w:bidi="ar-SA"/>
              </w:rPr>
              <w:t>1</w:t>
            </w:r>
            <w:r>
              <w:rPr>
                <w:rFonts w:hint="eastAsia" w:ascii="宋体" w:hAnsi="宋体" w:eastAsia="宋体" w:cs="宋体"/>
                <w:spacing w:val="6"/>
                <w:kern w:val="2"/>
                <w:sz w:val="24"/>
                <w:szCs w:val="24"/>
                <w:lang w:val="en-US" w:eastAsia="zh-CN" w:bidi="ar-SA"/>
              </w:rPr>
              <w:t>年</w:t>
            </w:r>
          </w:p>
        </w:tc>
      </w:tr>
      <w:tr>
        <w:tblPrEx>
          <w:tblCellMar>
            <w:top w:w="0" w:type="dxa"/>
            <w:left w:w="0" w:type="dxa"/>
            <w:bottom w:w="0" w:type="dxa"/>
            <w:right w:w="0" w:type="dxa"/>
          </w:tblCellMar>
        </w:tblPrEx>
        <w:trPr>
          <w:trHeight w:val="1891"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使用部门满意度</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w:t>
            </w:r>
            <w:r>
              <w:rPr>
                <w:rFonts w:hint="default" w:ascii="宋体" w:hAnsi="宋体" w:eastAsia="宋体" w:cs="宋体"/>
                <w:spacing w:val="6"/>
                <w:kern w:val="2"/>
                <w:sz w:val="24"/>
                <w:szCs w:val="24"/>
                <w:lang w:val="en-US" w:eastAsia="zh-CN" w:bidi="ar-SA"/>
              </w:rPr>
              <w:t>90%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w:t>
            </w:r>
            <w:r>
              <w:rPr>
                <w:rFonts w:hint="default" w:ascii="宋体" w:hAnsi="宋体" w:eastAsia="宋体" w:cs="宋体"/>
                <w:spacing w:val="6"/>
                <w:kern w:val="2"/>
                <w:sz w:val="24"/>
                <w:szCs w:val="24"/>
                <w:lang w:val="en-US" w:eastAsia="zh-CN" w:bidi="ar-SA"/>
              </w:rPr>
              <w:t>90%</w:t>
            </w:r>
          </w:p>
        </w:tc>
      </w:tr>
    </w:tbl>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tbl>
      <w:tblPr>
        <w:tblStyle w:val="14"/>
        <w:tblW w:w="8699" w:type="dxa"/>
        <w:tblInd w:w="0" w:type="dxa"/>
        <w:shd w:val="clear" w:color="auto" w:fill="auto"/>
        <w:tblLayout w:type="autofit"/>
        <w:tblCellMar>
          <w:top w:w="0" w:type="dxa"/>
          <w:left w:w="0" w:type="dxa"/>
          <w:bottom w:w="0" w:type="dxa"/>
          <w:right w:w="0" w:type="dxa"/>
        </w:tblCellMar>
      </w:tblPr>
      <w:tblGrid>
        <w:gridCol w:w="717"/>
        <w:gridCol w:w="824"/>
        <w:gridCol w:w="948"/>
        <w:gridCol w:w="968"/>
        <w:gridCol w:w="1504"/>
        <w:gridCol w:w="1868"/>
        <w:gridCol w:w="1870"/>
      </w:tblGrid>
      <w:tr>
        <w:tblPrEx>
          <w:shd w:val="clear" w:color="auto" w:fill="auto"/>
          <w:tblCellMar>
            <w:top w:w="0" w:type="dxa"/>
            <w:left w:w="0" w:type="dxa"/>
            <w:bottom w:w="0" w:type="dxa"/>
            <w:right w:w="0" w:type="dxa"/>
          </w:tblCellMar>
        </w:tblPrEx>
        <w:trPr>
          <w:trHeight w:val="516"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社区矫正信息化联网系统</w:t>
            </w:r>
          </w:p>
        </w:tc>
      </w:tr>
      <w:tr>
        <w:tblPrEx>
          <w:tblCellMar>
            <w:top w:w="0" w:type="dxa"/>
            <w:left w:w="0" w:type="dxa"/>
            <w:bottom w:w="0" w:type="dxa"/>
            <w:right w:w="0" w:type="dxa"/>
          </w:tblCellMar>
        </w:tblPrEx>
        <w:trPr>
          <w:trHeight w:val="652"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tblCellMar>
            <w:top w:w="0" w:type="dxa"/>
            <w:left w:w="0" w:type="dxa"/>
            <w:bottom w:w="0" w:type="dxa"/>
            <w:right w:w="0" w:type="dxa"/>
          </w:tblCellMar>
        </w:tblPrEx>
        <w:trPr>
          <w:trHeight w:val="516" w:hRule="atLeast"/>
        </w:trPr>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108.0</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63.12</w:t>
            </w:r>
          </w:p>
        </w:tc>
      </w:tr>
      <w:tr>
        <w:tblPrEx>
          <w:shd w:val="clear" w:color="auto" w:fill="auto"/>
          <w:tblCellMar>
            <w:top w:w="0" w:type="dxa"/>
            <w:left w:w="0" w:type="dxa"/>
            <w:bottom w:w="0" w:type="dxa"/>
            <w:right w:w="0" w:type="dxa"/>
          </w:tblCellMar>
        </w:tblPrEx>
        <w:trPr>
          <w:trHeight w:val="652" w:hRule="atLeast"/>
        </w:trPr>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108.0</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63.12</w:t>
            </w:r>
          </w:p>
        </w:tc>
      </w:tr>
      <w:tr>
        <w:tblPrEx>
          <w:tblCellMar>
            <w:top w:w="0" w:type="dxa"/>
            <w:left w:w="0" w:type="dxa"/>
            <w:bottom w:w="0" w:type="dxa"/>
            <w:right w:w="0" w:type="dxa"/>
          </w:tblCellMar>
        </w:tblPrEx>
        <w:trPr>
          <w:trHeight w:val="652" w:hRule="atLeast"/>
        </w:trPr>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w:t>
            </w:r>
            <w:r>
              <w:rPr>
                <w:rFonts w:hint="eastAsia" w:ascii="宋体" w:hAnsi="宋体" w:cs="宋体"/>
                <w:spacing w:val="6"/>
                <w:kern w:val="2"/>
                <w:sz w:val="24"/>
                <w:szCs w:val="24"/>
                <w:lang w:val="en-US" w:eastAsia="zh-CN" w:bidi="ar-SA"/>
              </w:rPr>
              <w:t>.0</w:t>
            </w:r>
          </w:p>
        </w:tc>
      </w:tr>
      <w:tr>
        <w:tblPrEx>
          <w:shd w:val="clear" w:color="auto" w:fill="auto"/>
          <w:tblCellMar>
            <w:top w:w="0" w:type="dxa"/>
            <w:left w:w="0" w:type="dxa"/>
            <w:bottom w:w="0" w:type="dxa"/>
            <w:right w:w="0" w:type="dxa"/>
          </w:tblCellMar>
        </w:tblPrEx>
        <w:trPr>
          <w:trHeight w:val="516"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tblCellMar>
            <w:top w:w="0" w:type="dxa"/>
            <w:left w:w="0" w:type="dxa"/>
            <w:bottom w:w="0" w:type="dxa"/>
            <w:right w:w="0" w:type="dxa"/>
          </w:tblCellMar>
        </w:tblPrEx>
        <w:trPr>
          <w:trHeight w:val="2927"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2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社区矫正信息化联网系统：针对省法院与司法厅对接社区矫正业务，建设社区矫正管理子系统以及相应的web service接口</w:t>
            </w:r>
          </w:p>
        </w:tc>
        <w:tc>
          <w:tcPr>
            <w:tcW w:w="3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项目于2021年11月开始实施，合同建设工期6个月。截至目前，已完成硬件到货及软件需求设计工作，正处于系统软件开发测试阶段。</w:t>
            </w:r>
          </w:p>
        </w:tc>
      </w:tr>
      <w:tr>
        <w:tblPrEx>
          <w:shd w:val="clear" w:color="auto" w:fill="auto"/>
          <w:tblCellMar>
            <w:top w:w="0" w:type="dxa"/>
            <w:left w:w="0" w:type="dxa"/>
            <w:bottom w:w="0" w:type="dxa"/>
            <w:right w:w="0" w:type="dxa"/>
          </w:tblCellMar>
        </w:tblPrEx>
        <w:trPr>
          <w:trHeight w:val="652"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559"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完成上线使用法院</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212家</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652"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完成社区矫正信息系统</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1套</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652"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连接率</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≥98%</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652"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完成时间</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暂未完成</w:t>
            </w:r>
          </w:p>
        </w:tc>
      </w:tr>
      <w:tr>
        <w:tblPrEx>
          <w:shd w:val="clear" w:color="auto" w:fill="auto"/>
          <w:tblCellMar>
            <w:top w:w="0" w:type="dxa"/>
            <w:left w:w="0" w:type="dxa"/>
            <w:bottom w:w="0" w:type="dxa"/>
            <w:right w:w="0" w:type="dxa"/>
          </w:tblCellMar>
        </w:tblPrEx>
        <w:trPr>
          <w:trHeight w:val="652"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对工作的促进作用</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提升司法审判水平</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9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r>
        <w:tblPrEx>
          <w:shd w:val="clear" w:color="auto" w:fill="auto"/>
          <w:tblCellMar>
            <w:top w:w="0" w:type="dxa"/>
            <w:left w:w="0" w:type="dxa"/>
            <w:bottom w:w="0" w:type="dxa"/>
            <w:right w:w="0" w:type="dxa"/>
          </w:tblCellMar>
        </w:tblPrEx>
        <w:trPr>
          <w:trHeight w:val="17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各业务管理部门满意度</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w:t>
            </w:r>
          </w:p>
        </w:tc>
      </w:tr>
    </w:tbl>
    <w:p>
      <w:pPr>
        <w:pStyle w:val="2"/>
        <w:rPr>
          <w:rFonts w:hint="eastAsia" w:ascii="宋体" w:hAnsi="宋体" w:eastAsia="宋体" w:cs="宋体"/>
          <w:spacing w:val="6"/>
          <w:kern w:val="2"/>
          <w:sz w:val="24"/>
          <w:szCs w:val="24"/>
          <w:lang w:val="en-US" w:eastAsia="zh-CN" w:bidi="ar-SA"/>
        </w:rPr>
      </w:pPr>
    </w:p>
    <w:tbl>
      <w:tblPr>
        <w:tblStyle w:val="14"/>
        <w:tblW w:w="8859" w:type="dxa"/>
        <w:tblInd w:w="0" w:type="dxa"/>
        <w:shd w:val="clear" w:color="auto" w:fill="auto"/>
        <w:tblLayout w:type="autofit"/>
        <w:tblCellMar>
          <w:top w:w="0" w:type="dxa"/>
          <w:left w:w="0" w:type="dxa"/>
          <w:bottom w:w="0" w:type="dxa"/>
          <w:right w:w="0" w:type="dxa"/>
        </w:tblCellMar>
      </w:tblPr>
      <w:tblGrid>
        <w:gridCol w:w="730"/>
        <w:gridCol w:w="841"/>
        <w:gridCol w:w="965"/>
        <w:gridCol w:w="985"/>
        <w:gridCol w:w="1533"/>
        <w:gridCol w:w="1902"/>
        <w:gridCol w:w="1903"/>
      </w:tblGrid>
      <w:tr>
        <w:tblPrEx>
          <w:shd w:val="clear" w:color="auto" w:fill="auto"/>
          <w:tblCellMar>
            <w:top w:w="0" w:type="dxa"/>
            <w:left w:w="0" w:type="dxa"/>
            <w:bottom w:w="0" w:type="dxa"/>
            <w:right w:w="0" w:type="dxa"/>
          </w:tblCellMar>
        </w:tblPrEx>
        <w:trPr>
          <w:trHeight w:val="502" w:hRule="atLeast"/>
        </w:trPr>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28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聘用制书记员、警辅人员经费</w:t>
            </w:r>
          </w:p>
        </w:tc>
      </w:tr>
      <w:tr>
        <w:tblPrEx>
          <w:shd w:val="clear" w:color="auto" w:fill="auto"/>
          <w:tblCellMar>
            <w:top w:w="0" w:type="dxa"/>
            <w:left w:w="0" w:type="dxa"/>
            <w:bottom w:w="0" w:type="dxa"/>
            <w:right w:w="0" w:type="dxa"/>
          </w:tblCellMar>
        </w:tblPrEx>
        <w:trPr>
          <w:trHeight w:val="658" w:hRule="atLeast"/>
        </w:trPr>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成都铁路运输中级法院机关</w:t>
            </w:r>
          </w:p>
        </w:tc>
      </w:tr>
      <w:tr>
        <w:tblPrEx>
          <w:shd w:val="clear" w:color="auto" w:fill="auto"/>
          <w:tblCellMar>
            <w:top w:w="0" w:type="dxa"/>
            <w:left w:w="0" w:type="dxa"/>
            <w:bottom w:w="0" w:type="dxa"/>
            <w:right w:w="0" w:type="dxa"/>
          </w:tblCellMar>
        </w:tblPrEx>
        <w:trPr>
          <w:trHeight w:val="502" w:hRule="atLeast"/>
        </w:trPr>
        <w:tc>
          <w:tcPr>
            <w:tcW w:w="15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264.93</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227.95</w:t>
            </w:r>
          </w:p>
        </w:tc>
      </w:tr>
      <w:tr>
        <w:tblPrEx>
          <w:shd w:val="clear" w:color="auto" w:fill="auto"/>
          <w:tblCellMar>
            <w:top w:w="0" w:type="dxa"/>
            <w:left w:w="0" w:type="dxa"/>
            <w:bottom w:w="0" w:type="dxa"/>
            <w:right w:w="0" w:type="dxa"/>
          </w:tblCellMar>
        </w:tblPrEx>
        <w:trPr>
          <w:trHeight w:val="658" w:hRule="atLeast"/>
        </w:trPr>
        <w:tc>
          <w:tcPr>
            <w:tcW w:w="15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264.93</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227.95</w:t>
            </w:r>
          </w:p>
        </w:tc>
      </w:tr>
      <w:tr>
        <w:tblPrEx>
          <w:shd w:val="clear" w:color="auto" w:fill="auto"/>
          <w:tblCellMar>
            <w:top w:w="0" w:type="dxa"/>
            <w:left w:w="0" w:type="dxa"/>
            <w:bottom w:w="0" w:type="dxa"/>
            <w:right w:w="0" w:type="dxa"/>
          </w:tblCellMar>
        </w:tblPrEx>
        <w:trPr>
          <w:trHeight w:val="658" w:hRule="atLeast"/>
        </w:trPr>
        <w:tc>
          <w:tcPr>
            <w:tcW w:w="15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其他资金</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其他资金</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r>
      <w:tr>
        <w:tblPrEx>
          <w:shd w:val="clear" w:color="auto" w:fill="auto"/>
          <w:tblCellMar>
            <w:top w:w="0" w:type="dxa"/>
            <w:left w:w="0" w:type="dxa"/>
            <w:bottom w:w="0" w:type="dxa"/>
            <w:right w:w="0" w:type="dxa"/>
          </w:tblCellMar>
        </w:tblPrEx>
        <w:trPr>
          <w:trHeight w:val="502"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3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2841"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3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根据最高法院部署，保障司法审判正常运转，对员额法官按1：1：1的比例配备法官助理和聘用制书记员。保障我院31名聘用书记员的工资薪酬、社保缴费等五险一金，零星公用、换装和新增11名书记员的基本办公业务设备。</w:t>
            </w:r>
          </w:p>
        </w:tc>
        <w:tc>
          <w:tcPr>
            <w:tcW w:w="3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根据最高法院部署，已经保障了我院31名聘用书记员的工资薪酬、社保缴费等五险一金，零星公用、换装和新增11名书记员的基本办公业务设备。</w:t>
            </w:r>
          </w:p>
        </w:tc>
      </w:tr>
      <w:tr>
        <w:tblPrEx>
          <w:shd w:val="clear" w:color="auto" w:fill="auto"/>
          <w:tblCellMar>
            <w:top w:w="0" w:type="dxa"/>
            <w:left w:w="0" w:type="dxa"/>
            <w:bottom w:w="0" w:type="dxa"/>
            <w:right w:w="0" w:type="dxa"/>
          </w:tblCellMar>
        </w:tblPrEx>
        <w:trPr>
          <w:trHeight w:val="658"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658"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年度聘用制书记员保障人数</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31名</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31</w:t>
            </w:r>
          </w:p>
        </w:tc>
      </w:tr>
      <w:tr>
        <w:tblPrEx>
          <w:shd w:val="clear" w:color="auto" w:fill="auto"/>
          <w:tblCellMar>
            <w:top w:w="0" w:type="dxa"/>
            <w:left w:w="0" w:type="dxa"/>
            <w:bottom w:w="0" w:type="dxa"/>
            <w:right w:w="0" w:type="dxa"/>
          </w:tblCellMar>
        </w:tblPrEx>
        <w:trPr>
          <w:trHeight w:val="658"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质量指标</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聘用制书记员辅助办案</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1200件</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1203</w:t>
            </w:r>
          </w:p>
        </w:tc>
      </w:tr>
      <w:tr>
        <w:tblPrEx>
          <w:shd w:val="clear" w:color="auto" w:fill="auto"/>
          <w:tblCellMar>
            <w:top w:w="0" w:type="dxa"/>
            <w:left w:w="0" w:type="dxa"/>
            <w:bottom w:w="0" w:type="dxa"/>
            <w:right w:w="0" w:type="dxa"/>
          </w:tblCellMar>
        </w:tblPrEx>
        <w:trPr>
          <w:trHeight w:val="658"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及时办案，聘用制书记员保障期限</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r>
      <w:tr>
        <w:tblPrEx>
          <w:shd w:val="clear" w:color="auto" w:fill="auto"/>
          <w:tblCellMar>
            <w:top w:w="0" w:type="dxa"/>
            <w:left w:w="0" w:type="dxa"/>
            <w:bottom w:w="0" w:type="dxa"/>
            <w:right w:w="0" w:type="dxa"/>
          </w:tblCellMar>
        </w:tblPrEx>
        <w:trPr>
          <w:trHeight w:val="658"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成本指标</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人均成本</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8.24万元/人/年</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7.35万元/人/年</w:t>
            </w:r>
          </w:p>
        </w:tc>
      </w:tr>
      <w:tr>
        <w:tblPrEx>
          <w:shd w:val="clear" w:color="auto" w:fill="auto"/>
          <w:tblCellMar>
            <w:top w:w="0" w:type="dxa"/>
            <w:left w:w="0" w:type="dxa"/>
            <w:bottom w:w="0" w:type="dxa"/>
            <w:right w:w="0" w:type="dxa"/>
          </w:tblCellMar>
        </w:tblPrEx>
        <w:trPr>
          <w:trHeight w:val="658"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工资薪酬成本</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5.05万元/人/年</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4.65万元/人/年</w:t>
            </w:r>
          </w:p>
        </w:tc>
      </w:tr>
      <w:tr>
        <w:tblPrEx>
          <w:shd w:val="clear" w:color="auto" w:fill="auto"/>
          <w:tblCellMar>
            <w:top w:w="0" w:type="dxa"/>
            <w:left w:w="0" w:type="dxa"/>
            <w:bottom w:w="0" w:type="dxa"/>
            <w:right w:w="0" w:type="dxa"/>
          </w:tblCellMar>
        </w:tblPrEx>
        <w:trPr>
          <w:trHeight w:val="658"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社保、医保成本</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2.07万元/人/年</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1.91万元/人/年</w:t>
            </w:r>
          </w:p>
        </w:tc>
      </w:tr>
      <w:tr>
        <w:tblPrEx>
          <w:shd w:val="clear" w:color="auto" w:fill="auto"/>
          <w:tblCellMar>
            <w:top w:w="0" w:type="dxa"/>
            <w:left w:w="0" w:type="dxa"/>
            <w:bottom w:w="0" w:type="dxa"/>
            <w:right w:w="0" w:type="dxa"/>
          </w:tblCellMar>
        </w:tblPrEx>
        <w:trPr>
          <w:trHeight w:val="658"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零星日常公用成本</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0.85万元/人/年</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0.22万元/人/年</w:t>
            </w:r>
          </w:p>
        </w:tc>
      </w:tr>
      <w:tr>
        <w:tblPrEx>
          <w:shd w:val="clear" w:color="auto" w:fill="auto"/>
          <w:tblCellMar>
            <w:top w:w="0" w:type="dxa"/>
            <w:left w:w="0" w:type="dxa"/>
            <w:bottom w:w="0" w:type="dxa"/>
            <w:right w:w="0" w:type="dxa"/>
          </w:tblCellMar>
        </w:tblPrEx>
        <w:trPr>
          <w:trHeight w:val="658"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新增书记员办公设备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0.75万元/人/年</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0.72万元/人/年</w:t>
            </w:r>
          </w:p>
        </w:tc>
      </w:tr>
      <w:tr>
        <w:tblPrEx>
          <w:shd w:val="clear" w:color="auto" w:fill="auto"/>
          <w:tblCellMar>
            <w:top w:w="0" w:type="dxa"/>
            <w:left w:w="0" w:type="dxa"/>
            <w:bottom w:w="0" w:type="dxa"/>
            <w:right w:w="0" w:type="dxa"/>
          </w:tblCellMar>
        </w:tblPrEx>
        <w:trPr>
          <w:trHeight w:val="658"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2018年服装换装成本</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0.31万元/人/年</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0.31万元/人/年</w:t>
            </w:r>
          </w:p>
        </w:tc>
      </w:tr>
      <w:tr>
        <w:tblPrEx>
          <w:shd w:val="clear" w:color="auto" w:fill="auto"/>
          <w:tblCellMar>
            <w:top w:w="0" w:type="dxa"/>
            <w:left w:w="0" w:type="dxa"/>
            <w:bottom w:w="0" w:type="dxa"/>
            <w:right w:w="0" w:type="dxa"/>
          </w:tblCellMar>
        </w:tblPrEx>
        <w:trPr>
          <w:trHeight w:val="1208"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经济效益指标</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对法院办案工作的促进作用</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辅助员额法官及时完成司法审判任务，节约司法成本</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辅助员额法官及时完成司法审</w:t>
            </w:r>
          </w:p>
        </w:tc>
      </w:tr>
      <w:tr>
        <w:tblPrEx>
          <w:shd w:val="clear" w:color="auto" w:fill="auto"/>
          <w:tblCellMar>
            <w:top w:w="0" w:type="dxa"/>
            <w:left w:w="0" w:type="dxa"/>
            <w:bottom w:w="0" w:type="dxa"/>
            <w:right w:w="0" w:type="dxa"/>
          </w:tblCellMar>
        </w:tblPrEx>
        <w:trPr>
          <w:trHeight w:val="1291"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为社会稳定服务</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辅助员额法官及时完成司法审判任务，维护社会稳定</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辅助员额法官及时完成司法审</w:t>
            </w:r>
          </w:p>
        </w:tc>
      </w:tr>
      <w:tr>
        <w:tblPrEx>
          <w:tblCellMar>
            <w:top w:w="0" w:type="dxa"/>
            <w:left w:w="0" w:type="dxa"/>
            <w:bottom w:w="0" w:type="dxa"/>
            <w:right w:w="0" w:type="dxa"/>
          </w:tblCellMar>
        </w:tblPrEx>
        <w:trPr>
          <w:trHeight w:val="1675"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使用部门满意度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≥95%</w:t>
            </w:r>
          </w:p>
        </w:tc>
      </w:tr>
    </w:tbl>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p>
      <w:pPr>
        <w:pStyle w:val="2"/>
        <w:rPr>
          <w:rFonts w:hint="eastAsia" w:ascii="宋体" w:hAnsi="宋体" w:eastAsia="宋体" w:cs="宋体"/>
          <w:spacing w:val="6"/>
          <w:kern w:val="2"/>
          <w:sz w:val="24"/>
          <w:szCs w:val="24"/>
          <w:lang w:val="en-US" w:eastAsia="zh-CN" w:bidi="ar-SA"/>
        </w:rPr>
      </w:pPr>
    </w:p>
    <w:tbl>
      <w:tblPr>
        <w:tblStyle w:val="14"/>
        <w:tblW w:w="8739" w:type="dxa"/>
        <w:tblInd w:w="0" w:type="dxa"/>
        <w:shd w:val="clear" w:color="auto" w:fill="auto"/>
        <w:tblLayout w:type="autofit"/>
        <w:tblCellMar>
          <w:top w:w="0" w:type="dxa"/>
          <w:left w:w="0" w:type="dxa"/>
          <w:bottom w:w="0" w:type="dxa"/>
          <w:right w:w="0" w:type="dxa"/>
        </w:tblCellMar>
      </w:tblPr>
      <w:tblGrid>
        <w:gridCol w:w="721"/>
        <w:gridCol w:w="828"/>
        <w:gridCol w:w="952"/>
        <w:gridCol w:w="973"/>
        <w:gridCol w:w="1511"/>
        <w:gridCol w:w="1877"/>
        <w:gridCol w:w="1877"/>
      </w:tblGrid>
      <w:tr>
        <w:tblPrEx>
          <w:shd w:val="clear" w:color="auto" w:fill="auto"/>
          <w:tblCellMar>
            <w:top w:w="0" w:type="dxa"/>
            <w:left w:w="0" w:type="dxa"/>
            <w:bottom w:w="0" w:type="dxa"/>
            <w:right w:w="0" w:type="dxa"/>
          </w:tblCellMar>
        </w:tblPrEx>
        <w:trPr>
          <w:trHeight w:val="514"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项目名称</w:t>
            </w:r>
          </w:p>
        </w:tc>
        <w:tc>
          <w:tcPr>
            <w:tcW w:w="7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四川法院系统表彰奖励专项经费</w:t>
            </w:r>
          </w:p>
        </w:tc>
      </w:tr>
      <w:tr>
        <w:tblPrEx>
          <w:shd w:val="clear" w:color="auto" w:fill="auto"/>
          <w:tblCellMar>
            <w:top w:w="0" w:type="dxa"/>
            <w:left w:w="0" w:type="dxa"/>
            <w:bottom w:w="0" w:type="dxa"/>
            <w:right w:w="0" w:type="dxa"/>
          </w:tblCellMar>
        </w:tblPrEx>
        <w:trPr>
          <w:trHeight w:val="666"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主管部门及代码</w:t>
            </w:r>
          </w:p>
        </w:tc>
        <w:tc>
          <w:tcPr>
            <w:tcW w:w="34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实施单位</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四川省高级人民法院</w:t>
            </w:r>
          </w:p>
        </w:tc>
      </w:tr>
      <w:tr>
        <w:tblPrEx>
          <w:shd w:val="clear" w:color="auto" w:fill="auto"/>
          <w:tblCellMar>
            <w:top w:w="0" w:type="dxa"/>
            <w:left w:w="0" w:type="dxa"/>
            <w:bottom w:w="0" w:type="dxa"/>
            <w:right w:w="0" w:type="dxa"/>
          </w:tblCellMar>
        </w:tblPrEx>
        <w:trPr>
          <w:trHeight w:val="514" w:hRule="atLeast"/>
        </w:trPr>
        <w:tc>
          <w:tcPr>
            <w:tcW w:w="1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项目预算</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执行情况</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（万元）</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预算数：</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执行数：</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100.0</w:t>
            </w:r>
          </w:p>
        </w:tc>
      </w:tr>
      <w:tr>
        <w:tblPrEx>
          <w:shd w:val="clear" w:color="auto" w:fill="auto"/>
          <w:tblCellMar>
            <w:top w:w="0" w:type="dxa"/>
            <w:left w:w="0" w:type="dxa"/>
            <w:bottom w:w="0" w:type="dxa"/>
            <w:right w:w="0" w:type="dxa"/>
          </w:tblCellMar>
        </w:tblPrEx>
        <w:trPr>
          <w:trHeight w:val="666"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其中：财政拨款</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100.0</w:t>
            </w:r>
          </w:p>
        </w:tc>
      </w:tr>
      <w:tr>
        <w:tblPrEx>
          <w:shd w:val="clear" w:color="auto" w:fill="auto"/>
          <w:tblCellMar>
            <w:top w:w="0" w:type="dxa"/>
            <w:left w:w="0" w:type="dxa"/>
            <w:bottom w:w="0" w:type="dxa"/>
            <w:right w:w="0" w:type="dxa"/>
          </w:tblCellMar>
        </w:tblPrEx>
        <w:trPr>
          <w:trHeight w:val="666" w:hRule="atLeast"/>
        </w:trPr>
        <w:tc>
          <w:tcPr>
            <w:tcW w:w="1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其他资金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0.0</w:t>
            </w:r>
          </w:p>
        </w:tc>
      </w:tr>
      <w:tr>
        <w:tblPrEx>
          <w:shd w:val="clear" w:color="auto" w:fill="auto"/>
          <w:tblCellMar>
            <w:top w:w="0" w:type="dxa"/>
            <w:left w:w="0" w:type="dxa"/>
            <w:bottom w:w="0" w:type="dxa"/>
            <w:right w:w="0" w:type="dxa"/>
          </w:tblCellMar>
        </w:tblPrEx>
        <w:trPr>
          <w:trHeight w:val="514"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度</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总</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体</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目</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标</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完</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成</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情</w:t>
            </w:r>
            <w:r>
              <w:rPr>
                <w:rFonts w:hint="eastAsia" w:ascii="宋体" w:hAnsi="宋体" w:eastAsia="宋体" w:cs="宋体"/>
                <w:spacing w:val="6"/>
                <w:kern w:val="2"/>
                <w:sz w:val="24"/>
                <w:szCs w:val="24"/>
                <w:lang w:val="en-US" w:eastAsia="zh-CN" w:bidi="ar-SA"/>
              </w:rPr>
              <w:br w:type="textWrapping"/>
            </w:r>
            <w:r>
              <w:rPr>
                <w:rFonts w:hint="eastAsia" w:ascii="宋体" w:hAnsi="宋体" w:eastAsia="宋体" w:cs="宋体"/>
                <w:spacing w:val="6"/>
                <w:kern w:val="2"/>
                <w:sz w:val="24"/>
                <w:szCs w:val="24"/>
                <w:lang w:val="en-US" w:eastAsia="zh-CN" w:bidi="ar-SA"/>
              </w:rPr>
              <w:t>况</w:t>
            </w: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预期目标</w:t>
            </w:r>
          </w:p>
        </w:tc>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目标实际完成情况</w:t>
            </w:r>
          </w:p>
        </w:tc>
      </w:tr>
      <w:tr>
        <w:tblPrEx>
          <w:shd w:val="clear" w:color="auto" w:fill="auto"/>
          <w:tblCellMar>
            <w:top w:w="0" w:type="dxa"/>
            <w:left w:w="0" w:type="dxa"/>
            <w:bottom w:w="0" w:type="dxa"/>
            <w:right w:w="0" w:type="dxa"/>
          </w:tblCellMar>
        </w:tblPrEx>
        <w:trPr>
          <w:trHeight w:val="3549"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贯彻落实《人民法院奖励暂行规定》《四川省贯彻〈国家功勋荣誉表彰条例〉实施办法》（川委发〔2019〕13号）《四川省贯彻〈功勋荣誉表彰奖励获得者带誉规定（试行）〉实施细则》（川委办〔2019〕28号）《四川省评比达标表彰工作协调小组关于同意2020年开展“四川省法院系统先进集体和先进个人”表彰奖励项目的复函》（川评组函〔2020〕2号），评选“四川省法院系统先进个人”“先进集体”。</w:t>
            </w:r>
          </w:p>
        </w:tc>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完成表彰奖励“四川省法院系统先进个人”“先进集体”。</w:t>
            </w:r>
          </w:p>
        </w:tc>
      </w:tr>
      <w:tr>
        <w:tblPrEx>
          <w:shd w:val="clear" w:color="auto" w:fill="auto"/>
          <w:tblCellMar>
            <w:top w:w="0" w:type="dxa"/>
            <w:left w:w="0" w:type="dxa"/>
            <w:bottom w:w="0" w:type="dxa"/>
            <w:right w:w="0" w:type="dxa"/>
          </w:tblCellMar>
        </w:tblPrEx>
        <w:trPr>
          <w:trHeight w:val="666"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年度绩效指标完成情况</w:t>
            </w:r>
          </w:p>
        </w:tc>
        <w:tc>
          <w:tcPr>
            <w:tcW w:w="8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一级指标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二级指标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三级指标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预期指标值</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实际完成指标值</w:t>
            </w:r>
          </w:p>
        </w:tc>
      </w:tr>
      <w:tr>
        <w:tblPrEx>
          <w:shd w:val="clear" w:color="auto" w:fill="auto"/>
          <w:tblCellMar>
            <w:top w:w="0" w:type="dxa"/>
            <w:left w:w="0" w:type="dxa"/>
            <w:bottom w:w="0" w:type="dxa"/>
            <w:right w:w="0" w:type="dxa"/>
          </w:tblCellMar>
        </w:tblPrEx>
        <w:trPr>
          <w:trHeight w:val="557"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成</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数量指标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先进个人数量</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200人</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200</w:t>
            </w:r>
            <w:r>
              <w:rPr>
                <w:rFonts w:hint="eastAsia" w:ascii="宋体" w:hAnsi="宋体" w:eastAsia="宋体" w:cs="宋体"/>
                <w:spacing w:val="6"/>
                <w:kern w:val="2"/>
                <w:sz w:val="24"/>
                <w:szCs w:val="24"/>
                <w:lang w:val="en-US" w:eastAsia="zh-CN" w:bidi="ar-SA"/>
              </w:rPr>
              <w:t>人</w:t>
            </w:r>
          </w:p>
        </w:tc>
      </w:tr>
      <w:tr>
        <w:tblPrEx>
          <w:shd w:val="clear" w:color="auto" w:fill="auto"/>
          <w:tblCellMar>
            <w:top w:w="0" w:type="dxa"/>
            <w:left w:w="0" w:type="dxa"/>
            <w:bottom w:w="0" w:type="dxa"/>
            <w:right w:w="0" w:type="dxa"/>
          </w:tblCellMar>
        </w:tblPrEx>
        <w:trPr>
          <w:trHeight w:val="557"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先进集体数量</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100个</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100</w:t>
            </w:r>
            <w:r>
              <w:rPr>
                <w:rFonts w:hint="eastAsia" w:ascii="宋体" w:hAnsi="宋体" w:eastAsia="宋体" w:cs="宋体"/>
                <w:spacing w:val="6"/>
                <w:kern w:val="2"/>
                <w:sz w:val="24"/>
                <w:szCs w:val="24"/>
                <w:lang w:val="en-US" w:eastAsia="zh-CN" w:bidi="ar-SA"/>
              </w:rPr>
              <w:t>个</w:t>
            </w:r>
          </w:p>
        </w:tc>
      </w:tr>
      <w:tr>
        <w:tblPrEx>
          <w:shd w:val="clear" w:color="auto" w:fill="auto"/>
          <w:tblCellMar>
            <w:top w:w="0" w:type="dxa"/>
            <w:left w:w="0" w:type="dxa"/>
            <w:bottom w:w="0" w:type="dxa"/>
            <w:right w:w="0" w:type="dxa"/>
          </w:tblCellMar>
        </w:tblPrEx>
        <w:trPr>
          <w:trHeight w:val="66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时效指标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完成时间</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2021年12月31日前</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2021</w:t>
            </w:r>
            <w:r>
              <w:rPr>
                <w:rFonts w:hint="eastAsia" w:ascii="宋体" w:hAnsi="宋体" w:eastAsia="宋体" w:cs="宋体"/>
                <w:spacing w:val="6"/>
                <w:kern w:val="2"/>
                <w:sz w:val="24"/>
                <w:szCs w:val="24"/>
                <w:lang w:val="en-US" w:eastAsia="zh-CN" w:bidi="ar-SA"/>
              </w:rPr>
              <w:t>年</w:t>
            </w:r>
            <w:r>
              <w:rPr>
                <w:rFonts w:hint="default" w:ascii="宋体" w:hAnsi="宋体" w:eastAsia="宋体" w:cs="宋体"/>
                <w:spacing w:val="6"/>
                <w:kern w:val="2"/>
                <w:sz w:val="24"/>
                <w:szCs w:val="24"/>
                <w:lang w:val="en-US" w:eastAsia="zh-CN" w:bidi="ar-SA"/>
              </w:rPr>
              <w:t>12</w:t>
            </w:r>
            <w:r>
              <w:rPr>
                <w:rFonts w:hint="eastAsia" w:ascii="宋体" w:hAnsi="宋体" w:eastAsia="宋体" w:cs="宋体"/>
                <w:spacing w:val="6"/>
                <w:kern w:val="2"/>
                <w:sz w:val="24"/>
                <w:szCs w:val="24"/>
                <w:lang w:val="en-US" w:eastAsia="zh-CN" w:bidi="ar-SA"/>
              </w:rPr>
              <w:t>月</w:t>
            </w:r>
            <w:r>
              <w:rPr>
                <w:rFonts w:hint="default" w:ascii="宋体" w:hAnsi="宋体" w:eastAsia="宋体" w:cs="宋体"/>
                <w:spacing w:val="6"/>
                <w:kern w:val="2"/>
                <w:sz w:val="24"/>
                <w:szCs w:val="24"/>
                <w:lang w:val="en-US" w:eastAsia="zh-CN" w:bidi="ar-SA"/>
              </w:rPr>
              <w:t>31</w:t>
            </w:r>
            <w:r>
              <w:rPr>
                <w:rFonts w:hint="eastAsia" w:ascii="宋体" w:hAnsi="宋体" w:eastAsia="宋体" w:cs="宋体"/>
                <w:spacing w:val="6"/>
                <w:kern w:val="2"/>
                <w:sz w:val="24"/>
                <w:szCs w:val="24"/>
                <w:lang w:val="en-US" w:eastAsia="zh-CN" w:bidi="ar-SA"/>
              </w:rPr>
              <w:t>日前</w:t>
            </w:r>
          </w:p>
        </w:tc>
      </w:tr>
      <w:tr>
        <w:tblPrEx>
          <w:shd w:val="clear" w:color="auto" w:fill="auto"/>
          <w:tblCellMar>
            <w:top w:w="0" w:type="dxa"/>
            <w:left w:w="0" w:type="dxa"/>
            <w:bottom w:w="0" w:type="dxa"/>
            <w:right w:w="0" w:type="dxa"/>
          </w:tblCellMar>
        </w:tblPrEx>
        <w:trPr>
          <w:trHeight w:val="66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成本指标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先进个人奖励标准</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5000元/人</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5000</w:t>
            </w:r>
            <w:r>
              <w:rPr>
                <w:rFonts w:hint="eastAsia" w:ascii="宋体" w:hAnsi="宋体" w:eastAsia="宋体" w:cs="宋体"/>
                <w:spacing w:val="6"/>
                <w:kern w:val="2"/>
                <w:sz w:val="24"/>
                <w:szCs w:val="24"/>
                <w:lang w:val="en-US" w:eastAsia="zh-CN" w:bidi="ar-SA"/>
              </w:rPr>
              <w:t>元</w:t>
            </w:r>
            <w:r>
              <w:rPr>
                <w:rFonts w:hint="default" w:ascii="宋体" w:hAnsi="宋体" w:eastAsia="宋体" w:cs="宋体"/>
                <w:spacing w:val="6"/>
                <w:kern w:val="2"/>
                <w:sz w:val="24"/>
                <w:szCs w:val="24"/>
                <w:lang w:val="en-US" w:eastAsia="zh-CN" w:bidi="ar-SA"/>
              </w:rPr>
              <w:t>/</w:t>
            </w:r>
            <w:r>
              <w:rPr>
                <w:rFonts w:hint="eastAsia" w:ascii="宋体" w:hAnsi="宋体" w:eastAsia="宋体" w:cs="宋体"/>
                <w:spacing w:val="6"/>
                <w:kern w:val="2"/>
                <w:sz w:val="24"/>
                <w:szCs w:val="24"/>
                <w:lang w:val="en-US" w:eastAsia="zh-CN" w:bidi="ar-SA"/>
              </w:rPr>
              <w:t>人</w:t>
            </w:r>
          </w:p>
        </w:tc>
      </w:tr>
      <w:tr>
        <w:tblPrEx>
          <w:shd w:val="clear" w:color="auto" w:fill="auto"/>
          <w:tblCellMar>
            <w:top w:w="0" w:type="dxa"/>
            <w:left w:w="0" w:type="dxa"/>
            <w:bottom w:w="0" w:type="dxa"/>
            <w:right w:w="0" w:type="dxa"/>
          </w:tblCellMar>
        </w:tblPrEx>
        <w:trPr>
          <w:trHeight w:val="1627"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效</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益</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社会效益指标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对工作的提升作用</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树立典型，鼓励优秀，形成良好氛围，提升全省法院干警真抓实干、创先争优</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树立典型，鼓励优秀，形成良好氛围，提升全省法院干警真抓实干、创先争优</w:t>
            </w:r>
          </w:p>
        </w:tc>
      </w:tr>
      <w:tr>
        <w:tblPrEx>
          <w:shd w:val="clear" w:color="auto" w:fill="auto"/>
          <w:tblCellMar>
            <w:top w:w="0" w:type="dxa"/>
            <w:left w:w="0" w:type="dxa"/>
            <w:bottom w:w="0" w:type="dxa"/>
            <w:right w:w="0" w:type="dxa"/>
          </w:tblCellMar>
        </w:tblPrEx>
        <w:trPr>
          <w:trHeight w:val="986"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pacing w:val="6"/>
                <w:kern w:val="2"/>
                <w:sz w:val="24"/>
                <w:szCs w:val="24"/>
                <w:lang w:val="en-US" w:eastAsia="zh-CN" w:bidi="ar-SA"/>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可持续影响指标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持续影响</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≥1年</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w:t>
            </w:r>
            <w:r>
              <w:rPr>
                <w:rFonts w:hint="default" w:ascii="宋体" w:hAnsi="宋体" w:eastAsia="宋体" w:cs="宋体"/>
                <w:spacing w:val="6"/>
                <w:kern w:val="2"/>
                <w:sz w:val="24"/>
                <w:szCs w:val="24"/>
                <w:lang w:val="en-US" w:eastAsia="zh-CN" w:bidi="ar-SA"/>
              </w:rPr>
              <w:t>1</w:t>
            </w:r>
            <w:r>
              <w:rPr>
                <w:rFonts w:hint="eastAsia" w:ascii="宋体" w:hAnsi="宋体" w:eastAsia="宋体" w:cs="宋体"/>
                <w:spacing w:val="6"/>
                <w:kern w:val="2"/>
                <w:sz w:val="24"/>
                <w:szCs w:val="24"/>
                <w:lang w:val="en-US" w:eastAsia="zh-CN" w:bidi="ar-SA"/>
              </w:rPr>
              <w:t>年</w:t>
            </w:r>
          </w:p>
        </w:tc>
      </w:tr>
      <w:tr>
        <w:tblPrEx>
          <w:tblCellMar>
            <w:top w:w="0" w:type="dxa"/>
            <w:left w:w="0" w:type="dxa"/>
            <w:bottom w:w="0" w:type="dxa"/>
            <w:right w:w="0" w:type="dxa"/>
          </w:tblCellMar>
        </w:tblPrEx>
        <w:trPr>
          <w:trHeight w:val="1718"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spacing w:val="6"/>
                <w:kern w:val="2"/>
                <w:sz w:val="24"/>
                <w:szCs w:val="24"/>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意</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度</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指</w:t>
            </w:r>
            <w:r>
              <w:rPr>
                <w:rFonts w:hint="default" w:ascii="宋体" w:hAnsi="宋体" w:eastAsia="宋体" w:cs="宋体"/>
                <w:spacing w:val="6"/>
                <w:kern w:val="2"/>
                <w:sz w:val="24"/>
                <w:szCs w:val="24"/>
                <w:lang w:val="en-US" w:eastAsia="zh-CN" w:bidi="ar-SA"/>
              </w:rPr>
              <w:br w:type="textWrapping"/>
            </w:r>
            <w:r>
              <w:rPr>
                <w:rFonts w:hint="default" w:ascii="宋体" w:hAnsi="宋体" w:eastAsia="宋体" w:cs="宋体"/>
                <w:spacing w:val="6"/>
                <w:kern w:val="2"/>
                <w:sz w:val="24"/>
                <w:szCs w:val="24"/>
                <w:lang w:val="en-US" w:eastAsia="zh-CN" w:bidi="ar-SA"/>
              </w:rPr>
              <w:t>标</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满意度指标</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使用部门满意度</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default" w:ascii="宋体" w:hAnsi="宋体" w:eastAsia="宋体" w:cs="宋体"/>
                <w:spacing w:val="6"/>
                <w:kern w:val="2"/>
                <w:sz w:val="24"/>
                <w:szCs w:val="24"/>
                <w:lang w:val="en-US" w:eastAsia="zh-CN" w:bidi="ar-SA"/>
              </w:rPr>
              <w:t>≥90%</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w:t>
            </w:r>
            <w:r>
              <w:rPr>
                <w:rFonts w:hint="default" w:ascii="宋体" w:hAnsi="宋体" w:eastAsia="宋体" w:cs="宋体"/>
                <w:spacing w:val="6"/>
                <w:kern w:val="2"/>
                <w:sz w:val="24"/>
                <w:szCs w:val="24"/>
                <w:lang w:val="en-US" w:eastAsia="zh-CN" w:bidi="ar-SA"/>
              </w:rPr>
              <w:t>90%</w:t>
            </w:r>
          </w:p>
        </w:tc>
      </w:tr>
    </w:tbl>
    <w:p>
      <w:pPr>
        <w:pStyle w:val="2"/>
        <w:spacing w:before="93"/>
      </w:pPr>
      <w:r>
        <w:br w:type="page"/>
      </w:r>
    </w:p>
    <w:p>
      <w:pPr>
        <w:spacing w:line="700" w:lineRule="exact"/>
        <w:jc w:val="center"/>
        <w:outlineLvl w:val="0"/>
        <w:rPr>
          <w:rFonts w:ascii="仿宋" w:hAnsi="仿宋"/>
        </w:rPr>
      </w:pPr>
      <w:bookmarkStart w:id="122" w:name="_Toc18541"/>
      <w:bookmarkStart w:id="123" w:name="_Toc4373"/>
      <w:bookmarkStart w:id="124" w:name="_Toc27844"/>
      <w:bookmarkStart w:id="125" w:name="_Toc4694"/>
      <w:bookmarkStart w:id="126" w:name="_Toc19999"/>
      <w:bookmarkStart w:id="127" w:name="_Toc21061"/>
      <w:r>
        <w:rPr>
          <w:rFonts w:hint="eastAsia" w:ascii="黑体" w:hAnsi="黑体" w:eastAsia="黑体"/>
          <w:sz w:val="44"/>
          <w:szCs w:val="44"/>
        </w:rPr>
        <w:t>第</w:t>
      </w:r>
      <w:r>
        <w:rPr>
          <w:rStyle w:val="19"/>
          <w:rFonts w:hint="eastAsia" w:ascii="黑体" w:hAnsi="黑体" w:eastAsia="黑体"/>
          <w:b w:val="0"/>
        </w:rPr>
        <w:t>五部分 附表</w:t>
      </w:r>
      <w:bookmarkEnd w:id="122"/>
      <w:bookmarkEnd w:id="123"/>
      <w:bookmarkEnd w:id="124"/>
      <w:bookmarkEnd w:id="125"/>
      <w:bookmarkEnd w:id="126"/>
      <w:bookmarkEnd w:id="127"/>
    </w:p>
    <w:p>
      <w:pPr>
        <w:pStyle w:val="4"/>
        <w:rPr>
          <w:rFonts w:hint="eastAsia" w:ascii="仿宋" w:hAnsi="仿宋"/>
          <w:b w:val="0"/>
        </w:rPr>
      </w:pPr>
      <w:bookmarkStart w:id="128" w:name="_Toc7658"/>
      <w:bookmarkStart w:id="129" w:name="_Toc32166"/>
      <w:bookmarkStart w:id="130" w:name="_Toc1360"/>
      <w:bookmarkStart w:id="131" w:name="_Toc2989"/>
      <w:bookmarkStart w:id="132" w:name="_Toc21806"/>
      <w:bookmarkStart w:id="133" w:name="_Toc17652"/>
    </w:p>
    <w:p>
      <w:pPr>
        <w:pStyle w:val="4"/>
        <w:rPr>
          <w:rFonts w:ascii="仿宋" w:hAnsi="仿宋"/>
        </w:rPr>
      </w:pPr>
      <w:r>
        <w:rPr>
          <w:rFonts w:hint="eastAsia" w:ascii="仿宋" w:hAnsi="仿宋"/>
          <w:b w:val="0"/>
        </w:rPr>
        <w:t>一、收</w:t>
      </w:r>
      <w:r>
        <w:rPr>
          <w:rStyle w:val="20"/>
          <w:rFonts w:hint="eastAsia" w:ascii="仿宋" w:hAnsi="仿宋"/>
          <w:b w:val="0"/>
          <w:bCs w:val="0"/>
        </w:rPr>
        <w:t>入支出决算总表</w:t>
      </w:r>
      <w:bookmarkEnd w:id="128"/>
      <w:bookmarkEnd w:id="129"/>
      <w:bookmarkEnd w:id="130"/>
      <w:bookmarkEnd w:id="131"/>
      <w:bookmarkEnd w:id="132"/>
      <w:bookmarkEnd w:id="133"/>
    </w:p>
    <w:p>
      <w:pPr>
        <w:pStyle w:val="4"/>
        <w:rPr>
          <w:rFonts w:ascii="仿宋" w:hAnsi="仿宋"/>
        </w:rPr>
      </w:pPr>
      <w:bookmarkStart w:id="134" w:name="_Toc16191"/>
      <w:bookmarkStart w:id="135" w:name="_Toc29083"/>
      <w:bookmarkStart w:id="136" w:name="_Toc19990"/>
      <w:bookmarkStart w:id="137" w:name="_Toc13788"/>
      <w:bookmarkStart w:id="138" w:name="_Toc25251"/>
      <w:bookmarkStart w:id="139" w:name="_Toc20800"/>
      <w:r>
        <w:rPr>
          <w:rFonts w:hint="eastAsia" w:ascii="仿宋" w:hAnsi="仿宋"/>
          <w:b w:val="0"/>
        </w:rPr>
        <w:t>二、收</w:t>
      </w:r>
      <w:r>
        <w:rPr>
          <w:rStyle w:val="20"/>
          <w:rFonts w:hint="eastAsia" w:ascii="仿宋" w:hAnsi="仿宋"/>
          <w:b w:val="0"/>
          <w:bCs w:val="0"/>
        </w:rPr>
        <w:t>入决算表</w:t>
      </w:r>
      <w:bookmarkEnd w:id="134"/>
      <w:bookmarkEnd w:id="135"/>
      <w:bookmarkEnd w:id="136"/>
      <w:bookmarkEnd w:id="137"/>
      <w:bookmarkEnd w:id="138"/>
      <w:bookmarkEnd w:id="139"/>
    </w:p>
    <w:p>
      <w:pPr>
        <w:pStyle w:val="4"/>
        <w:rPr>
          <w:rFonts w:ascii="仿宋" w:hAnsi="仿宋"/>
        </w:rPr>
      </w:pPr>
      <w:bookmarkStart w:id="140" w:name="_Toc3520"/>
      <w:bookmarkStart w:id="141" w:name="_Toc810"/>
      <w:bookmarkStart w:id="142" w:name="_Toc13038"/>
      <w:bookmarkStart w:id="143" w:name="_Toc26903"/>
      <w:bookmarkStart w:id="144" w:name="_Toc638"/>
      <w:bookmarkStart w:id="145" w:name="_Toc4742"/>
      <w:r>
        <w:rPr>
          <w:rStyle w:val="20"/>
          <w:rFonts w:hint="eastAsia" w:ascii="仿宋" w:hAnsi="仿宋"/>
          <w:b w:val="0"/>
          <w:bCs w:val="0"/>
        </w:rPr>
        <w:t>三、</w:t>
      </w:r>
      <w:r>
        <w:rPr>
          <w:rFonts w:hint="eastAsia" w:ascii="仿宋" w:hAnsi="仿宋"/>
          <w:b w:val="0"/>
        </w:rPr>
        <w:t>支</w:t>
      </w:r>
      <w:r>
        <w:rPr>
          <w:rStyle w:val="20"/>
          <w:rFonts w:hint="eastAsia" w:ascii="仿宋" w:hAnsi="仿宋"/>
          <w:b w:val="0"/>
          <w:bCs w:val="0"/>
        </w:rPr>
        <w:t>出决算表</w:t>
      </w:r>
      <w:bookmarkEnd w:id="140"/>
      <w:bookmarkEnd w:id="141"/>
      <w:bookmarkEnd w:id="142"/>
      <w:bookmarkEnd w:id="143"/>
      <w:bookmarkEnd w:id="144"/>
      <w:bookmarkEnd w:id="145"/>
    </w:p>
    <w:p>
      <w:pPr>
        <w:pStyle w:val="4"/>
        <w:rPr>
          <w:rFonts w:ascii="仿宋" w:hAnsi="仿宋"/>
          <w:b w:val="0"/>
        </w:rPr>
      </w:pPr>
      <w:bookmarkStart w:id="146" w:name="_Toc30962"/>
      <w:bookmarkStart w:id="147" w:name="_Toc12970"/>
      <w:bookmarkStart w:id="148" w:name="_Toc10281"/>
      <w:bookmarkStart w:id="149" w:name="_Toc21982"/>
      <w:bookmarkStart w:id="150" w:name="_Toc26823"/>
      <w:bookmarkStart w:id="151" w:name="_Toc782"/>
      <w:r>
        <w:rPr>
          <w:rStyle w:val="20"/>
          <w:rFonts w:hint="eastAsia" w:ascii="仿宋" w:hAnsi="仿宋"/>
          <w:b w:val="0"/>
          <w:bCs w:val="0"/>
        </w:rPr>
        <w:t>四、</w:t>
      </w:r>
      <w:r>
        <w:rPr>
          <w:rFonts w:hint="eastAsia" w:ascii="仿宋" w:hAnsi="仿宋"/>
          <w:b w:val="0"/>
        </w:rPr>
        <w:t>财</w:t>
      </w:r>
      <w:r>
        <w:rPr>
          <w:rStyle w:val="20"/>
          <w:rFonts w:hint="eastAsia" w:ascii="仿宋" w:hAnsi="仿宋"/>
          <w:b w:val="0"/>
          <w:bCs w:val="0"/>
        </w:rPr>
        <w:t>政拨款收入支出决算总表</w:t>
      </w:r>
      <w:bookmarkEnd w:id="146"/>
      <w:bookmarkEnd w:id="147"/>
      <w:bookmarkEnd w:id="148"/>
      <w:bookmarkEnd w:id="149"/>
      <w:bookmarkEnd w:id="150"/>
      <w:bookmarkEnd w:id="151"/>
    </w:p>
    <w:p>
      <w:pPr>
        <w:pStyle w:val="4"/>
        <w:rPr>
          <w:rStyle w:val="20"/>
          <w:rFonts w:ascii="仿宋" w:hAnsi="仿宋"/>
          <w:b w:val="0"/>
          <w:bCs w:val="0"/>
        </w:rPr>
      </w:pPr>
      <w:bookmarkStart w:id="152" w:name="_Toc7648"/>
      <w:bookmarkStart w:id="153" w:name="_Toc6280"/>
      <w:bookmarkStart w:id="154" w:name="_Toc2909"/>
      <w:bookmarkStart w:id="155" w:name="_Toc4704"/>
      <w:bookmarkStart w:id="156" w:name="_Toc9613"/>
      <w:bookmarkStart w:id="157" w:name="_Toc11233"/>
      <w:r>
        <w:rPr>
          <w:rStyle w:val="20"/>
          <w:rFonts w:hint="eastAsia" w:ascii="仿宋" w:hAnsi="仿宋"/>
          <w:b w:val="0"/>
          <w:bCs w:val="0"/>
        </w:rPr>
        <w:t>五、</w:t>
      </w:r>
      <w:r>
        <w:rPr>
          <w:rFonts w:hint="eastAsia" w:ascii="仿宋" w:hAnsi="仿宋"/>
          <w:b w:val="0"/>
        </w:rPr>
        <w:t>财</w:t>
      </w:r>
      <w:r>
        <w:rPr>
          <w:rStyle w:val="20"/>
          <w:rFonts w:hint="eastAsia" w:ascii="仿宋" w:hAnsi="仿宋"/>
          <w:b w:val="0"/>
          <w:bCs w:val="0"/>
        </w:rPr>
        <w:t>政拨款支出决算明细表</w:t>
      </w:r>
      <w:bookmarkEnd w:id="152"/>
      <w:bookmarkEnd w:id="153"/>
      <w:bookmarkEnd w:id="154"/>
      <w:bookmarkEnd w:id="155"/>
      <w:bookmarkEnd w:id="156"/>
      <w:bookmarkEnd w:id="157"/>
    </w:p>
    <w:p>
      <w:pPr>
        <w:pStyle w:val="4"/>
        <w:rPr>
          <w:rFonts w:ascii="仿宋" w:hAnsi="仿宋"/>
        </w:rPr>
      </w:pPr>
      <w:bookmarkStart w:id="158" w:name="_Toc30126"/>
      <w:bookmarkStart w:id="159" w:name="_Toc29156"/>
      <w:bookmarkStart w:id="160" w:name="_Toc32123"/>
      <w:bookmarkStart w:id="161" w:name="_Toc16713"/>
      <w:bookmarkStart w:id="162" w:name="_Toc21921"/>
      <w:bookmarkStart w:id="163" w:name="_Toc24426"/>
      <w:r>
        <w:rPr>
          <w:rStyle w:val="20"/>
          <w:rFonts w:hint="eastAsia" w:ascii="仿宋" w:hAnsi="仿宋"/>
          <w:b w:val="0"/>
          <w:bCs w:val="0"/>
        </w:rPr>
        <w:t>六、</w:t>
      </w:r>
      <w:r>
        <w:rPr>
          <w:rFonts w:hint="eastAsia" w:ascii="仿宋" w:hAnsi="仿宋"/>
          <w:b w:val="0"/>
        </w:rPr>
        <w:t>一</w:t>
      </w:r>
      <w:r>
        <w:rPr>
          <w:rStyle w:val="20"/>
          <w:rFonts w:hint="eastAsia" w:ascii="仿宋" w:hAnsi="仿宋"/>
          <w:b w:val="0"/>
          <w:bCs w:val="0"/>
        </w:rPr>
        <w:t>般公共预算财政拨款支出决算表</w:t>
      </w:r>
      <w:bookmarkEnd w:id="158"/>
      <w:bookmarkEnd w:id="159"/>
      <w:bookmarkEnd w:id="160"/>
      <w:bookmarkEnd w:id="161"/>
      <w:bookmarkEnd w:id="162"/>
      <w:bookmarkEnd w:id="163"/>
    </w:p>
    <w:p>
      <w:pPr>
        <w:pStyle w:val="4"/>
        <w:rPr>
          <w:rFonts w:ascii="仿宋" w:hAnsi="仿宋"/>
        </w:rPr>
      </w:pPr>
      <w:bookmarkStart w:id="164" w:name="_Toc3755"/>
      <w:bookmarkStart w:id="165" w:name="_Toc20020"/>
      <w:bookmarkStart w:id="166" w:name="_Toc11860"/>
      <w:bookmarkStart w:id="167" w:name="_Toc22348"/>
      <w:bookmarkStart w:id="168" w:name="_Toc8790"/>
      <w:bookmarkStart w:id="169" w:name="_Toc28772"/>
      <w:r>
        <w:rPr>
          <w:rStyle w:val="20"/>
          <w:rFonts w:hint="eastAsia" w:ascii="仿宋" w:hAnsi="仿宋"/>
          <w:b w:val="0"/>
          <w:bCs w:val="0"/>
        </w:rPr>
        <w:t>七、</w:t>
      </w:r>
      <w:r>
        <w:rPr>
          <w:rFonts w:hint="eastAsia" w:ascii="仿宋" w:hAnsi="仿宋"/>
          <w:b w:val="0"/>
        </w:rPr>
        <w:t>一</w:t>
      </w:r>
      <w:r>
        <w:rPr>
          <w:rStyle w:val="20"/>
          <w:rFonts w:hint="eastAsia" w:ascii="仿宋" w:hAnsi="仿宋"/>
          <w:b w:val="0"/>
          <w:bCs w:val="0"/>
        </w:rPr>
        <w:t>般公共预算财政拨款支出决算明细表</w:t>
      </w:r>
      <w:bookmarkEnd w:id="164"/>
      <w:bookmarkEnd w:id="165"/>
      <w:bookmarkEnd w:id="166"/>
      <w:bookmarkEnd w:id="167"/>
      <w:bookmarkEnd w:id="168"/>
      <w:bookmarkEnd w:id="169"/>
    </w:p>
    <w:p>
      <w:pPr>
        <w:pStyle w:val="4"/>
        <w:rPr>
          <w:rFonts w:ascii="仿宋" w:hAnsi="仿宋"/>
        </w:rPr>
      </w:pPr>
      <w:bookmarkStart w:id="170" w:name="_Toc20467"/>
      <w:bookmarkStart w:id="171" w:name="_Toc29327"/>
      <w:bookmarkStart w:id="172" w:name="_Toc14413"/>
      <w:bookmarkStart w:id="173" w:name="_Toc4535"/>
      <w:bookmarkStart w:id="174" w:name="_Toc2561"/>
      <w:bookmarkStart w:id="175" w:name="_Toc5759"/>
      <w:r>
        <w:rPr>
          <w:rStyle w:val="20"/>
          <w:rFonts w:hint="eastAsia" w:ascii="仿宋" w:hAnsi="仿宋"/>
          <w:b w:val="0"/>
          <w:bCs w:val="0"/>
        </w:rPr>
        <w:t>八、</w:t>
      </w:r>
      <w:r>
        <w:rPr>
          <w:rFonts w:hint="eastAsia" w:ascii="仿宋" w:hAnsi="仿宋"/>
          <w:b w:val="0"/>
        </w:rPr>
        <w:t>一</w:t>
      </w:r>
      <w:r>
        <w:rPr>
          <w:rStyle w:val="20"/>
          <w:rFonts w:hint="eastAsia" w:ascii="仿宋" w:hAnsi="仿宋"/>
          <w:b w:val="0"/>
          <w:bCs w:val="0"/>
        </w:rPr>
        <w:t>般公共预算财政拨款基本支出决算表</w:t>
      </w:r>
      <w:bookmarkEnd w:id="170"/>
      <w:bookmarkEnd w:id="171"/>
      <w:bookmarkEnd w:id="172"/>
      <w:bookmarkEnd w:id="173"/>
      <w:bookmarkEnd w:id="174"/>
      <w:bookmarkEnd w:id="175"/>
    </w:p>
    <w:p>
      <w:pPr>
        <w:pStyle w:val="4"/>
        <w:rPr>
          <w:rFonts w:ascii="仿宋" w:hAnsi="仿宋"/>
        </w:rPr>
      </w:pPr>
      <w:bookmarkStart w:id="176" w:name="_Toc10669"/>
      <w:bookmarkStart w:id="177" w:name="_Toc13046"/>
      <w:bookmarkStart w:id="178" w:name="_Toc22969"/>
      <w:bookmarkStart w:id="179" w:name="_Toc2415"/>
      <w:bookmarkStart w:id="180" w:name="_Toc20166"/>
      <w:bookmarkStart w:id="181" w:name="_Toc16816"/>
      <w:r>
        <w:rPr>
          <w:rStyle w:val="20"/>
          <w:rFonts w:hint="eastAsia" w:ascii="仿宋" w:hAnsi="仿宋"/>
          <w:b w:val="0"/>
          <w:bCs w:val="0"/>
        </w:rPr>
        <w:t>九、</w:t>
      </w:r>
      <w:r>
        <w:rPr>
          <w:rFonts w:hint="eastAsia" w:ascii="仿宋" w:hAnsi="仿宋"/>
          <w:b w:val="0"/>
        </w:rPr>
        <w:t>一</w:t>
      </w:r>
      <w:r>
        <w:rPr>
          <w:rStyle w:val="20"/>
          <w:rFonts w:hint="eastAsia" w:ascii="仿宋" w:hAnsi="仿宋"/>
          <w:b w:val="0"/>
          <w:bCs w:val="0"/>
        </w:rPr>
        <w:t>般公共预算财政拨款项目支出决算表</w:t>
      </w:r>
      <w:bookmarkEnd w:id="176"/>
      <w:bookmarkEnd w:id="177"/>
      <w:bookmarkEnd w:id="178"/>
      <w:bookmarkEnd w:id="179"/>
      <w:bookmarkEnd w:id="180"/>
      <w:bookmarkEnd w:id="181"/>
    </w:p>
    <w:p>
      <w:pPr>
        <w:pStyle w:val="4"/>
        <w:rPr>
          <w:rFonts w:ascii="仿宋" w:hAnsi="仿宋"/>
        </w:rPr>
      </w:pPr>
      <w:bookmarkStart w:id="182" w:name="_Toc546"/>
      <w:bookmarkStart w:id="183" w:name="_Toc26297"/>
      <w:bookmarkStart w:id="184" w:name="_Toc31935"/>
      <w:bookmarkStart w:id="185" w:name="_Toc18142"/>
      <w:bookmarkStart w:id="186" w:name="_Toc18068"/>
      <w:bookmarkStart w:id="187" w:name="_Toc971"/>
      <w:r>
        <w:rPr>
          <w:rStyle w:val="20"/>
          <w:rFonts w:hint="eastAsia" w:ascii="仿宋" w:hAnsi="仿宋"/>
          <w:b w:val="0"/>
          <w:bCs w:val="0"/>
        </w:rPr>
        <w:t>十、</w:t>
      </w:r>
      <w:r>
        <w:rPr>
          <w:rFonts w:hint="eastAsia" w:ascii="仿宋" w:hAnsi="仿宋"/>
          <w:b w:val="0"/>
        </w:rPr>
        <w:t>一</w:t>
      </w:r>
      <w:r>
        <w:rPr>
          <w:rStyle w:val="20"/>
          <w:rFonts w:hint="eastAsia" w:ascii="仿宋" w:hAnsi="仿宋"/>
          <w:b w:val="0"/>
          <w:bCs w:val="0"/>
        </w:rPr>
        <w:t>般公共预算财政拨款“三公”经费支出决算表</w:t>
      </w:r>
      <w:bookmarkEnd w:id="182"/>
      <w:bookmarkEnd w:id="183"/>
      <w:bookmarkEnd w:id="184"/>
      <w:bookmarkEnd w:id="185"/>
      <w:bookmarkEnd w:id="186"/>
      <w:bookmarkEnd w:id="187"/>
    </w:p>
    <w:p>
      <w:pPr>
        <w:pStyle w:val="4"/>
        <w:rPr>
          <w:rFonts w:ascii="仿宋" w:hAnsi="仿宋"/>
        </w:rPr>
      </w:pPr>
      <w:bookmarkStart w:id="188" w:name="_Toc3149"/>
      <w:bookmarkStart w:id="189" w:name="_Toc9261"/>
      <w:bookmarkStart w:id="190" w:name="_Toc1098"/>
      <w:bookmarkStart w:id="191" w:name="_Toc7414"/>
      <w:bookmarkStart w:id="192" w:name="_Toc14420"/>
      <w:bookmarkStart w:id="193" w:name="_Toc30667"/>
      <w:r>
        <w:rPr>
          <w:rStyle w:val="20"/>
          <w:rFonts w:hint="eastAsia" w:ascii="仿宋" w:hAnsi="仿宋"/>
          <w:b w:val="0"/>
          <w:bCs w:val="0"/>
        </w:rPr>
        <w:t>十一、</w:t>
      </w:r>
      <w:r>
        <w:rPr>
          <w:rFonts w:hint="eastAsia" w:ascii="仿宋" w:hAnsi="仿宋"/>
          <w:b w:val="0"/>
        </w:rPr>
        <w:t>政</w:t>
      </w:r>
      <w:r>
        <w:rPr>
          <w:rStyle w:val="20"/>
          <w:rFonts w:hint="eastAsia" w:ascii="仿宋" w:hAnsi="仿宋"/>
          <w:b w:val="0"/>
          <w:bCs w:val="0"/>
        </w:rPr>
        <w:t>府性基金预算财政拨款收入支出决算表</w:t>
      </w:r>
      <w:bookmarkEnd w:id="188"/>
      <w:bookmarkEnd w:id="189"/>
      <w:bookmarkEnd w:id="190"/>
      <w:bookmarkEnd w:id="191"/>
      <w:bookmarkEnd w:id="192"/>
      <w:bookmarkEnd w:id="193"/>
    </w:p>
    <w:p>
      <w:pPr>
        <w:pStyle w:val="4"/>
        <w:rPr>
          <w:rFonts w:ascii="仿宋" w:hAnsi="仿宋"/>
        </w:rPr>
      </w:pPr>
      <w:bookmarkStart w:id="194" w:name="_Toc14247"/>
      <w:bookmarkStart w:id="195" w:name="_Toc29127"/>
      <w:bookmarkStart w:id="196" w:name="_Toc26705"/>
      <w:bookmarkStart w:id="197" w:name="_Toc4916"/>
      <w:bookmarkStart w:id="198" w:name="_Toc5981"/>
      <w:bookmarkStart w:id="199" w:name="_Toc6475"/>
      <w:r>
        <w:rPr>
          <w:rStyle w:val="20"/>
          <w:rFonts w:hint="eastAsia" w:ascii="仿宋" w:hAnsi="仿宋"/>
          <w:b w:val="0"/>
          <w:bCs w:val="0"/>
        </w:rPr>
        <w:t>十二、</w:t>
      </w:r>
      <w:r>
        <w:rPr>
          <w:rFonts w:hint="eastAsia" w:ascii="仿宋" w:hAnsi="仿宋"/>
          <w:b w:val="0"/>
        </w:rPr>
        <w:t>政</w:t>
      </w:r>
      <w:r>
        <w:rPr>
          <w:rStyle w:val="20"/>
          <w:rFonts w:hint="eastAsia" w:ascii="仿宋" w:hAnsi="仿宋"/>
          <w:b w:val="0"/>
          <w:bCs w:val="0"/>
        </w:rPr>
        <w:t>府性基金预算财政拨款“三公”经费支出决算表</w:t>
      </w:r>
      <w:bookmarkEnd w:id="194"/>
      <w:bookmarkEnd w:id="195"/>
      <w:bookmarkEnd w:id="196"/>
      <w:bookmarkEnd w:id="197"/>
      <w:bookmarkEnd w:id="198"/>
      <w:bookmarkEnd w:id="199"/>
    </w:p>
    <w:p>
      <w:pPr>
        <w:pStyle w:val="4"/>
        <w:rPr>
          <w:rStyle w:val="20"/>
          <w:rFonts w:ascii="仿宋" w:hAnsi="仿宋"/>
          <w:b w:val="0"/>
          <w:bCs w:val="0"/>
        </w:rPr>
      </w:pPr>
      <w:bookmarkStart w:id="200" w:name="_Toc5513"/>
      <w:bookmarkStart w:id="201" w:name="_Toc7933"/>
      <w:bookmarkStart w:id="202" w:name="_Toc6090"/>
      <w:bookmarkStart w:id="203" w:name="_Toc28303"/>
      <w:bookmarkStart w:id="204" w:name="_Toc28938"/>
      <w:bookmarkStart w:id="205" w:name="_Toc31943"/>
      <w:r>
        <w:rPr>
          <w:rStyle w:val="20"/>
          <w:rFonts w:hint="eastAsia" w:ascii="仿宋" w:hAnsi="仿宋"/>
          <w:b w:val="0"/>
          <w:bCs w:val="0"/>
        </w:rPr>
        <w:t>十三、</w:t>
      </w:r>
      <w:r>
        <w:rPr>
          <w:rFonts w:hint="eastAsia" w:ascii="仿宋" w:hAnsi="仿宋"/>
          <w:b w:val="0"/>
        </w:rPr>
        <w:t>国</w:t>
      </w:r>
      <w:r>
        <w:rPr>
          <w:rStyle w:val="20"/>
          <w:rFonts w:hint="eastAsia" w:ascii="仿宋" w:hAnsi="仿宋"/>
          <w:b w:val="0"/>
          <w:bCs w:val="0"/>
        </w:rPr>
        <w:t>有资本经营预算财政拨款收入支出决算表</w:t>
      </w:r>
      <w:bookmarkEnd w:id="200"/>
      <w:bookmarkEnd w:id="201"/>
      <w:bookmarkEnd w:id="202"/>
      <w:bookmarkEnd w:id="203"/>
      <w:bookmarkEnd w:id="204"/>
      <w:bookmarkEnd w:id="205"/>
    </w:p>
    <w:p>
      <w:pPr>
        <w:spacing w:line="700" w:lineRule="exact"/>
      </w:pPr>
      <w:bookmarkStart w:id="206" w:name="_Toc21029"/>
      <w:bookmarkStart w:id="207" w:name="_Toc30188"/>
      <w:bookmarkStart w:id="208" w:name="_Toc7079"/>
      <w:bookmarkStart w:id="209" w:name="_Toc32155"/>
      <w:bookmarkStart w:id="210" w:name="_Toc7077"/>
      <w:bookmarkStart w:id="211" w:name="_Toc16780"/>
      <w:r>
        <w:rPr>
          <w:rStyle w:val="20"/>
          <w:rFonts w:hint="eastAsia" w:ascii="仿宋" w:hAnsi="仿宋"/>
          <w:b w:val="0"/>
          <w:bCs w:val="0"/>
        </w:rPr>
        <w:t>十四、国有资本经营预算财政拨款支出决算表</w:t>
      </w:r>
      <w:bookmarkEnd w:id="206"/>
      <w:bookmarkEnd w:id="207"/>
      <w:bookmarkEnd w:id="208"/>
      <w:bookmarkEnd w:id="209"/>
      <w:bookmarkEnd w:id="210"/>
      <w:bookmarkEnd w:id="211"/>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00"/>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52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g1ZGZhM2IyYWRkMzA0MDQ5MWUwYzQwZDY5MmE4ZWEifQ=="/>
  </w:docVars>
  <w:rsids>
    <w:rsidRoot w:val="00037257"/>
    <w:rsid w:val="00017F73"/>
    <w:rsid w:val="00035E93"/>
    <w:rsid w:val="00037257"/>
    <w:rsid w:val="0006568B"/>
    <w:rsid w:val="00070A16"/>
    <w:rsid w:val="000D067D"/>
    <w:rsid w:val="000D3F64"/>
    <w:rsid w:val="000E2491"/>
    <w:rsid w:val="001304A6"/>
    <w:rsid w:val="00205321"/>
    <w:rsid w:val="0022568E"/>
    <w:rsid w:val="0025025D"/>
    <w:rsid w:val="00267287"/>
    <w:rsid w:val="002B44F6"/>
    <w:rsid w:val="00396C40"/>
    <w:rsid w:val="003F0D4E"/>
    <w:rsid w:val="004237C0"/>
    <w:rsid w:val="004507EB"/>
    <w:rsid w:val="00462381"/>
    <w:rsid w:val="00494C03"/>
    <w:rsid w:val="004A6AB6"/>
    <w:rsid w:val="005009A3"/>
    <w:rsid w:val="00503726"/>
    <w:rsid w:val="00506D73"/>
    <w:rsid w:val="005239F3"/>
    <w:rsid w:val="00541FC0"/>
    <w:rsid w:val="005570AA"/>
    <w:rsid w:val="00597065"/>
    <w:rsid w:val="005B158F"/>
    <w:rsid w:val="005E0B07"/>
    <w:rsid w:val="006B45E2"/>
    <w:rsid w:val="006C3501"/>
    <w:rsid w:val="006F73C3"/>
    <w:rsid w:val="00721E36"/>
    <w:rsid w:val="00723FE0"/>
    <w:rsid w:val="00731CE1"/>
    <w:rsid w:val="00775732"/>
    <w:rsid w:val="007779E1"/>
    <w:rsid w:val="007A4C37"/>
    <w:rsid w:val="007B29EB"/>
    <w:rsid w:val="007D3AAD"/>
    <w:rsid w:val="007E3747"/>
    <w:rsid w:val="007F4280"/>
    <w:rsid w:val="00811CEA"/>
    <w:rsid w:val="0085581C"/>
    <w:rsid w:val="008E42A3"/>
    <w:rsid w:val="008E552F"/>
    <w:rsid w:val="008F7699"/>
    <w:rsid w:val="00906D3E"/>
    <w:rsid w:val="00915054"/>
    <w:rsid w:val="00A40423"/>
    <w:rsid w:val="00A47BC9"/>
    <w:rsid w:val="00A676E5"/>
    <w:rsid w:val="00AB2FD7"/>
    <w:rsid w:val="00AF0200"/>
    <w:rsid w:val="00B07B7A"/>
    <w:rsid w:val="00BA216F"/>
    <w:rsid w:val="00BC4EC6"/>
    <w:rsid w:val="00C00F95"/>
    <w:rsid w:val="00C12B7B"/>
    <w:rsid w:val="00C27914"/>
    <w:rsid w:val="00C34E4F"/>
    <w:rsid w:val="00C830A6"/>
    <w:rsid w:val="00CB0B0D"/>
    <w:rsid w:val="00CC730B"/>
    <w:rsid w:val="00D01191"/>
    <w:rsid w:val="00D4091E"/>
    <w:rsid w:val="00D9515A"/>
    <w:rsid w:val="00DB5EDB"/>
    <w:rsid w:val="00DD2B27"/>
    <w:rsid w:val="00E02B41"/>
    <w:rsid w:val="00E36C90"/>
    <w:rsid w:val="00E87AE7"/>
    <w:rsid w:val="00E933C3"/>
    <w:rsid w:val="00EB751E"/>
    <w:rsid w:val="00EC4D7D"/>
    <w:rsid w:val="00EC7A07"/>
    <w:rsid w:val="00ED05E9"/>
    <w:rsid w:val="00ED29CC"/>
    <w:rsid w:val="00EF7FB4"/>
    <w:rsid w:val="00F11ED4"/>
    <w:rsid w:val="00F35843"/>
    <w:rsid w:val="00F54752"/>
    <w:rsid w:val="00F73A22"/>
    <w:rsid w:val="00FA65A3"/>
    <w:rsid w:val="00FD4C17"/>
    <w:rsid w:val="00FF3B04"/>
    <w:rsid w:val="02B029DE"/>
    <w:rsid w:val="03D0721E"/>
    <w:rsid w:val="04D9374C"/>
    <w:rsid w:val="051573E6"/>
    <w:rsid w:val="05B31A1F"/>
    <w:rsid w:val="05F745FD"/>
    <w:rsid w:val="09016478"/>
    <w:rsid w:val="09AD4DDC"/>
    <w:rsid w:val="0AFE5049"/>
    <w:rsid w:val="0B434142"/>
    <w:rsid w:val="0B7260E8"/>
    <w:rsid w:val="0B9F1F73"/>
    <w:rsid w:val="0C3F5BF4"/>
    <w:rsid w:val="0D194327"/>
    <w:rsid w:val="0E2738B8"/>
    <w:rsid w:val="0E2F32D0"/>
    <w:rsid w:val="0ED1194E"/>
    <w:rsid w:val="0EE8001A"/>
    <w:rsid w:val="0F374C4A"/>
    <w:rsid w:val="0FFB485C"/>
    <w:rsid w:val="10897D96"/>
    <w:rsid w:val="10AA2B31"/>
    <w:rsid w:val="10EC5C69"/>
    <w:rsid w:val="111C0560"/>
    <w:rsid w:val="11A46E8B"/>
    <w:rsid w:val="13313F14"/>
    <w:rsid w:val="136330C6"/>
    <w:rsid w:val="14E451CC"/>
    <w:rsid w:val="16467BBB"/>
    <w:rsid w:val="16D52DDC"/>
    <w:rsid w:val="17932D4E"/>
    <w:rsid w:val="1B7924CA"/>
    <w:rsid w:val="1B7D3DC3"/>
    <w:rsid w:val="1C4739C8"/>
    <w:rsid w:val="1CBD6EBC"/>
    <w:rsid w:val="1DDA408D"/>
    <w:rsid w:val="1DF412DC"/>
    <w:rsid w:val="1F3637BC"/>
    <w:rsid w:val="1F4D70C1"/>
    <w:rsid w:val="1F51568E"/>
    <w:rsid w:val="1F85131C"/>
    <w:rsid w:val="20853119"/>
    <w:rsid w:val="213BDB34"/>
    <w:rsid w:val="21804F44"/>
    <w:rsid w:val="21AA5935"/>
    <w:rsid w:val="232206D2"/>
    <w:rsid w:val="23A1714A"/>
    <w:rsid w:val="267947AD"/>
    <w:rsid w:val="270D4FBD"/>
    <w:rsid w:val="27460FDA"/>
    <w:rsid w:val="27D25752"/>
    <w:rsid w:val="28DD4A4B"/>
    <w:rsid w:val="29556BDE"/>
    <w:rsid w:val="29582E7D"/>
    <w:rsid w:val="296138D0"/>
    <w:rsid w:val="29720552"/>
    <w:rsid w:val="2A7405DB"/>
    <w:rsid w:val="2EDF43AB"/>
    <w:rsid w:val="2FD32D0B"/>
    <w:rsid w:val="304863A9"/>
    <w:rsid w:val="30D33FB8"/>
    <w:rsid w:val="33360FE0"/>
    <w:rsid w:val="355A755C"/>
    <w:rsid w:val="35E352CD"/>
    <w:rsid w:val="36512A81"/>
    <w:rsid w:val="36AC53C0"/>
    <w:rsid w:val="36DC21A6"/>
    <w:rsid w:val="372174EE"/>
    <w:rsid w:val="37F649D8"/>
    <w:rsid w:val="39E80609"/>
    <w:rsid w:val="39F61216"/>
    <w:rsid w:val="3A56723A"/>
    <w:rsid w:val="3B566CE4"/>
    <w:rsid w:val="3ECD4854"/>
    <w:rsid w:val="3ED944FA"/>
    <w:rsid w:val="3F4F5E32"/>
    <w:rsid w:val="3F6E550E"/>
    <w:rsid w:val="3F790E6B"/>
    <w:rsid w:val="3FE6EA73"/>
    <w:rsid w:val="3FF64672"/>
    <w:rsid w:val="40E65973"/>
    <w:rsid w:val="4239739A"/>
    <w:rsid w:val="428C0A17"/>
    <w:rsid w:val="430554BC"/>
    <w:rsid w:val="4527538D"/>
    <w:rsid w:val="45611404"/>
    <w:rsid w:val="469719BC"/>
    <w:rsid w:val="48174664"/>
    <w:rsid w:val="486C5F99"/>
    <w:rsid w:val="48CC0945"/>
    <w:rsid w:val="490B5F77"/>
    <w:rsid w:val="493772C2"/>
    <w:rsid w:val="4A82013A"/>
    <w:rsid w:val="4BAD6DD2"/>
    <w:rsid w:val="4BD71964"/>
    <w:rsid w:val="4C374E91"/>
    <w:rsid w:val="4EDE5BC3"/>
    <w:rsid w:val="500E68BA"/>
    <w:rsid w:val="50225593"/>
    <w:rsid w:val="51EF76A9"/>
    <w:rsid w:val="52A82A88"/>
    <w:rsid w:val="52FD2F22"/>
    <w:rsid w:val="53354068"/>
    <w:rsid w:val="537017EA"/>
    <w:rsid w:val="55BE6AF7"/>
    <w:rsid w:val="56346CAC"/>
    <w:rsid w:val="56B1675C"/>
    <w:rsid w:val="56F07600"/>
    <w:rsid w:val="57D6C202"/>
    <w:rsid w:val="57EF13DB"/>
    <w:rsid w:val="57FF0F3E"/>
    <w:rsid w:val="5C6F4F76"/>
    <w:rsid w:val="5CD56B70"/>
    <w:rsid w:val="5F5707FB"/>
    <w:rsid w:val="5F8B77D7"/>
    <w:rsid w:val="5FFCD123"/>
    <w:rsid w:val="602E6D7A"/>
    <w:rsid w:val="60A163EB"/>
    <w:rsid w:val="60D30B10"/>
    <w:rsid w:val="617E4987"/>
    <w:rsid w:val="63B71586"/>
    <w:rsid w:val="64905530"/>
    <w:rsid w:val="664A72A9"/>
    <w:rsid w:val="664D0FDE"/>
    <w:rsid w:val="668C17ED"/>
    <w:rsid w:val="66C46FD7"/>
    <w:rsid w:val="66D67198"/>
    <w:rsid w:val="67600786"/>
    <w:rsid w:val="68B96D88"/>
    <w:rsid w:val="6BF587FD"/>
    <w:rsid w:val="6BFA0F1A"/>
    <w:rsid w:val="6C8F15ED"/>
    <w:rsid w:val="6CD53AE1"/>
    <w:rsid w:val="6D86543B"/>
    <w:rsid w:val="6E6A7856"/>
    <w:rsid w:val="6EC16B87"/>
    <w:rsid w:val="6EC670D4"/>
    <w:rsid w:val="6ED71E23"/>
    <w:rsid w:val="6F1A7CC4"/>
    <w:rsid w:val="6F5EC61A"/>
    <w:rsid w:val="6F8F6829"/>
    <w:rsid w:val="711F5F87"/>
    <w:rsid w:val="727B0E91"/>
    <w:rsid w:val="733A70C3"/>
    <w:rsid w:val="74D152DE"/>
    <w:rsid w:val="760771F9"/>
    <w:rsid w:val="76D37824"/>
    <w:rsid w:val="76EF8D44"/>
    <w:rsid w:val="796C21B2"/>
    <w:rsid w:val="79941C52"/>
    <w:rsid w:val="79F489E8"/>
    <w:rsid w:val="7AB76D79"/>
    <w:rsid w:val="7ABC3691"/>
    <w:rsid w:val="7B583826"/>
    <w:rsid w:val="7BF017D3"/>
    <w:rsid w:val="7C0C4AAE"/>
    <w:rsid w:val="7C5A6356"/>
    <w:rsid w:val="7DEF0B3B"/>
    <w:rsid w:val="7DF46A98"/>
    <w:rsid w:val="7F537E8D"/>
    <w:rsid w:val="7F77A5E1"/>
    <w:rsid w:val="7F7C17CD"/>
    <w:rsid w:val="7FDDCA99"/>
    <w:rsid w:val="7FEB6EDF"/>
    <w:rsid w:val="7FF38382"/>
    <w:rsid w:val="A8EF1CAB"/>
    <w:rsid w:val="B577F9F1"/>
    <w:rsid w:val="BAFF36E5"/>
    <w:rsid w:val="BBFCA84F"/>
    <w:rsid w:val="BFE381AE"/>
    <w:rsid w:val="C9F7B26E"/>
    <w:rsid w:val="CB4EBD08"/>
    <w:rsid w:val="CFBB2161"/>
    <w:rsid w:val="D3F7450E"/>
    <w:rsid w:val="DB37F4EB"/>
    <w:rsid w:val="DBFFA964"/>
    <w:rsid w:val="DC65A722"/>
    <w:rsid w:val="DF577433"/>
    <w:rsid w:val="DF7FFB8F"/>
    <w:rsid w:val="E5DF4A98"/>
    <w:rsid w:val="FBF93724"/>
    <w:rsid w:val="FE38875E"/>
    <w:rsid w:val="FE9BA9F4"/>
    <w:rsid w:val="FF66689F"/>
    <w:rsid w:val="FF8DB9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32"/>
      <w:lang w:val="en-US" w:eastAsia="zh-CN" w:bidi="ar-SA"/>
    </w:rPr>
  </w:style>
  <w:style w:type="paragraph" w:styleId="3">
    <w:name w:val="heading 1"/>
    <w:basedOn w:val="1"/>
    <w:next w:val="1"/>
    <w:link w:val="19"/>
    <w:qFormat/>
    <w:uiPriority w:val="9"/>
    <w:pPr>
      <w:keepNext/>
      <w:keepLines/>
      <w:spacing w:before="260" w:after="260" w:line="700" w:lineRule="exact"/>
      <w:outlineLvl w:val="0"/>
    </w:pPr>
    <w:rPr>
      <w:rFonts w:ascii="Times New Roman" w:hAnsi="Times New Roman"/>
      <w:b/>
      <w:bCs/>
      <w:kern w:val="44"/>
      <w:sz w:val="44"/>
      <w:szCs w:val="44"/>
    </w:rPr>
  </w:style>
  <w:style w:type="paragraph" w:styleId="4">
    <w:name w:val="heading 2"/>
    <w:basedOn w:val="1"/>
    <w:next w:val="1"/>
    <w:link w:val="20"/>
    <w:qFormat/>
    <w:uiPriority w:val="9"/>
    <w:pPr>
      <w:keepNext/>
      <w:keepLines/>
      <w:spacing w:line="700" w:lineRule="exact"/>
      <w:outlineLvl w:val="1"/>
    </w:pPr>
    <w:rPr>
      <w:rFonts w:ascii="Cambria" w:hAnsi="Cambria"/>
      <w:b/>
      <w:bCs/>
    </w:rPr>
  </w:style>
  <w:style w:type="paragraph" w:styleId="5">
    <w:name w:val="heading 3"/>
    <w:basedOn w:val="1"/>
    <w:next w:val="1"/>
    <w:link w:val="21"/>
    <w:qFormat/>
    <w:uiPriority w:val="9"/>
    <w:pPr>
      <w:keepNext/>
      <w:keepLines/>
      <w:spacing w:before="260" w:after="260" w:line="416" w:lineRule="auto"/>
      <w:outlineLvl w:val="2"/>
    </w:pPr>
    <w:rPr>
      <w:rFonts w:ascii="Times New Roman" w:hAnsi="Times New Roman"/>
      <w:b/>
      <w:bCs/>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link w:val="18"/>
    <w:qFormat/>
    <w:uiPriority w:val="99"/>
    <w:pPr>
      <w:spacing w:beforeLines="30"/>
    </w:pPr>
    <w:rPr>
      <w:rFonts w:ascii="仿宋_GB2312" w:hAnsi="Times New Roman" w:eastAsia="仿宋_GB2312"/>
      <w:kern w:val="0"/>
      <w:sz w:val="24"/>
      <w:szCs w:val="20"/>
    </w:rPr>
  </w:style>
  <w:style w:type="paragraph" w:styleId="6">
    <w:name w:val="Body Text Indent"/>
    <w:basedOn w:val="1"/>
    <w:link w:val="22"/>
    <w:unhideWhenUsed/>
    <w:qFormat/>
    <w:uiPriority w:val="99"/>
    <w:pPr>
      <w:spacing w:after="120"/>
      <w:ind w:left="420" w:leftChars="200"/>
    </w:pPr>
    <w:rPr>
      <w:rFonts w:ascii="Times New Roman" w:hAnsi="Times New Roman"/>
      <w:sz w:val="21"/>
      <w:szCs w:val="24"/>
    </w:rPr>
  </w:style>
  <w:style w:type="paragraph" w:styleId="7">
    <w:name w:val="toc 3"/>
    <w:basedOn w:val="1"/>
    <w:next w:val="1"/>
    <w:unhideWhenUsed/>
    <w:qFormat/>
    <w:uiPriority w:val="39"/>
    <w:pPr>
      <w:tabs>
        <w:tab w:val="right" w:leader="dot" w:pos="8296"/>
      </w:tabs>
      <w:ind w:left="840" w:leftChars="400"/>
    </w:pPr>
    <w:rPr>
      <w:rFonts w:ascii="Times New Roman" w:hAnsi="Times New Roman"/>
      <w:sz w:val="21"/>
      <w:szCs w:val="24"/>
    </w:rPr>
  </w:style>
  <w:style w:type="paragraph" w:styleId="8">
    <w:name w:val="Date"/>
    <w:basedOn w:val="1"/>
    <w:next w:val="1"/>
    <w:link w:val="23"/>
    <w:unhideWhenUsed/>
    <w:qFormat/>
    <w:uiPriority w:val="99"/>
    <w:pPr>
      <w:ind w:left="100" w:leftChars="2500"/>
    </w:pPr>
  </w:style>
  <w:style w:type="paragraph" w:styleId="9">
    <w:name w:val="Balloon Text"/>
    <w:basedOn w:val="1"/>
    <w:link w:val="24"/>
    <w:unhideWhenUsed/>
    <w:qFormat/>
    <w:uiPriority w:val="99"/>
    <w:rPr>
      <w:rFonts w:ascii="Times New Roman" w:hAnsi="Times New Roman"/>
      <w:sz w:val="18"/>
      <w:szCs w:val="18"/>
    </w:rPr>
  </w:style>
  <w:style w:type="paragraph" w:styleId="10">
    <w:name w:val="footer"/>
    <w:basedOn w:val="1"/>
    <w:link w:val="25"/>
    <w:qFormat/>
    <w:uiPriority w:val="99"/>
    <w:pPr>
      <w:tabs>
        <w:tab w:val="center" w:pos="4153"/>
        <w:tab w:val="right" w:pos="8306"/>
      </w:tabs>
      <w:snapToGrid w:val="0"/>
      <w:jc w:val="left"/>
    </w:pPr>
    <w:rPr>
      <w:kern w:val="0"/>
      <w:sz w:val="18"/>
      <w:szCs w:val="20"/>
    </w:rPr>
  </w:style>
  <w:style w:type="paragraph" w:styleId="11">
    <w:name w:val="header"/>
    <w:basedOn w:val="1"/>
    <w:link w:val="26"/>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2">
    <w:name w:val="toc 1"/>
    <w:basedOn w:val="1"/>
    <w:next w:val="1"/>
    <w:link w:val="27"/>
    <w:unhideWhenUsed/>
    <w:qFormat/>
    <w:uiPriority w:val="39"/>
    <w:pPr>
      <w:tabs>
        <w:tab w:val="right" w:leader="dot" w:pos="8296"/>
      </w:tabs>
      <w:spacing w:before="93"/>
      <w:jc w:val="center"/>
    </w:pPr>
    <w:rPr>
      <w:rFonts w:ascii="仿宋" w:hAnsi="仿宋"/>
      <w:sz w:val="24"/>
      <w:szCs w:val="28"/>
    </w:rPr>
  </w:style>
  <w:style w:type="paragraph" w:styleId="13">
    <w:name w:val="toc 2"/>
    <w:basedOn w:val="1"/>
    <w:next w:val="1"/>
    <w:unhideWhenUsed/>
    <w:qFormat/>
    <w:uiPriority w:val="39"/>
    <w:pPr>
      <w:tabs>
        <w:tab w:val="right" w:leader="dot" w:pos="8296"/>
      </w:tabs>
      <w:spacing w:before="93"/>
      <w:ind w:left="640" w:leftChars="200"/>
    </w:pPr>
    <w:rPr>
      <w:rFonts w:ascii="Times New Roman" w:hAnsi="Times New Roman" w:eastAsia="宋体"/>
      <w:sz w:val="24"/>
      <w:szCs w:val="24"/>
    </w:rPr>
  </w:style>
  <w:style w:type="character" w:styleId="16">
    <w:name w:val="Strong"/>
    <w:qFormat/>
    <w:uiPriority w:val="99"/>
    <w:rPr>
      <w:b/>
    </w:rPr>
  </w:style>
  <w:style w:type="character" w:styleId="17">
    <w:name w:val="Hyperlink"/>
    <w:unhideWhenUsed/>
    <w:qFormat/>
    <w:uiPriority w:val="99"/>
    <w:rPr>
      <w:color w:val="0000FF"/>
      <w:u w:val="single"/>
    </w:rPr>
  </w:style>
  <w:style w:type="character" w:customStyle="1" w:styleId="18">
    <w:name w:val="正文文本 Char"/>
    <w:link w:val="2"/>
    <w:qFormat/>
    <w:uiPriority w:val="99"/>
    <w:rPr>
      <w:rFonts w:ascii="仿宋_GB2312" w:hAnsi="Times New Roman" w:eastAsia="仿宋_GB2312" w:cs="Times New Roman"/>
      <w:kern w:val="0"/>
      <w:sz w:val="24"/>
      <w:szCs w:val="20"/>
    </w:rPr>
  </w:style>
  <w:style w:type="character" w:customStyle="1" w:styleId="19">
    <w:name w:val="标题 1 Char"/>
    <w:link w:val="3"/>
    <w:qFormat/>
    <w:uiPriority w:val="9"/>
    <w:rPr>
      <w:rFonts w:ascii="Times New Roman" w:hAnsi="Times New Roman" w:eastAsia="仿宋" w:cs="Times New Roman"/>
      <w:b/>
      <w:bCs/>
      <w:kern w:val="44"/>
      <w:sz w:val="44"/>
      <w:szCs w:val="44"/>
    </w:rPr>
  </w:style>
  <w:style w:type="character" w:customStyle="1" w:styleId="20">
    <w:name w:val="标题 2 Char"/>
    <w:link w:val="4"/>
    <w:qFormat/>
    <w:uiPriority w:val="9"/>
    <w:rPr>
      <w:rFonts w:ascii="Cambria" w:hAnsi="Cambria" w:eastAsia="仿宋" w:cs="Times New Roman"/>
      <w:b/>
      <w:bCs/>
      <w:sz w:val="32"/>
      <w:szCs w:val="32"/>
    </w:rPr>
  </w:style>
  <w:style w:type="character" w:customStyle="1" w:styleId="21">
    <w:name w:val="标题 3 Char"/>
    <w:link w:val="5"/>
    <w:qFormat/>
    <w:uiPriority w:val="9"/>
    <w:rPr>
      <w:rFonts w:ascii="Times New Roman" w:hAnsi="Times New Roman" w:eastAsia="宋体" w:cs="Times New Roman"/>
      <w:b/>
      <w:bCs/>
      <w:sz w:val="32"/>
      <w:szCs w:val="32"/>
    </w:rPr>
  </w:style>
  <w:style w:type="character" w:customStyle="1" w:styleId="22">
    <w:name w:val="正文文本缩进 Char"/>
    <w:link w:val="6"/>
    <w:qFormat/>
    <w:uiPriority w:val="99"/>
    <w:rPr>
      <w:rFonts w:ascii="Times New Roman" w:hAnsi="Times New Roman" w:eastAsia="宋体" w:cs="Times New Roman"/>
      <w:szCs w:val="24"/>
    </w:rPr>
  </w:style>
  <w:style w:type="character" w:customStyle="1" w:styleId="23">
    <w:name w:val="日期 Char"/>
    <w:link w:val="8"/>
    <w:qFormat/>
    <w:uiPriority w:val="99"/>
    <w:rPr>
      <w:rFonts w:ascii="Calibri" w:hAnsi="Calibri" w:eastAsia="宋体" w:cs="Times New Roman"/>
      <w:sz w:val="32"/>
      <w:szCs w:val="32"/>
    </w:rPr>
  </w:style>
  <w:style w:type="character" w:customStyle="1" w:styleId="24">
    <w:name w:val="批注框文本 Char"/>
    <w:link w:val="9"/>
    <w:qFormat/>
    <w:uiPriority w:val="99"/>
    <w:rPr>
      <w:rFonts w:ascii="Times New Roman" w:hAnsi="Times New Roman" w:eastAsia="宋体" w:cs="Times New Roman"/>
      <w:sz w:val="18"/>
      <w:szCs w:val="18"/>
    </w:rPr>
  </w:style>
  <w:style w:type="character" w:customStyle="1" w:styleId="25">
    <w:name w:val="页脚 Char"/>
    <w:link w:val="10"/>
    <w:qFormat/>
    <w:uiPriority w:val="99"/>
    <w:rPr>
      <w:rFonts w:ascii="Calibri" w:hAnsi="Calibri" w:eastAsia="宋体" w:cs="Times New Roman"/>
      <w:kern w:val="0"/>
      <w:sz w:val="18"/>
      <w:szCs w:val="20"/>
    </w:rPr>
  </w:style>
  <w:style w:type="character" w:customStyle="1" w:styleId="26">
    <w:name w:val="页眉 Char"/>
    <w:link w:val="11"/>
    <w:semiHidden/>
    <w:qFormat/>
    <w:uiPriority w:val="99"/>
    <w:rPr>
      <w:rFonts w:ascii="Calibri" w:hAnsi="Calibri" w:eastAsia="宋体" w:cs="Times New Roman"/>
      <w:kern w:val="0"/>
      <w:sz w:val="18"/>
      <w:szCs w:val="20"/>
    </w:rPr>
  </w:style>
  <w:style w:type="character" w:customStyle="1" w:styleId="27">
    <w:name w:val="目录 1 Char"/>
    <w:link w:val="12"/>
    <w:qFormat/>
    <w:uiPriority w:val="39"/>
    <w:rPr>
      <w:rFonts w:ascii="仿宋" w:hAnsi="仿宋" w:eastAsia="仿宋"/>
      <w:sz w:val="24"/>
      <w:szCs w:val="28"/>
    </w:rPr>
  </w:style>
  <w:style w:type="character" w:customStyle="1" w:styleId="28">
    <w:name w:val="Body Text Char"/>
    <w:semiHidden/>
    <w:qFormat/>
    <w:uiPriority w:val="99"/>
    <w:rPr>
      <w:rFonts w:ascii="Times New Roman" w:hAnsi="Times New Roman"/>
      <w:szCs w:val="24"/>
    </w:rPr>
  </w:style>
  <w:style w:type="character" w:customStyle="1" w:styleId="29">
    <w:name w:val="font41"/>
    <w:qFormat/>
    <w:uiPriority w:val="0"/>
    <w:rPr>
      <w:rFonts w:hint="eastAsia" w:ascii="宋体" w:hAnsi="宋体" w:eastAsia="宋体" w:cs="宋体"/>
      <w:color w:val="000000"/>
      <w:sz w:val="20"/>
      <w:szCs w:val="20"/>
      <w:u w:val="none"/>
    </w:rPr>
  </w:style>
  <w:style w:type="character" w:customStyle="1" w:styleId="30">
    <w:name w:val="Footer Char"/>
    <w:semiHidden/>
    <w:qFormat/>
    <w:uiPriority w:val="99"/>
    <w:rPr>
      <w:rFonts w:ascii="Times New Roman" w:hAnsi="Times New Roman"/>
      <w:sz w:val="18"/>
      <w:szCs w:val="18"/>
    </w:rPr>
  </w:style>
  <w:style w:type="character" w:customStyle="1" w:styleId="31">
    <w:name w:val="Header Char"/>
    <w:semiHidden/>
    <w:qFormat/>
    <w:uiPriority w:val="99"/>
    <w:rPr>
      <w:rFonts w:ascii="Times New Roman" w:hAnsi="Times New Roman"/>
      <w:sz w:val="18"/>
      <w:szCs w:val="18"/>
    </w:rPr>
  </w:style>
  <w:style w:type="character" w:customStyle="1" w:styleId="32">
    <w:name w:val="font01"/>
    <w:qFormat/>
    <w:uiPriority w:val="0"/>
    <w:rPr>
      <w:rFonts w:hint="default" w:ascii="Arial" w:hAnsi="Arial" w:cs="Arial"/>
      <w:color w:val="000000"/>
      <w:sz w:val="20"/>
      <w:szCs w:val="20"/>
      <w:u w:val="none"/>
    </w:rPr>
  </w:style>
  <w:style w:type="character" w:customStyle="1" w:styleId="33">
    <w:name w:val="font51"/>
    <w:qFormat/>
    <w:uiPriority w:val="0"/>
    <w:rPr>
      <w:rFonts w:hint="eastAsia" w:ascii="宋体" w:hAnsi="宋体" w:eastAsia="宋体" w:cs="宋体"/>
      <w:color w:val="000000"/>
      <w:sz w:val="20"/>
      <w:szCs w:val="20"/>
      <w:u w:val="none"/>
    </w:rPr>
  </w:style>
  <w:style w:type="paragraph" w:customStyle="1" w:styleId="34">
    <w:name w:val="WPSOffice手动目录 3"/>
    <w:qFormat/>
    <w:uiPriority w:val="0"/>
    <w:pPr>
      <w:ind w:left="400" w:leftChars="400"/>
    </w:pPr>
    <w:rPr>
      <w:rFonts w:ascii="Calibri" w:hAnsi="Calibri" w:eastAsia="宋体" w:cs="Times New Roman"/>
      <w:lang w:val="en-US" w:eastAsia="zh-CN" w:bidi="ar-SA"/>
    </w:rPr>
  </w:style>
  <w:style w:type="paragraph" w:customStyle="1" w:styleId="35">
    <w:name w:val="TOC 标题1"/>
    <w:basedOn w:val="3"/>
    <w:next w:val="1"/>
    <w:unhideWhenUsed/>
    <w:qFormat/>
    <w:uiPriority w:val="39"/>
    <w:pPr>
      <w:widowControl/>
      <w:spacing w:before="480" w:line="276" w:lineRule="auto"/>
      <w:jc w:val="left"/>
      <w:outlineLvl w:val="9"/>
    </w:pPr>
    <w:rPr>
      <w:rFonts w:ascii="Cambria" w:hAnsi="Cambria"/>
      <w:color w:val="365F91"/>
      <w:kern w:val="0"/>
      <w:sz w:val="28"/>
      <w:szCs w:val="28"/>
    </w:rPr>
  </w:style>
  <w:style w:type="paragraph" w:customStyle="1" w:styleId="36">
    <w:name w:val="WPSOffice手动目录 2"/>
    <w:qFormat/>
    <w:uiPriority w:val="0"/>
    <w:pPr>
      <w:ind w:left="200" w:leftChars="200"/>
    </w:pPr>
    <w:rPr>
      <w:rFonts w:ascii="Calibri" w:hAnsi="Calibri" w:eastAsia="宋体" w:cs="Times New Roman"/>
      <w:sz w:val="24"/>
      <w:lang w:val="en-US" w:eastAsia="zh-CN" w:bidi="ar-SA"/>
    </w:rPr>
  </w:style>
  <w:style w:type="paragraph" w:customStyle="1" w:styleId="3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8">
    <w:name w:val="TOC 标题2"/>
    <w:basedOn w:val="3"/>
    <w:next w:val="1"/>
    <w:unhideWhenUsed/>
    <w:qFormat/>
    <w:uiPriority w:val="39"/>
    <w:pPr>
      <w:widowControl/>
      <w:spacing w:before="480" w:line="276" w:lineRule="auto"/>
      <w:jc w:val="left"/>
      <w:outlineLvl w:val="9"/>
    </w:pPr>
    <w:rPr>
      <w:rFonts w:ascii="Cambria" w:hAnsi="Cambria"/>
      <w:color w:val="365F91"/>
      <w:kern w:val="0"/>
      <w:sz w:val="28"/>
      <w:szCs w:val="28"/>
    </w:rPr>
  </w:style>
  <w:style w:type="paragraph" w:customStyle="1" w:styleId="39">
    <w:name w:val="WPSOffice手动目录 1"/>
    <w:qFormat/>
    <w:uiPriority w:val="0"/>
    <w:rPr>
      <w:rFonts w:ascii="Calibri" w:hAnsi="Calibri" w:eastAsia="仿宋" w:cs="Times New Roman"/>
      <w:sz w:val="24"/>
      <w:lang w:val="en-US" w:eastAsia="zh-CN" w:bidi="ar-SA"/>
    </w:rPr>
  </w:style>
  <w:style w:type="paragraph" w:styleId="40">
    <w:name w:val="List Paragraph"/>
    <w:basedOn w:val="1"/>
    <w:qFormat/>
    <w:uiPriority w:val="34"/>
    <w:pPr>
      <w:ind w:firstLine="420" w:firstLineChars="200"/>
    </w:pPr>
    <w:rPr>
      <w:rFonts w:ascii="Times New Roman" w:hAnsi="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textRotate="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3170</Words>
  <Characters>18072</Characters>
  <Lines>150</Lines>
  <Paragraphs>42</Paragraphs>
  <TotalTime>7</TotalTime>
  <ScaleCrop>false</ScaleCrop>
  <LinksUpToDate>false</LinksUpToDate>
  <CharactersWithSpaces>21200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2021-09-02T17:34:00Z</dcterms:created>
  <dc:creator>蒲彦君</dc:creator>
  <cp:lastModifiedBy>pu'yan'jun</cp:lastModifiedBy>
  <dcterms:modified xsi:type="dcterms:W3CDTF">2022-08-29T00:59:20Z</dcterms:modified>
  <dc:title>关于报送2021年部门决算公开信息的请示</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0287CDD8679B4725B12B8FB5DCBE5F28</vt:lpwstr>
  </property>
</Properties>
</file>