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bookmarkEnd w:id="0"/>
    <w:p>
      <w:pPr>
        <w:overflowPunct w:val="0"/>
        <w:adjustRightInd w:val="0"/>
        <w:snapToGrid w:val="0"/>
        <w:jc w:val="center"/>
        <w:rPr>
          <w:rFonts w:eastAsia="方正小标宋_GBK"/>
          <w:b/>
          <w:snapToGrid w:val="0"/>
          <w:color w:val="000000"/>
          <w:kern w:val="0"/>
          <w:sz w:val="60"/>
          <w:szCs w:val="60"/>
        </w:rPr>
      </w:pPr>
      <w:bookmarkStart w:id="1" w:name="_Toc15396475"/>
      <w:bookmarkStart w:id="2" w:name="_Toc15377425"/>
      <w:bookmarkStart w:id="3" w:name="_Toc15378441"/>
      <w:bookmarkStart w:id="4" w:name="_Toc15396597"/>
      <w:bookmarkStart w:id="5" w:name="_Toc15377193"/>
      <w:r>
        <w:rPr>
          <w:rFonts w:eastAsia="方正小标宋_GBK"/>
          <w:b/>
          <w:snapToGrid w:val="0"/>
          <w:color w:val="000000"/>
          <w:kern w:val="0"/>
          <w:sz w:val="60"/>
          <w:szCs w:val="60"/>
        </w:rPr>
        <w:t>20</w:t>
      </w:r>
      <w:r>
        <w:rPr>
          <w:rFonts w:hint="eastAsia" w:eastAsia="方正小标宋_GBK"/>
          <w:b/>
          <w:snapToGrid w:val="0"/>
          <w:color w:val="000000"/>
          <w:kern w:val="0"/>
          <w:sz w:val="60"/>
          <w:szCs w:val="60"/>
          <w:lang w:val="en-US" w:eastAsia="zh-CN"/>
        </w:rPr>
        <w:t>20</w:t>
      </w:r>
      <w:r>
        <w:rPr>
          <w:rFonts w:eastAsia="方正小标宋_GBK"/>
          <w:b/>
          <w:snapToGrid w:val="0"/>
          <w:color w:val="000000"/>
          <w:kern w:val="0"/>
          <w:sz w:val="60"/>
          <w:szCs w:val="60"/>
        </w:rPr>
        <w:t>年度</w:t>
      </w:r>
      <w:bookmarkEnd w:id="1"/>
      <w:bookmarkEnd w:id="2"/>
      <w:bookmarkEnd w:id="3"/>
      <w:bookmarkEnd w:id="4"/>
      <w:bookmarkEnd w:id="5"/>
      <w:bookmarkStart w:id="6" w:name="_Toc15377194"/>
      <w:bookmarkStart w:id="7" w:name="_Toc15396476"/>
      <w:bookmarkStart w:id="8" w:name="_Toc15396598"/>
      <w:bookmarkStart w:id="9" w:name="_Toc15378442"/>
      <w:bookmarkStart w:id="10" w:name="_Toc15377426"/>
    </w:p>
    <w:p>
      <w:pPr>
        <w:overflowPunct w:val="0"/>
        <w:adjustRightInd w:val="0"/>
        <w:snapToGrid w:val="0"/>
        <w:jc w:val="center"/>
        <w:rPr>
          <w:rFonts w:eastAsia="方正小标宋_GBK"/>
          <w:b/>
          <w:snapToGrid w:val="0"/>
          <w:color w:val="000000"/>
          <w:kern w:val="0"/>
          <w:sz w:val="60"/>
          <w:szCs w:val="60"/>
        </w:rPr>
      </w:pPr>
      <w:r>
        <w:rPr>
          <w:rFonts w:eastAsia="方正小标宋_GBK"/>
          <w:b/>
          <w:snapToGrid w:val="0"/>
          <w:color w:val="000000"/>
          <w:kern w:val="0"/>
          <w:sz w:val="60"/>
          <w:szCs w:val="60"/>
        </w:rPr>
        <w:t>中共四川省</w:t>
      </w:r>
      <w:bookmarkStart w:id="11" w:name="_Toc15306268"/>
      <w:r>
        <w:rPr>
          <w:rFonts w:eastAsia="方正小标宋_GBK"/>
          <w:b/>
          <w:snapToGrid w:val="0"/>
          <w:color w:val="000000"/>
          <w:kern w:val="0"/>
          <w:sz w:val="60"/>
          <w:szCs w:val="60"/>
        </w:rPr>
        <w:t>委宣传部部门决算</w:t>
      </w:r>
      <w:bookmarkEnd w:id="6"/>
      <w:bookmarkEnd w:id="7"/>
      <w:bookmarkEnd w:id="8"/>
      <w:bookmarkEnd w:id="9"/>
      <w:bookmarkEnd w:id="10"/>
      <w:bookmarkEnd w:id="11"/>
    </w:p>
    <w:p>
      <w:pPr>
        <w:widowControl/>
        <w:jc w:val="center"/>
        <w:rPr>
          <w:rFonts w:ascii="黑体" w:eastAsia="黑体"/>
          <w:color w:val="000000"/>
          <w:sz w:val="48"/>
          <w:szCs w:val="48"/>
        </w:rPr>
      </w:pPr>
      <w:r>
        <w:rPr>
          <w:rFonts w:ascii="方正小标宋简体" w:eastAsia="方正小标宋简体"/>
          <w:color w:val="000000"/>
          <w:sz w:val="36"/>
          <w:szCs w:val="36"/>
        </w:rPr>
        <w:br w:type="page"/>
      </w:r>
      <w:r>
        <w:rPr>
          <w:rFonts w:hint="eastAsia" w:ascii="黑体" w:eastAsia="黑体"/>
          <w:b/>
          <w:bCs/>
          <w:color w:val="000000"/>
          <w:sz w:val="48"/>
          <w:szCs w:val="48"/>
        </w:rPr>
        <w:t>目</w:t>
      </w:r>
      <w:r>
        <w:rPr>
          <w:rFonts w:hint="eastAsia" w:ascii="黑体" w:eastAsia="黑体"/>
          <w:b/>
          <w:bCs/>
          <w:color w:val="000000"/>
          <w:sz w:val="48"/>
          <w:szCs w:val="48"/>
          <w:lang w:val="en-US" w:eastAsia="zh-CN"/>
        </w:rPr>
        <w:t xml:space="preserve">  </w:t>
      </w:r>
      <w:r>
        <w:rPr>
          <w:rFonts w:hint="eastAsia" w:ascii="黑体" w:eastAsia="黑体"/>
          <w:b/>
          <w:bCs/>
          <w:color w:val="000000"/>
          <w:sz w:val="48"/>
          <w:szCs w:val="48"/>
        </w:rPr>
        <w:t>录</w:t>
      </w:r>
    </w:p>
    <w:p>
      <w:pPr>
        <w:widowControl/>
        <w:jc w:val="center"/>
        <w:rPr>
          <w:rFonts w:ascii="黑体" w:eastAsia="黑体" w:cs="Arial"/>
          <w:sz w:val="28"/>
          <w:szCs w:val="28"/>
        </w:rPr>
      </w:pPr>
    </w:p>
    <w:p>
      <w:pPr>
        <w:pStyle w:val="10"/>
        <w:rPr>
          <w:b/>
          <w:bCs/>
          <w:highlight w:val="none"/>
        </w:rPr>
      </w:pPr>
      <w:r>
        <w:rPr>
          <w:rFonts w:hint="eastAsia"/>
          <w:b/>
          <w:bCs/>
        </w:rPr>
        <w:t>公开时间：</w:t>
      </w:r>
      <w:r>
        <w:rPr>
          <w:rFonts w:hint="eastAsia"/>
          <w:b/>
          <w:bCs/>
          <w:highlight w:val="none"/>
        </w:rPr>
        <w:t>202</w:t>
      </w:r>
      <w:r>
        <w:rPr>
          <w:rFonts w:hint="eastAsia"/>
          <w:b/>
          <w:bCs/>
          <w:highlight w:val="none"/>
          <w:lang w:val="en-US" w:eastAsia="zh-CN"/>
        </w:rPr>
        <w:t>1</w:t>
      </w:r>
      <w:r>
        <w:rPr>
          <w:rFonts w:hint="eastAsia"/>
          <w:b/>
          <w:bCs/>
          <w:highlight w:val="none"/>
        </w:rPr>
        <w:t>年</w:t>
      </w:r>
      <w:r>
        <w:rPr>
          <w:rFonts w:hint="eastAsia"/>
          <w:b/>
          <w:bCs/>
          <w:highlight w:val="none"/>
          <w:lang w:val="en-US" w:eastAsia="zh-CN"/>
        </w:rPr>
        <w:t>8</w:t>
      </w:r>
      <w:r>
        <w:rPr>
          <w:rFonts w:hint="eastAsia"/>
          <w:b/>
          <w:bCs/>
          <w:highlight w:val="none"/>
        </w:rPr>
        <w:t>月3</w:t>
      </w:r>
      <w:r>
        <w:rPr>
          <w:rFonts w:hint="eastAsia"/>
          <w:b/>
          <w:bCs/>
          <w:highlight w:val="none"/>
          <w:lang w:val="en-US" w:eastAsia="zh-CN"/>
        </w:rPr>
        <w:t>0</w:t>
      </w:r>
      <w:r>
        <w:rPr>
          <w:rFonts w:hint="eastAsia"/>
          <w:b/>
          <w:bCs/>
          <w:highlight w:val="none"/>
        </w:rPr>
        <w:t>日</w:t>
      </w:r>
    </w:p>
    <w:p/>
    <w:p>
      <w:pPr>
        <w:pStyle w:val="10"/>
        <w:tabs>
          <w:tab w:val="right" w:leader="dot" w:pos="8306"/>
          <w:tab w:val="clear" w:pos="8296"/>
        </w:tabs>
        <w:overflowPunct w:val="0"/>
        <w:adjustRightInd w:val="0"/>
        <w:snapToGrid w:val="0"/>
        <w:spacing w:before="0" w:line="600" w:lineRule="exact"/>
        <w:jc w:val="both"/>
        <w:rPr>
          <w:rFonts w:ascii="Times New Roman" w:hAnsi="Times New Roman" w:eastAsia="仿宋_GB2312"/>
          <w:b/>
          <w:snapToGrid w:val="0"/>
          <w:kern w:val="0"/>
          <w:sz w:val="32"/>
        </w:rPr>
      </w:pPr>
      <w:r>
        <w:rPr>
          <w:rFonts w:ascii="Times New Roman" w:hAnsi="Times New Roman" w:eastAsia="黑体"/>
          <w:b/>
          <w:snapToGrid w:val="0"/>
          <w:kern w:val="0"/>
          <w:sz w:val="32"/>
        </w:rPr>
        <w:fldChar w:fldCharType="begin"/>
      </w:r>
      <w:r>
        <w:instrText xml:space="preserve">HYPERLINK  \l "_Toc28343"</w:instrText>
      </w:r>
      <w:r>
        <w:rPr>
          <w:rFonts w:ascii="Times New Roman" w:hAnsi="Times New Roman" w:eastAsia="黑体"/>
          <w:b/>
          <w:snapToGrid w:val="0"/>
          <w:kern w:val="0"/>
          <w:sz w:val="32"/>
        </w:rPr>
        <w:fldChar w:fldCharType="separate"/>
      </w:r>
      <w:r>
        <w:rPr>
          <w:rFonts w:ascii="Times New Roman" w:hAnsi="Times New Roman" w:eastAsia="黑体"/>
          <w:b/>
          <w:snapToGrid w:val="0"/>
          <w:kern w:val="0"/>
          <w:sz w:val="32"/>
        </w:rPr>
        <w:t>第一部分  部门概况</w:t>
      </w:r>
      <w:r>
        <w:rPr>
          <w:rFonts w:ascii="Times New Roman" w:hAnsi="Times New Roman" w:eastAsia="黑体"/>
          <w:b/>
          <w:snapToGrid w:val="0"/>
          <w:kern w:val="0"/>
          <w:sz w:val="32"/>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rPr>
      </w:pPr>
      <w:r>
        <w:rPr>
          <w:rFonts w:eastAsia="仿宋_GB2312"/>
          <w:b/>
          <w:snapToGrid w:val="0"/>
          <w:kern w:val="0"/>
          <w:sz w:val="32"/>
          <w:szCs w:val="28"/>
        </w:rPr>
        <w:fldChar w:fldCharType="begin"/>
      </w:r>
      <w:r>
        <w:instrText xml:space="preserve">HYPERLINK  \l "_Toc10465"</w:instrText>
      </w:r>
      <w:r>
        <w:rPr>
          <w:rFonts w:eastAsia="仿宋_GB2312"/>
          <w:b/>
          <w:snapToGrid w:val="0"/>
          <w:kern w:val="0"/>
          <w:sz w:val="32"/>
          <w:szCs w:val="28"/>
        </w:rPr>
        <w:fldChar w:fldCharType="separate"/>
      </w:r>
      <w:r>
        <w:rPr>
          <w:rFonts w:eastAsia="仿宋_GB2312"/>
          <w:b/>
          <w:snapToGrid w:val="0"/>
          <w:kern w:val="0"/>
          <w:sz w:val="32"/>
          <w:szCs w:val="28"/>
        </w:rPr>
        <w:t>一、基本职能及主要工作</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rPr>
      </w:pPr>
      <w:r>
        <w:rPr>
          <w:rFonts w:eastAsia="仿宋_GB2312"/>
          <w:b/>
          <w:snapToGrid w:val="0"/>
          <w:kern w:val="0"/>
          <w:sz w:val="32"/>
          <w:szCs w:val="28"/>
        </w:rPr>
        <w:fldChar w:fldCharType="begin"/>
      </w:r>
      <w:r>
        <w:instrText xml:space="preserve">HYPERLINK  \l "_Toc30481"</w:instrText>
      </w:r>
      <w:r>
        <w:rPr>
          <w:rFonts w:eastAsia="仿宋_GB2312"/>
          <w:b/>
          <w:snapToGrid w:val="0"/>
          <w:kern w:val="0"/>
          <w:sz w:val="32"/>
          <w:szCs w:val="28"/>
        </w:rPr>
        <w:fldChar w:fldCharType="separate"/>
      </w:r>
      <w:r>
        <w:rPr>
          <w:rFonts w:eastAsia="仿宋_GB2312"/>
          <w:b/>
          <w:snapToGrid w:val="0"/>
          <w:kern w:val="0"/>
          <w:sz w:val="32"/>
          <w:szCs w:val="28"/>
        </w:rPr>
        <w:t>二、机构设置</w:t>
      </w:r>
      <w:r>
        <w:rPr>
          <w:rFonts w:eastAsia="仿宋_GB2312"/>
          <w:b/>
          <w:snapToGrid w:val="0"/>
          <w:kern w:val="0"/>
          <w:sz w:val="32"/>
          <w:szCs w:val="28"/>
        </w:rPr>
        <w:fldChar w:fldCharType="end"/>
      </w:r>
    </w:p>
    <w:p>
      <w:pPr>
        <w:pStyle w:val="10"/>
        <w:tabs>
          <w:tab w:val="right" w:leader="dot" w:pos="8306"/>
          <w:tab w:val="clear" w:pos="8296"/>
        </w:tabs>
        <w:overflowPunct w:val="0"/>
        <w:adjustRightInd w:val="0"/>
        <w:snapToGrid w:val="0"/>
        <w:spacing w:before="0" w:line="600" w:lineRule="exact"/>
        <w:jc w:val="both"/>
        <w:rPr>
          <w:rFonts w:hint="eastAsia" w:ascii="Times New Roman" w:hAnsi="Times New Roman" w:eastAsia="仿宋_GB2312"/>
          <w:b/>
          <w:snapToGrid w:val="0"/>
          <w:kern w:val="0"/>
          <w:sz w:val="32"/>
          <w:lang w:val="en-US" w:eastAsia="zh-CN"/>
        </w:rPr>
      </w:pPr>
      <w:r>
        <w:rPr>
          <w:rFonts w:ascii="Times New Roman" w:hAnsi="Times New Roman" w:eastAsia="黑体"/>
          <w:b/>
          <w:snapToGrid w:val="0"/>
          <w:kern w:val="0"/>
          <w:sz w:val="32"/>
        </w:rPr>
        <w:fldChar w:fldCharType="begin"/>
      </w:r>
      <w:r>
        <w:instrText xml:space="preserve">HYPERLINK  \l "_Toc14757"</w:instrText>
      </w:r>
      <w:r>
        <w:rPr>
          <w:rFonts w:ascii="Times New Roman" w:hAnsi="Times New Roman" w:eastAsia="黑体"/>
          <w:b/>
          <w:snapToGrid w:val="0"/>
          <w:kern w:val="0"/>
          <w:sz w:val="32"/>
        </w:rPr>
        <w:fldChar w:fldCharType="separate"/>
      </w:r>
      <w:r>
        <w:rPr>
          <w:rFonts w:ascii="Times New Roman" w:hAnsi="Times New Roman" w:eastAsia="黑体"/>
          <w:b/>
          <w:snapToGrid w:val="0"/>
          <w:kern w:val="0"/>
          <w:sz w:val="32"/>
        </w:rPr>
        <w:t>第二部分  20</w:t>
      </w:r>
      <w:r>
        <w:rPr>
          <w:rFonts w:hint="eastAsia" w:ascii="Times New Roman" w:hAnsi="Times New Roman" w:eastAsia="黑体"/>
          <w:b/>
          <w:snapToGrid w:val="0"/>
          <w:kern w:val="0"/>
          <w:sz w:val="32"/>
          <w:lang w:val="en-US" w:eastAsia="zh-CN"/>
        </w:rPr>
        <w:t>20</w:t>
      </w:r>
      <w:r>
        <w:rPr>
          <w:rFonts w:ascii="Times New Roman" w:hAnsi="Times New Roman" w:eastAsia="黑体"/>
          <w:b/>
          <w:snapToGrid w:val="0"/>
          <w:kern w:val="0"/>
          <w:sz w:val="32"/>
        </w:rPr>
        <w:t>年度部门决算情况说明</w:t>
      </w:r>
      <w:r>
        <w:rPr>
          <w:rFonts w:ascii="Times New Roman" w:hAnsi="Times New Roman" w:eastAsia="黑体"/>
          <w:b/>
          <w:snapToGrid w:val="0"/>
          <w:kern w:val="0"/>
          <w:sz w:val="32"/>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rPr>
      </w:pPr>
      <w:r>
        <w:rPr>
          <w:rFonts w:eastAsia="仿宋_GB2312"/>
          <w:b/>
          <w:snapToGrid w:val="0"/>
          <w:kern w:val="0"/>
          <w:sz w:val="32"/>
          <w:szCs w:val="28"/>
        </w:rPr>
        <w:fldChar w:fldCharType="begin"/>
      </w:r>
      <w:r>
        <w:instrText xml:space="preserve">HYPERLINK  \l "_Toc16626"</w:instrText>
      </w:r>
      <w:r>
        <w:rPr>
          <w:rFonts w:eastAsia="仿宋_GB2312"/>
          <w:b/>
          <w:snapToGrid w:val="0"/>
          <w:kern w:val="0"/>
          <w:sz w:val="32"/>
          <w:szCs w:val="28"/>
        </w:rPr>
        <w:fldChar w:fldCharType="separate"/>
      </w:r>
      <w:r>
        <w:rPr>
          <w:rFonts w:eastAsia="仿宋_GB2312"/>
          <w:b/>
          <w:snapToGrid w:val="0"/>
          <w:kern w:val="0"/>
          <w:sz w:val="32"/>
          <w:szCs w:val="28"/>
        </w:rPr>
        <w:t>一、收入支出决算总体情况说明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"_Toc31396"</w:instrText>
      </w:r>
      <w:r>
        <w:rPr>
          <w:rFonts w:eastAsia="仿宋_GB2312"/>
          <w:b/>
          <w:snapToGrid w:val="0"/>
          <w:kern w:val="0"/>
          <w:sz w:val="32"/>
          <w:szCs w:val="28"/>
        </w:rPr>
        <w:fldChar w:fldCharType="separate"/>
      </w:r>
      <w:r>
        <w:rPr>
          <w:rFonts w:eastAsia="仿宋_GB2312"/>
          <w:b/>
          <w:snapToGrid w:val="0"/>
          <w:kern w:val="0"/>
          <w:sz w:val="32"/>
          <w:szCs w:val="28"/>
        </w:rPr>
        <w:t>二、收入决算情况说明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"_Toc26801"</w:instrText>
      </w:r>
      <w:r>
        <w:rPr>
          <w:rFonts w:eastAsia="仿宋_GB2312"/>
          <w:b/>
          <w:snapToGrid w:val="0"/>
          <w:kern w:val="0"/>
          <w:sz w:val="32"/>
          <w:szCs w:val="28"/>
        </w:rPr>
        <w:fldChar w:fldCharType="separate"/>
      </w:r>
      <w:r>
        <w:rPr>
          <w:rFonts w:eastAsia="仿宋_GB2312"/>
          <w:b/>
          <w:snapToGrid w:val="0"/>
          <w:kern w:val="0"/>
          <w:sz w:val="32"/>
          <w:szCs w:val="28"/>
        </w:rPr>
        <w:t>三、支出决算情况说明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"_Toc28497"</w:instrText>
      </w:r>
      <w:r>
        <w:rPr>
          <w:rFonts w:eastAsia="仿宋_GB2312"/>
          <w:b/>
          <w:snapToGrid w:val="0"/>
          <w:kern w:val="0"/>
          <w:sz w:val="32"/>
          <w:szCs w:val="28"/>
        </w:rPr>
        <w:fldChar w:fldCharType="separate"/>
      </w:r>
      <w:r>
        <w:rPr>
          <w:rFonts w:eastAsia="仿宋_GB2312"/>
          <w:b/>
          <w:snapToGrid w:val="0"/>
          <w:kern w:val="0"/>
          <w:sz w:val="32"/>
          <w:szCs w:val="28"/>
        </w:rPr>
        <w:t>四、财政拨款收入支出决算总体情况说明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"_Toc17032"</w:instrText>
      </w:r>
      <w:r>
        <w:rPr>
          <w:rFonts w:eastAsia="仿宋_GB2312"/>
          <w:b/>
          <w:snapToGrid w:val="0"/>
          <w:kern w:val="0"/>
          <w:sz w:val="32"/>
          <w:szCs w:val="28"/>
        </w:rPr>
        <w:fldChar w:fldCharType="separate"/>
      </w:r>
      <w:r>
        <w:rPr>
          <w:rFonts w:eastAsia="仿宋_GB2312"/>
          <w:b/>
          <w:snapToGrid w:val="0"/>
          <w:kern w:val="0"/>
          <w:sz w:val="32"/>
          <w:szCs w:val="28"/>
        </w:rPr>
        <w:t>五、一般公共预算财政拨款支出决算情况说明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"_Toc18248"</w:instrText>
      </w:r>
      <w:r>
        <w:rPr>
          <w:rFonts w:eastAsia="仿宋_GB2312"/>
          <w:b/>
          <w:snapToGrid w:val="0"/>
          <w:kern w:val="0"/>
          <w:sz w:val="32"/>
          <w:szCs w:val="28"/>
        </w:rPr>
        <w:fldChar w:fldCharType="separate"/>
      </w:r>
      <w:r>
        <w:rPr>
          <w:rFonts w:eastAsia="仿宋_GB2312"/>
          <w:b/>
          <w:snapToGrid w:val="0"/>
          <w:kern w:val="0"/>
          <w:sz w:val="32"/>
          <w:szCs w:val="28"/>
        </w:rPr>
        <w:t>六、一般公共预算财政拨款基本支出决算情况说明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"_Toc25292"</w:instrText>
      </w:r>
      <w:r>
        <w:rPr>
          <w:rFonts w:eastAsia="仿宋_GB2312"/>
          <w:b/>
          <w:snapToGrid w:val="0"/>
          <w:kern w:val="0"/>
          <w:sz w:val="32"/>
          <w:szCs w:val="28"/>
        </w:rPr>
        <w:fldChar w:fldCharType="separate"/>
      </w:r>
      <w:r>
        <w:rPr>
          <w:rFonts w:eastAsia="仿宋_GB2312"/>
          <w:b/>
          <w:snapToGrid w:val="0"/>
          <w:kern w:val="0"/>
          <w:sz w:val="32"/>
          <w:szCs w:val="28"/>
        </w:rPr>
        <w:t>七、“三公”经费财政拨款支出决算情况说明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"_Toc25641"</w:instrText>
      </w:r>
      <w:r>
        <w:rPr>
          <w:rFonts w:eastAsia="仿宋_GB2312"/>
          <w:b/>
          <w:snapToGrid w:val="0"/>
          <w:kern w:val="0"/>
          <w:sz w:val="32"/>
          <w:szCs w:val="28"/>
        </w:rPr>
        <w:fldChar w:fldCharType="separate"/>
      </w:r>
      <w:r>
        <w:rPr>
          <w:rFonts w:eastAsia="仿宋_GB2312"/>
          <w:b/>
          <w:snapToGrid w:val="0"/>
          <w:kern w:val="0"/>
          <w:sz w:val="32"/>
          <w:szCs w:val="28"/>
        </w:rPr>
        <w:t>八、政府性基金预算支出决算情况说明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"_Toc12489"</w:instrText>
      </w:r>
      <w:r>
        <w:rPr>
          <w:rFonts w:eastAsia="仿宋_GB2312"/>
          <w:b/>
          <w:snapToGrid w:val="0"/>
          <w:kern w:val="0"/>
          <w:sz w:val="32"/>
          <w:szCs w:val="28"/>
        </w:rPr>
        <w:fldChar w:fldCharType="separate"/>
      </w:r>
      <w:r>
        <w:rPr>
          <w:rFonts w:eastAsia="仿宋_GB2312"/>
          <w:b/>
          <w:snapToGrid w:val="0"/>
          <w:kern w:val="0"/>
          <w:sz w:val="32"/>
          <w:szCs w:val="28"/>
        </w:rPr>
        <w:t>九、国有资本经营预算支出决算情况说明</w:t>
      </w:r>
      <w:r>
        <w:rPr>
          <w:rFonts w:eastAsia="仿宋_GB2312"/>
          <w:b/>
          <w:snapToGrid w:val="0"/>
          <w:kern w:val="0"/>
          <w:sz w:val="32"/>
          <w:szCs w:val="28"/>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lang w:val="en-US" w:eastAsia="zh-CN"/>
        </w:rPr>
      </w:pPr>
      <w:r>
        <w:rPr>
          <w:rFonts w:eastAsia="仿宋_GB2312"/>
          <w:b/>
          <w:snapToGrid w:val="0"/>
          <w:kern w:val="0"/>
          <w:sz w:val="32"/>
          <w:szCs w:val="28"/>
        </w:rPr>
        <w:fldChar w:fldCharType="begin"/>
      </w:r>
      <w:r>
        <w:instrText xml:space="preserve">HYPERLINK  \l "_Toc8639"</w:instrText>
      </w:r>
      <w:r>
        <w:rPr>
          <w:rFonts w:eastAsia="仿宋_GB2312"/>
          <w:b/>
          <w:snapToGrid w:val="0"/>
          <w:kern w:val="0"/>
          <w:sz w:val="32"/>
          <w:szCs w:val="28"/>
        </w:rPr>
        <w:fldChar w:fldCharType="separate"/>
      </w:r>
      <w:r>
        <w:rPr>
          <w:rFonts w:eastAsia="仿宋_GB2312"/>
          <w:b/>
          <w:snapToGrid w:val="0"/>
          <w:kern w:val="0"/>
          <w:sz w:val="32"/>
          <w:szCs w:val="28"/>
        </w:rPr>
        <w:t>十、其他重要事项的情况说明</w:t>
      </w:r>
      <w:r>
        <w:rPr>
          <w:rFonts w:eastAsia="仿宋_GB2312"/>
          <w:b/>
          <w:snapToGrid w:val="0"/>
          <w:kern w:val="0"/>
          <w:sz w:val="32"/>
          <w:szCs w:val="28"/>
        </w:rPr>
        <w:fldChar w:fldCharType="end"/>
      </w:r>
    </w:p>
    <w:p>
      <w:pPr>
        <w:pStyle w:val="10"/>
        <w:tabs>
          <w:tab w:val="right" w:leader="dot" w:pos="8306"/>
          <w:tab w:val="clear" w:pos="8296"/>
        </w:tabs>
        <w:overflowPunct w:val="0"/>
        <w:adjustRightInd w:val="0"/>
        <w:snapToGrid w:val="0"/>
        <w:spacing w:before="0" w:line="600" w:lineRule="exact"/>
        <w:jc w:val="both"/>
        <w:rPr>
          <w:rFonts w:hint="eastAsia" w:eastAsia="仿宋_GB2312"/>
          <w:lang w:val="en-US" w:eastAsia="zh-CN"/>
        </w:rPr>
      </w:pPr>
      <w:r>
        <w:rPr>
          <w:rFonts w:ascii="Times New Roman" w:hAnsi="Times New Roman" w:eastAsia="黑体"/>
          <w:b/>
          <w:snapToGrid w:val="0"/>
          <w:kern w:val="0"/>
          <w:sz w:val="32"/>
        </w:rPr>
        <w:fldChar w:fldCharType="begin"/>
      </w:r>
      <w:r>
        <w:instrText xml:space="preserve">HYPERLINK  \l "_Toc9252"</w:instrText>
      </w:r>
      <w:r>
        <w:rPr>
          <w:rFonts w:ascii="Times New Roman" w:hAnsi="Times New Roman" w:eastAsia="黑体"/>
          <w:b/>
          <w:snapToGrid w:val="0"/>
          <w:kern w:val="0"/>
          <w:sz w:val="32"/>
        </w:rPr>
        <w:fldChar w:fldCharType="separate"/>
      </w:r>
      <w:r>
        <w:rPr>
          <w:rFonts w:ascii="Times New Roman" w:hAnsi="Times New Roman" w:eastAsia="黑体"/>
          <w:b/>
          <w:snapToGrid w:val="0"/>
          <w:kern w:val="0"/>
          <w:sz w:val="32"/>
        </w:rPr>
        <w:t>第三部分  名词解释</w:t>
      </w:r>
      <w:r>
        <w:rPr>
          <w:rFonts w:ascii="Times New Roman" w:hAnsi="Times New Roman" w:eastAsia="黑体"/>
          <w:b/>
          <w:snapToGrid w:val="0"/>
          <w:kern w:val="0"/>
          <w:sz w:val="32"/>
        </w:rPr>
        <w:fldChar w:fldCharType="end"/>
      </w:r>
    </w:p>
    <w:p>
      <w:pPr>
        <w:pStyle w:val="10"/>
        <w:overflowPunct w:val="0"/>
        <w:adjustRightInd w:val="0"/>
        <w:snapToGrid w:val="0"/>
        <w:spacing w:before="0" w:line="600" w:lineRule="exact"/>
        <w:jc w:val="both"/>
        <w:rPr>
          <w:rFonts w:hint="eastAsia" w:ascii="Times New Roman" w:hAnsi="Times New Roman" w:eastAsia="仿宋_GB2312"/>
          <w:b/>
          <w:snapToGrid w:val="0"/>
          <w:kern w:val="0"/>
          <w:sz w:val="32"/>
        </w:rPr>
      </w:pPr>
      <w:r>
        <w:rPr>
          <w:rFonts w:ascii="Times New Roman" w:hAnsi="Times New Roman" w:eastAsia="黑体"/>
          <w:b/>
          <w:snapToGrid w:val="0"/>
          <w:kern w:val="0"/>
          <w:sz w:val="32"/>
        </w:rPr>
        <w:fldChar w:fldCharType="begin"/>
      </w:r>
      <w:r>
        <w:instrText xml:space="preserve">HYPERLINK  \l "_Toc25752"</w:instrText>
      </w:r>
      <w:r>
        <w:rPr>
          <w:rFonts w:ascii="Times New Roman" w:hAnsi="Times New Roman" w:eastAsia="黑体"/>
          <w:b/>
          <w:snapToGrid w:val="0"/>
          <w:kern w:val="0"/>
          <w:sz w:val="32"/>
        </w:rPr>
        <w:fldChar w:fldCharType="separate"/>
      </w:r>
      <w:r>
        <w:rPr>
          <w:rFonts w:ascii="Times New Roman" w:hAnsi="Times New Roman" w:eastAsia="黑体"/>
          <w:b/>
          <w:snapToGrid w:val="0"/>
          <w:kern w:val="0"/>
          <w:sz w:val="32"/>
        </w:rPr>
        <w:t>第四部分  附件</w:t>
      </w:r>
      <w:r>
        <w:rPr>
          <w:rFonts w:ascii="Times New Roman" w:hAnsi="Times New Roman" w:eastAsia="黑体"/>
          <w:b/>
          <w:snapToGrid w:val="0"/>
          <w:kern w:val="0"/>
          <w:sz w:val="32"/>
        </w:rPr>
        <w:fldChar w:fldCharType="end"/>
      </w:r>
    </w:p>
    <w:p>
      <w:pPr>
        <w:pStyle w:val="11"/>
        <w:adjustRightInd w:val="0"/>
        <w:snapToGrid w:val="0"/>
        <w:spacing w:line="440" w:lineRule="exact"/>
        <w:jc w:val="left"/>
        <w:rPr>
          <w:rFonts w:hint="eastAsia" w:ascii="仿宋_GB2312" w:eastAsia="仿宋_GB2312" w:cs="仿宋_GB2312"/>
          <w:b/>
          <w:bCs/>
          <w:color w:val="auto"/>
          <w:sz w:val="32"/>
          <w:szCs w:val="32"/>
          <w:highlight w:val="none"/>
        </w:rPr>
      </w:pPr>
      <w:r>
        <w:rPr>
          <w:rFonts w:hint="eastAsia" w:ascii="仿宋_GB2312" w:eastAsia="仿宋_GB2312" w:cs="仿宋_GB2312"/>
          <w:b/>
          <w:bCs/>
          <w:color w:val="auto"/>
          <w:sz w:val="32"/>
          <w:szCs w:val="32"/>
          <w:highlight w:val="none"/>
        </w:rPr>
        <w:t>附件1</w:t>
      </w:r>
    </w:p>
    <w:p>
      <w:pPr>
        <w:pStyle w:val="11"/>
        <w:adjustRightInd w:val="0"/>
        <w:snapToGrid w:val="0"/>
        <w:spacing w:line="440" w:lineRule="exact"/>
        <w:jc w:val="left"/>
        <w:rPr>
          <w:rFonts w:hint="eastAsia" w:ascii="仿宋_GB2312" w:eastAsia="仿宋_GB2312" w:cs="仿宋_GB2312"/>
          <w:b/>
          <w:bCs/>
          <w:sz w:val="32"/>
          <w:szCs w:val="32"/>
          <w:lang w:val="en-US" w:eastAsia="zh-CN"/>
        </w:rPr>
      </w:pPr>
      <w:r>
        <w:rPr>
          <w:rFonts w:hint="eastAsia" w:ascii="仿宋_GB2312" w:eastAsia="仿宋_GB2312" w:cs="仿宋_GB2312"/>
          <w:b/>
          <w:bCs/>
          <w:color w:val="auto"/>
          <w:sz w:val="32"/>
          <w:szCs w:val="32"/>
          <w:highlight w:val="none"/>
        </w:rPr>
        <w:t>附件2</w:t>
      </w:r>
    </w:p>
    <w:p>
      <w:pPr>
        <w:rPr>
          <w:rFonts w:ascii="Times New Roman" w:hAnsi="Times New Roman" w:eastAsia="仿宋_GB2312"/>
          <w:b/>
          <w:snapToGrid w:val="0"/>
          <w:kern w:val="0"/>
          <w:sz w:val="32"/>
          <w:highlight w:val="none"/>
        </w:rPr>
      </w:pPr>
      <w:r>
        <w:rPr>
          <w:rFonts w:ascii="Times New Roman" w:hAnsi="Times New Roman" w:eastAsia="黑体"/>
          <w:b/>
          <w:snapToGrid w:val="0"/>
          <w:kern w:val="0"/>
          <w:sz w:val="32"/>
          <w:highlight w:val="none"/>
        </w:rPr>
        <w:fldChar w:fldCharType="begin"/>
      </w:r>
      <w:r>
        <w:instrText xml:space="preserve">HYPERLINK  \l "_Toc19514"</w:instrText>
      </w:r>
      <w:r>
        <w:rPr>
          <w:rFonts w:ascii="Times New Roman" w:hAnsi="Times New Roman" w:eastAsia="黑体"/>
          <w:b/>
          <w:snapToGrid w:val="0"/>
          <w:kern w:val="0"/>
          <w:sz w:val="32"/>
          <w:highlight w:val="none"/>
        </w:rPr>
        <w:fldChar w:fldCharType="separate"/>
      </w:r>
      <w:bookmarkStart w:id="12" w:name="_Toc15377196"/>
      <w:bookmarkStart w:id="13" w:name="_Toc15396599"/>
      <w:r>
        <w:rPr>
          <w:rFonts w:ascii="Times New Roman" w:hAnsi="Times New Roman" w:eastAsia="黑体"/>
          <w:b/>
          <w:snapToGrid w:val="0"/>
          <w:kern w:val="0"/>
          <w:sz w:val="32"/>
          <w:highlight w:val="none"/>
        </w:rPr>
        <w:t>第五部分  附表</w:t>
      </w:r>
      <w:r>
        <w:rPr>
          <w:rFonts w:ascii="Times New Roman" w:hAnsi="Times New Roman" w:eastAsia="黑体"/>
          <w:b/>
          <w:snapToGrid w:val="0"/>
          <w:kern w:val="0"/>
          <w:sz w:val="32"/>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eastAsia="zh-CN"/>
        </w:rPr>
      </w:pPr>
      <w:r>
        <w:rPr>
          <w:rFonts w:eastAsia="仿宋_GB2312"/>
          <w:b/>
          <w:snapToGrid w:val="0"/>
          <w:kern w:val="0"/>
          <w:sz w:val="32"/>
          <w:szCs w:val="28"/>
          <w:highlight w:val="none"/>
        </w:rPr>
        <w:fldChar w:fldCharType="begin"/>
      </w:r>
      <w:r>
        <w:instrText xml:space="preserve">HYPERLINK  \l "_Toc20807"</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一、收入支出决算总表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"_Toc9814"</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三、支出总表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"_Toc20638"</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四、财政拨款收入支出决算总表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"_Toc7032"</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五、财政拨款支出决算明细表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"_Toc9027"</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六、一般公共预算财政拨款支出决算表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"_Toc17036"</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七、一般公共预算财政拨款支出决算明细表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hint="eastAsia" w:eastAsia="仿宋_GB2312"/>
          <w:b/>
          <w:snapToGrid w:val="0"/>
          <w:kern w:val="0"/>
          <w:sz w:val="32"/>
          <w:szCs w:val="28"/>
          <w:highlight w:val="none"/>
          <w:lang w:val="en-US" w:eastAsia="zh-CN"/>
        </w:rPr>
      </w:pPr>
      <w:r>
        <w:rPr>
          <w:rFonts w:eastAsia="仿宋_GB2312"/>
          <w:b/>
          <w:snapToGrid w:val="0"/>
          <w:kern w:val="0"/>
          <w:sz w:val="32"/>
          <w:szCs w:val="28"/>
          <w:highlight w:val="none"/>
        </w:rPr>
        <w:fldChar w:fldCharType="begin"/>
      </w:r>
      <w:r>
        <w:instrText xml:space="preserve">HYPERLINK  \l "_Toc12714"</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八、一般公共预算财政拨款基本支出决算表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"_Toc27282"</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九、一般公共预算财政拨款项目支出决算表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"_Toc9601"</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十、一般公共预算财政拨款“三公”经费支出决算表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"_Toc6769"</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十一、政府性基金预算财政拨款收入支出决算表</w:t>
      </w:r>
      <w:r>
        <w:rPr>
          <w:rFonts w:eastAsia="仿宋_GB2312"/>
          <w:b/>
          <w:snapToGrid w:val="0"/>
          <w:kern w:val="0"/>
          <w:sz w:val="32"/>
          <w:szCs w:val="28"/>
          <w:highlight w:val="none"/>
        </w:rPr>
        <w:fldChar w:fldCharType="end"/>
      </w:r>
    </w:p>
    <w:p>
      <w:pPr>
        <w:pStyle w:val="11"/>
        <w:tabs>
          <w:tab w:val="right" w:leader="dot" w:pos="8306"/>
          <w:tab w:val="clear" w:pos="8296"/>
        </w:tabs>
        <w:overflowPunct w:val="0"/>
        <w:adjustRightInd w:val="0"/>
        <w:snapToGrid w:val="0"/>
        <w:spacing w:line="600" w:lineRule="exact"/>
        <w:ind w:left="0" w:leftChars="0"/>
        <w:rPr>
          <w:rFonts w:eastAsia="仿宋_GB2312"/>
          <w:b/>
          <w:snapToGrid w:val="0"/>
          <w:kern w:val="0"/>
          <w:sz w:val="32"/>
          <w:szCs w:val="28"/>
          <w:highlight w:val="none"/>
        </w:rPr>
      </w:pPr>
      <w:r>
        <w:rPr>
          <w:rFonts w:eastAsia="仿宋_GB2312"/>
          <w:b/>
          <w:snapToGrid w:val="0"/>
          <w:kern w:val="0"/>
          <w:sz w:val="32"/>
          <w:szCs w:val="28"/>
          <w:highlight w:val="none"/>
        </w:rPr>
        <w:fldChar w:fldCharType="begin"/>
      </w:r>
      <w:r>
        <w:instrText xml:space="preserve">HYPERLINK  \l "_Toc1623"</w:instrText>
      </w:r>
      <w:r>
        <w:rPr>
          <w:rFonts w:eastAsia="仿宋_GB2312"/>
          <w:b/>
          <w:snapToGrid w:val="0"/>
          <w:kern w:val="0"/>
          <w:sz w:val="32"/>
          <w:szCs w:val="28"/>
          <w:highlight w:val="none"/>
        </w:rPr>
        <w:fldChar w:fldCharType="separate"/>
      </w:r>
      <w:r>
        <w:rPr>
          <w:rFonts w:eastAsia="仿宋_GB2312"/>
          <w:b/>
          <w:snapToGrid w:val="0"/>
          <w:kern w:val="0"/>
          <w:sz w:val="32"/>
          <w:szCs w:val="28"/>
          <w:highlight w:val="none"/>
        </w:rPr>
        <w:t>十二、政府性基金预算财政拨款“三公”经费支出决算表</w:t>
      </w:r>
      <w:r>
        <w:rPr>
          <w:rFonts w:eastAsia="仿宋_GB2312"/>
          <w:b/>
          <w:snapToGrid w:val="0"/>
          <w:kern w:val="0"/>
          <w:sz w:val="32"/>
          <w:szCs w:val="28"/>
          <w:highlight w:val="none"/>
        </w:rPr>
        <w:fldChar w:fldCharType="end"/>
      </w:r>
    </w:p>
    <w:p>
      <w:pPr>
        <w:pStyle w:val="11"/>
        <w:adjustRightInd w:val="0"/>
        <w:snapToGrid w:val="0"/>
        <w:spacing w:line="440" w:lineRule="exact"/>
        <w:ind w:left="0" w:leftChars="0" w:firstLine="0"/>
        <w:jc w:val="left"/>
        <w:rPr>
          <w:rFonts w:hint="eastAsia" w:ascii="仿宋_GB2312" w:eastAsia="仿宋_GB2312" w:cs="仿宋_GB2312"/>
          <w:b/>
          <w:bCs/>
          <w:sz w:val="32"/>
          <w:szCs w:val="32"/>
        </w:rPr>
      </w:pPr>
      <w:r>
        <w:rPr>
          <w:rFonts w:hint="eastAsia" w:ascii="仿宋_GB2312" w:eastAsia="仿宋_GB2312" w:cs="仿宋_GB2312"/>
          <w:b/>
          <w:bCs/>
          <w:sz w:val="32"/>
          <w:szCs w:val="32"/>
        </w:rPr>
        <w:t>十三、国有资本经营预算</w:t>
      </w:r>
      <w:r>
        <w:rPr>
          <w:rFonts w:hint="eastAsia" w:ascii="仿宋_GB2312" w:eastAsia="仿宋_GB2312" w:cs="仿宋_GB2312"/>
          <w:b/>
          <w:bCs/>
          <w:sz w:val="32"/>
          <w:szCs w:val="32"/>
          <w:lang w:eastAsia="zh-CN"/>
        </w:rPr>
        <w:t>财政拨款收入</w:t>
      </w:r>
      <w:r>
        <w:rPr>
          <w:rFonts w:hint="eastAsia" w:ascii="仿宋_GB2312" w:eastAsia="仿宋_GB2312" w:cs="仿宋_GB2312"/>
          <w:b/>
          <w:bCs/>
          <w:sz w:val="32"/>
          <w:szCs w:val="32"/>
        </w:rPr>
        <w:t>支出决算表</w:t>
      </w:r>
    </w:p>
    <w:p>
      <w:pPr>
        <w:rPr>
          <w:rFonts w:hint="eastAsia" w:ascii="Times New Roman" w:hAnsi="Times New Roman" w:eastAsia="仿宋_GB2312"/>
          <w:b/>
          <w:snapToGrid w:val="0"/>
          <w:kern w:val="0"/>
          <w:sz w:val="32"/>
        </w:rPr>
      </w:pPr>
      <w:r>
        <w:rPr>
          <w:rFonts w:hint="eastAsia" w:ascii="仿宋_GB2312" w:eastAsia="仿宋_GB2312" w:cs="仿宋_GB2312"/>
          <w:b/>
          <w:bCs/>
          <w:sz w:val="32"/>
          <w:szCs w:val="32"/>
          <w:lang w:val="en-US" w:eastAsia="zh-CN"/>
        </w:rPr>
        <w:t>十四、国有资本经营预算财政拨款支出决算表</w:t>
      </w:r>
      <w:r>
        <w:rPr>
          <w:rFonts w:ascii="仿宋" w:eastAsia="仿宋"/>
          <w:b/>
          <w:sz w:val="24"/>
          <w:highlight w:val="none"/>
        </w:rPr>
        <w:br w:type="page"/>
      </w:r>
    </w:p>
    <w:p>
      <w:pPr>
        <w:pStyle w:val="3"/>
        <w:jc w:val="center"/>
        <w:rPr>
          <w:rFonts w:ascii="黑体" w:eastAsia="黑体"/>
          <w:color w:val="000000"/>
          <w:sz w:val="32"/>
          <w:szCs w:val="32"/>
        </w:rPr>
      </w:pPr>
      <w:r>
        <w:rPr>
          <w:rFonts w:hint="eastAsia" w:ascii="黑体" w:eastAsia="黑体"/>
          <w:b w:val="0"/>
        </w:rPr>
        <w:t xml:space="preserve">第一部分 </w:t>
      </w:r>
      <w:r>
        <w:rPr>
          <w:rStyle w:val="16"/>
          <w:rFonts w:hint="eastAsia" w:ascii="黑体" w:eastAsia="黑体"/>
          <w:b w:val="0"/>
          <w:bCs w:val="0"/>
        </w:rPr>
        <w:t>部门概况</w:t>
      </w:r>
      <w:bookmarkEnd w:id="12"/>
      <w:bookmarkEnd w:id="13"/>
    </w:p>
    <w:p>
      <w:pPr>
        <w:snapToGrid w:val="0"/>
        <w:spacing w:line="520" w:lineRule="exact"/>
        <w:ind w:firstLine="643" w:firstLineChars="200"/>
        <w:rPr>
          <w:rFonts w:hint="eastAsia" w:ascii="楷体_GB2312" w:eastAsia="楷体_GB2312"/>
          <w:b/>
          <w:sz w:val="32"/>
          <w:szCs w:val="32"/>
          <w:highlight w:val="none"/>
        </w:rPr>
      </w:pPr>
      <w:bookmarkStart w:id="14" w:name="_Toc15396601"/>
      <w:bookmarkStart w:id="15" w:name="_Toc15377200"/>
      <w:r>
        <w:rPr>
          <w:rFonts w:hint="eastAsia" w:ascii="楷体_GB2312" w:eastAsia="楷体_GB2312"/>
          <w:b/>
          <w:sz w:val="32"/>
          <w:szCs w:val="32"/>
          <w:highlight w:val="none"/>
        </w:rPr>
        <w:t>（一）基本情况。</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1．主要职能。</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中共四川省委宣传部是省委主管意识形态方面工作的职能部门，部机关性质为行政单位。</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主要职责是：拟定全省宣传思想文化工作重大政策和事业产业发展总体规划，统筹协调推进宣传思想文化领域法制建设，按照省委统一部署，协调宣传思想文化系统各部门（单位）之间的工作；统筹协调全省党的意识形态工作；统筹指导协调理论研究、理论学习、理论宣传工作；负责规划组织全局性思想政治工作，组织重大先进典型的学习和推广；统筹指导协调推动精神文化产品的创作和生产，协调组织中华优秀传统文化和巴蜀文化传承发展工作，指导协调推动群众文化建设；统筹组织协调精神文明建设工作；统筹分析研判和引导社会舆论；统筹协调对外宣传工作，组织指导重大对外宣传活动和对外文化交流工作；宏观上统筹指导协调互联网宣传和信息内容管理；统筹指导舆论信息工作；统筹协调组织开展新闻发布工作；统筹指导推进文化体制改革和文化事业、文化产业及旅游业发展，统筹省属国有文化资产监管工作；负责管理新闻出版行政事务和所涉及的行政审批工作，组织指导协调“扫黄打非”工作；负责管理电影行政事务和所涉及的行政审批工作，指导协调和参与重大电影活动和电影对外合作交流等；负责组织开展宣传思想文化战线干部教育培训和人才工作；完成省委交办的其他任务。</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2．机构情况。</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2020年末机构数为8个，纳入2020年度部门决算汇编范围的独立核算单位共8个</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其中：行政机关1个，中共四川省委宣传部机关</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参照公务员法管理的事业单位2个，中共四川省委讲师团、四川省思想政治工作研究会</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其他事业单位5个</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分别是国防时报</w:t>
      </w:r>
      <w:r>
        <w:rPr>
          <w:rFonts w:hint="eastAsia" w:ascii="仿宋_GB2312" w:eastAsia="仿宋_GB2312"/>
          <w:sz w:val="32"/>
          <w:szCs w:val="32"/>
          <w:highlight w:val="none"/>
          <w:lang w:eastAsia="zh-CN"/>
        </w:rPr>
        <w:t>社</w:t>
      </w:r>
      <w:r>
        <w:rPr>
          <w:rFonts w:hint="eastAsia" w:ascii="仿宋_GB2312" w:eastAsia="仿宋_GB2312"/>
          <w:sz w:val="32"/>
          <w:szCs w:val="32"/>
          <w:highlight w:val="none"/>
        </w:rPr>
        <w:t>、四川国际文化交流中心、四川省对外文化交流中心、四川省四川文化产业职业学院（四川省干部函授学院）</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四川省新闻中心。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3．人员情况。</w:t>
      </w:r>
    </w:p>
    <w:p>
      <w:pPr>
        <w:snapToGrid w:val="0"/>
        <w:spacing w:line="520" w:lineRule="exact"/>
        <w:ind w:firstLine="640" w:firstLineChars="200"/>
        <w:rPr>
          <w:rFonts w:hint="eastAsia" w:ascii="仿宋_GB2312" w:eastAsia="仿宋_GB2312" w:cs="仿宋"/>
          <w:color w:val="000000"/>
          <w:sz w:val="32"/>
          <w:szCs w:val="32"/>
          <w:highlight w:val="none"/>
          <w:lang w:bidi="ar-SA"/>
        </w:rPr>
      </w:pPr>
      <w:r>
        <w:rPr>
          <w:rFonts w:hint="eastAsia" w:ascii="仿宋_GB2312" w:eastAsia="仿宋_GB2312" w:cs="仿宋"/>
          <w:color w:val="000000"/>
          <w:sz w:val="32"/>
          <w:szCs w:val="32"/>
          <w:highlight w:val="none"/>
          <w:lang w:bidi="ar-SA"/>
        </w:rPr>
        <w:t>2020年在职人员为415人，其中</w:t>
      </w:r>
      <w:r>
        <w:rPr>
          <w:rFonts w:hint="eastAsia" w:ascii="仿宋_GB2312" w:eastAsia="仿宋_GB2312" w:cs="仿宋"/>
          <w:color w:val="000000"/>
          <w:sz w:val="32"/>
          <w:szCs w:val="32"/>
          <w:highlight w:val="none"/>
          <w:lang w:eastAsia="zh-CN" w:bidi="ar-SA"/>
        </w:rPr>
        <w:t>，</w:t>
      </w:r>
      <w:r>
        <w:rPr>
          <w:rFonts w:hint="eastAsia" w:ascii="仿宋_GB2312" w:eastAsia="仿宋_GB2312" w:cs="仿宋"/>
          <w:color w:val="000000"/>
          <w:sz w:val="32"/>
          <w:szCs w:val="32"/>
          <w:highlight w:val="none"/>
          <w:lang w:bidi="ar-SA"/>
        </w:rPr>
        <w:t>行政人员为148人，参照公务员法管理事业人员11人，非参公事业人员为250人；离休人员为6人；年末其他人员为65人；年末学生数为9950人。</w:t>
      </w:r>
    </w:p>
    <w:p>
      <w:pPr>
        <w:snapToGrid w:val="0"/>
        <w:spacing w:line="520" w:lineRule="exact"/>
        <w:ind w:firstLine="643" w:firstLineChars="200"/>
        <w:rPr>
          <w:rFonts w:hint="eastAsia" w:ascii="楷体_GB2312" w:eastAsia="楷体_GB2312"/>
          <w:b/>
          <w:sz w:val="32"/>
          <w:szCs w:val="32"/>
          <w:highlight w:val="none"/>
        </w:rPr>
      </w:pPr>
      <w:r>
        <w:rPr>
          <w:rFonts w:hint="eastAsia" w:ascii="楷体_GB2312" w:eastAsia="楷体_GB2312"/>
          <w:b/>
          <w:sz w:val="32"/>
          <w:szCs w:val="32"/>
          <w:highlight w:val="none"/>
        </w:rPr>
        <w:t>（二）当年取得的主要事业成效。</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2020年全省宣传思想文化战线在省委坚强领导下，坚持以习近平新时代中国特色社会主义思想为指导，增强“四个意识”、坚定“四个自信”、做到“两个维护”，举旗帜、聚民心、育新人、兴文化、展形象，在决胜全面小康、决战脱贫攻坚中展现新作为，在抗击疫情和防汛救灾大战大考中焕发新气象，在夯实基层基础、积极践行“四力”中实现新突破，为夺取疫情防控和经济社会发展“双胜利”、推动治蜀兴川再上新台阶提供了坚强思想保证和强大精神力量。</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1、高举思想旗帜，推动习近平新时代中国特色社会主义思想更加深入人心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学习走深走实。习近平总书记发表重要讲话和作出指示批示后，省委常委会议第一时间传达贯彻，为各级党委（党组）作出示范。充分发挥党委（党组）理论学习中心组龙头作用，省委理论学习中心组围绕统筹疫情防控和经济社会发展、成渝地区双城经济圈建设等主题开展集体学习研讨10次，各市（州）党委理论学习中心组召开专题学习会180余次。制定理论学习中心组测评细则，提升党委（党组）理论学习中心组学习规范化水平。精心部署发行《习近平谈治国理政》第三卷220万册，广泛组织学习《论党的宣传思想工作》《中国制度面对面》等理论读物，建好用好“学习强国”学习平台，推动习近平新时代中国特色社会主义思想落地生根、入脑入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宣讲创新开展。精心组织党的十九届五中全会精神宣讲活动，中央宣讲团成员、省委书记彭清华为全省4万多名干部群众进行首场集中宣讲，并与高校师生代表、企业职工代表等面对面座谈。省领导带头到联系市（州）和分管领域开展宣讲，组建14个省委宣讲分团赴各地开展集中宣讲活动130余场（次），首次组建新时代文明实践青年宣讲分团面向青少年群体开展“面对面”“键对键”宣讲。各地各部门开展宣讲活动6.6万场次，直接受众570万人次。大力开辟理论宣讲新平台新阵地，创办《思想周刊》理论学习报，开设“藏地阳光”汉藏双语理论学习平台、“学习强国”四川学习平台《理论之声》专栏，以“宣讲+文艺”等方式将党的创新理论送进田间地头，积极构建多层次、多渠道、多样式的立体化理论宣传格局，推动全会精神家喻户晓。4个基层理论宣讲项目获中宣部表彰。</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理论研究深入浅出。紧扣习近平新时代中国特色社会主义思想，深入开展重大理论和现实问题研究，省委书记彭清华带头撰写《坚持系统观念谋划推动“十四五”经济社会发展》等4篇理论文章在《人民日报》《求是》等刊发。持续加强马克思主义学院建设，做好“马工程”重大项目研究工作。成立全省哲学社会科学工作办公室进一步强化工作统筹，组织全省社科理论工作者科学谋划一批重点课题，推出一批重大社科理论研究成果。召开学习宣传《习近平谈治国理政》第三卷座谈会，举办学习贯彻党的十九届五中全会精神理论研讨会、首届成渝地区双城经济圈发展论坛，理论研究不断深化。</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2、奏响时代强音，全省人民砥砺奋进坚决打赢两场硬仗、奋力夺取双胜利的信心力量极大凝聚</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抗击疫情重大宣传卓有成效。紧紧围绕打赢疫情防控人民战争、总体战、阻击战，第一时间启动突发事件应急新闻宣传工作机制，统筹各类媒体、各条战线、各个平台同频共振、同向发力，凝聚起全省干部群众克难攻坚、砥砺前行的磅礴力量。中央主要媒体聚焦打赢两场硬仗推出涉川报道1万余篇（条），其中《人民日报》等推出89篇头版稿件，央视《新闻联播》推出63个单条消息。省直媒体推出报道40余万篇（条），一批新媒体产品在全网形成刷屏效应。紧扣社会关注热点，各级举办疫情防控新闻发布活动400余场，县级融媒体中心日均发稿1万余条，创新运用四川手机报、村村响广播等平台全覆盖推送疫情信息、普及抗疫知识。弘扬伟大抗疫精神，举办战“疫”专题展览和大型“亮灯”活动，大力宣传抗疫防汛先进典型，广泛传播“汶川女孩”佘莎、“雨衣妹妹”刘仙等先进事迹，书写了中国抗“疫”故事四川篇章。</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脱贫奔康主题宣传浓墨重彩。精心组织“决胜全面小康  决战脱贫攻坚”重大主题宣传。聚焦我省藏区脱贫摘帽、凉山最大易地扶贫搬迁安置点分房、“最后的通村公路贯通”、我省贫困县全部脱贫摘帽等脱贫攻坚重大胜利，国务院新闻办在川举办首场脱贫攻坚新闻发布会，省委、省政府主要领导围绕“牢记总书记关怀嘱托  打好四川脱贫攻坚战”介绍四川脱贫攻坚情况并回答记者提问。协调中宣部在川举办“督战未摘帽贫困县”“走向我们的小康生活”启动仪式，18家中央媒体专题专栏报道均以四川开篇。组织中外媒体赴川集中采访，推出“悬崖村搬家”等易地扶贫搬迁重头报道，开展脱贫美丽新村全媒体集中宣传展示“晒”村活动，对外展示四川全面小康伟大成就。举办“向祖国汇报”脱贫攻坚主题大型文艺特别节目，建设凉山脱贫攻坚全域实景博物馆，集中宣传报道106位脱贫攻坚先进典型，讲好四川脱贫奔康故事，彰显中国特色社会主义制度巨大优越性。</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经济社会成就宣传有声有色。大力唱响经济光明论，深入解读扎实做好“六稳”工作、全面落实“六保”任务和加快形成以国内大循环为主体、国内国际双循环相互促进的新发展格局等战略决策，充分报道我省“一干多支、五区协同”“四向拓展、全域开放”“农业多贡献、工业挑大梁、投资唱主角、消费促升级”等重大部署，全面反映治蜀兴川新进展新成效。深入开展推动成渝地区双城经济圈建设宣传，与重庆市联合策划“双城记”系列宣传活动。扎实做好凉山西昌森林火灾、防汛救灾、乡镇行政区划和村级建制调整宣传引导，持续做好森林草原防灭火专项整治宣传报道工作，积极有效应对四川信托风险处置等敏感事件引发的舆情，有力维护社会稳定。</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3、弘扬主流价值，全社会文明程度和全省人民文明素养持续提升</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社会主义核心价值观广泛弘扬。坚持德法相济，推动社会主义核心价值观内化于心、外化于行，推进理想信念教育常态化制度化。印发《新时代公民道德建设实施纲要》《新时代爱国主义教育实施纲要》分工方案，开展“倡导国庆新民俗、打造爱国活动周”、社会主义核心价值观微电影（微视频）征集展播等主题活动，新命名9个省级爱国主义教育基地，培养爱国之情、砥砺强国之志。深入学习宣传习近平总书记在纪念中国人民抗日战争暨世界反法西斯战争胜利75周年大会、纪念中国人民志愿军抗美援朝出国作战70周年大会上的重要讲话精神，学习贯彻习近平总书记给省革命伤残军人休养院伤残军人回信重要精神，在巴中川陕革命根据地红军烈士陵园举办向人民英雄敬献花篮仪式。复排大型民族歌剧《同心结》等主题文艺作品。广泛宣传民法典等法律法规，大力弘扬社会主义法治精神。</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群众性精神文明创建成效显著。坚持为民利民惠民，以文明城市创建为龙头，推动群众性精神文明创建活动取得丰硕成果。4个地级市和4个县级城市获评第六届全国文明城市，获评数量超过前五届总和、县级全国文明城市实现零的突破。新创全国文明村镇103个、全国文明单位84个、全国文明家庭23个、全国文明校园27个、未成年人思想道德建设工作先进17个。评选表彰第五届四川省文明城市38个、文明村镇200个、文明单位350个，第二届文明家庭100户、文明校园122所，新一届未成年人思想道德建设工作先进230个。隆重召开全省精神文明建设表彰大会，传达学习省委书记彭清华对我省精神文明建设工作重要批示精神，集中展示全省精神文明建设新进展新成效，表彰一批先进集体和个人代表。</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全社会崇德向善风尚日益浓厚。树立德者受尊、好人好报的鲜明导向，出台《四川省礼遇帮扶道德模范和身边好人实施办法（试行）》，选树“四川好人”和“新时代好少年”220名，其中21人入选“中国好人”。深入宣传全国优秀共产党员周永开、“时代楷模”其美多吉等先进事迹，广泛开展“诚信社区”“诚信之星”评选宣传活动，形成见贤思齐、争当先进的浓厚氛围。加强青少年思想道德教育，深化“扣好人生第一粒扣子”主题教育实践活动，厚植广大青少年爱党爱国情怀。坚持扶贫同扶志扶智相结合，制定《精准扶志扶智决胜脱贫攻坚专项行动实施方案》，深入开展新时代乡风文明建设十大行动和移风易俗主题教育活动，着力破除等靠要思想、陈规陋习和不良风气。广泛开展“厉行节约、反对铺张浪费”光盘行动和“倡导社交文明、加强公共卫生”行动。扎实推进新时代文明实践中心建设，20个全国试点任务顺利完成，全省建成文明实践中心（所、站）8147个。推动志愿服务制度化常态化，全省注册志愿者超过1400万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4、着力培根铸魂，中华优秀传统文化创造性转化创新性发展迈出新步伐</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项目化推动。深入学习贯彻习近平总书记关于考古工作重要论述，三星堆遗址等考古发掘取得重大进展。创建三星堆国家文物保护利用示范区，启动四川名人馆、江口沉银博物馆建设。深入实施历史名人文化传承创新工程和古籍保护研究利用工程，发布第二批10位四川历史名人，9部古籍入选第六批《国家珍贵古籍名录》。保护传承农村生产生活遗产，羌绣等165项传统技艺纳入传承名录。持续推动历史文化名城名镇名村建设，成功创建国家历史文化名城8个、名镇31个、名村6个。</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体系化传承。构建中华优秀传统文化传承发展体系，大力建设重点中华文化研究院，新成立西南民族大学藏羌彝文化研究院、成都体育学院中华国术院、四川音乐学院中华传统音乐研究院，评选四川大学中华文化研究院等6所第一批全省重点中华文化研究院。发布“中华文化基本问题研究”等重大社科规划单列项目15个。编制《长征国家文化公园四川段建设保护规划（建议稿）》《四川省川陕片区红军文化公园保护利用规划（2020—2030年）》，与陕西省、重庆市签署《加强文物保护利用战略合作协议》，加快推进巴中川陕革命根据地红军烈士陵园整体提升工程。</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坚持社会化普及。有序推进中华文化经典读本编纂工作，出版发行《四川历史名人读本》，推出首批四川历史名人丛书41种，举办名人大讲堂8期，组织开展全省中华文化优秀校本课程读本评选推广活动。整理《天回医简》研究成果，推动中医药文化宣传普及。深化“我们的节日”主题活动，举办全省2020年经典诵写讲演和青少年中华优秀传统文化传习系列活动。制作播出大型人文纪录片《蜀道风流》，成功举办“金熊猫”国际传播高峰论坛、“巴蜀文化的现代表达与国际传播”研讨会，推动“李子柒”“丁真”等地域文化符号广泛传播，展现巴蜀文化独特魅力。</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5、聚焦人民期待，文化精品创作生产和文化高质量发展扎实推进</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深化文化体制改革纵深推进。启动编制“十四五”文化发展和改革规划，加强全省文化改革发展顶层设计。深化文化领域行政审批“放管服”改革，加强文化综合执法体系建设，构建省属国有文化资产监督管理框架体系，调整广电系统事业单位管理关系。印发《深化省属国有文化企业（单位）改革方案》，加快推进国有文化资产重组和资源整合，完成四川文化产业投资集团改组组建和四川新华出版发行集团更名，省广电网络公司如期完成参与“全国一网”整合股权出资实缴，四川新闻网（传媒）集团发行上市已获通过进入注册环节，峨眉电影集团改革取得重大进展，四川新华发行集团稳居全国文化企业30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促进公共文化服务提质增效。增强公共文化服务供给力，深入实施公共博物馆、图书馆、文化馆效能提升行动，加快推进天府新区省级文化中心等重大设施、“高清四川、智慧广电”等重点工程建设，创新开展天府书展、乡村阅读季等重点阅读活动，建好用好农家（社区）书屋。制定《四川省乡村文化振兴“百千万”工程实施方案》，在全省25个乡镇创新开展公共文化服务效能提升试点工作。广泛开展“我们的中国梦”——文化进万家系列文化惠民活动，组织红色文艺轻骑兵送文艺下乡2000余场，放映农村公益电影58万余场次。全面完成文化扶贫任务，11501个贫困村全覆盖建成综合文化服务中心（文化院坝）、应急广播系统、文化室，贫困地区文化设施“短板”明显改善。15家单位获评第八届全国服务农民、服务基层文化建设先进集体。</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快优质文化产品创作生产。围绕全面建成小康社会、建党100周年和全民战“疫”开展主题文艺精品创作生产，制定《四川省主题文艺精品创作生产推进方案（2020—2025年）》。报告文学《悬崖村》、散文集《檐上的月亮》荣获第十二届全国少数民族文学创作骏马奖，舞剧《努力餐》荣获第十二届中国舞蹈“荷花奖”，长篇小说《桑田日暖》、舞剧《英雄》等8部作品入选庆祝中国共产党成立100周年重点扶持作品，电影《随风飘散》入围2020年韩国釜山国际A类电影节，电视剧《金色索玛花》登陆央视一套黄金档、《四川省优秀战疫歌曲集》入选第十届中国数字出版博览会出版战“疫”数字内容精品展。振兴四川出版再上新台阶，召开振兴四川出版工作推进会，省委办公厅、省政府办公厅印发《关于加强和改进出版工作推动四川出版高质量发展的指导意见》，组织出版《小康中国》《大道兴川》等主题出版物50种，《古路之路》入选中宣部主题出版重点出版物选题，56个项目入选2020年各类国家出版资助项目和推荐计划，编纂四川战“疫”丛书和脱贫攻坚书系。开展“版权社会服务质量提升年”活动，完成作品著作权登记近16万件。</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推动文化旅游产业逆势发展。加快文化强省旅游强省建设步伐，召开全省文化和旅游发展大会，命名第二批天府旅游名县。积极应对疫情影响，安排专项资金对影院、书店、景区、文旅企业等给予纾困支持，开展“惠文化·乐生活”文化消费提振行动。推动文化和科技、金融深度融合，试点“天府文产贷”。优化文旅经济布局，成都大熊猫国际旅游度假区、德阳三星堆文化产业园、自贡中华彩灯大世界等项目稳步推进，绵阳方特东方神画、都江堰融创文旅城投入运营。举办第八届中国网络视听大会、第六届中国（四川）国际旅游投资大会。国庆中秋假期，全省共接待各类游客5969.36万人次，同口径相比恢复77%，接待规模位居全国第二，实现国内旅游收入479.54亿元，同口径相比恢复79.1%。制定全省文化旅游发展重点项目清单，启动推进文旅重点项目803个，累计完成投资约3000亿元。</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6、推进从严治党，全省宣传思想文化战线党的建设和自身建设全面加强</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强党的领导落实有力。旗帜鲜明坚持党管宣传、党管意识形态、党管媒体，把政治家办报、办刊、办台、办新媒体的要求不折不扣落实到工作全过程和各方面。以贯彻《中国共产党宣传工作条例》《党委（党组）意识形态工作责任制实施办法》为重要抓手，推动各级各部门党委（党组）抓宣传思想工作主体责任意识不断增强。统筹推进四川新华出版发行集团、峨眉电影集团、省四川文化产业职业学院（四川省干部函授学院）（四川文化产业职业学院）党委换届工作。</w:t>
      </w:r>
    </w:p>
    <w:p>
      <w:pPr>
        <w:snapToGrid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加强队伍建设积极有为。突出政治标准，鲜明用人导向，强化归口领导管理，大力推进宣传文化系统领导班子和干部队伍建设，修订省直宣传文化单位重要宣传舆论阵地和重要岗位领导干部职务名称。统筹推进宣传思想文化领域人才队伍建设，培养选拔优秀青年人才，加强对非公领域文化人才的政治引领、教育引导和联系服务，11人获评“天府万人计划”天府文化领军人才称号。加快建设四川宣传干部学院，建好用好网信人才培养基地。以乡镇行政区划调整改革为契机，配齐配强宣传委员队伍，夯实基层宣传工作力量。深入开展增强“四力”教育实践，突出实用性操作性，不断提升干部教育培训工作正规化专业化精品化水平，培训各类干部人才1.2万余人次，努力打造政治过硬、本领高强、求实创新、能打胜仗的宣传思想工作队伍。</w:t>
      </w:r>
    </w:p>
    <w:p>
      <w:pPr>
        <w:snapToGrid w:val="0"/>
        <w:spacing w:line="520" w:lineRule="exact"/>
        <w:rPr>
          <w:rFonts w:hint="eastAsia" w:ascii="黑体" w:eastAsia="黑体"/>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p>
    <w:p>
      <w:pPr>
        <w:pStyle w:val="4"/>
        <w:ind w:firstLine="640" w:firstLineChars="200"/>
        <w:rPr>
          <w:rStyle w:val="17"/>
          <w:b w:val="0"/>
          <w:bCs w:val="0"/>
        </w:rPr>
      </w:pPr>
      <w:r>
        <w:rPr>
          <w:rFonts w:hint="eastAsia" w:ascii="黑体" w:eastAsia="黑体"/>
          <w:b w:val="0"/>
          <w:color w:val="000000"/>
        </w:rPr>
        <w:t>二、机</w:t>
      </w:r>
      <w:r>
        <w:rPr>
          <w:rStyle w:val="17"/>
          <w:rFonts w:hint="eastAsia" w:ascii="黑体" w:eastAsia="黑体"/>
          <w:b w:val="0"/>
          <w:bCs w:val="0"/>
        </w:rPr>
        <w:t>构设置</w:t>
      </w:r>
      <w:bookmarkEnd w:id="14"/>
      <w:bookmarkEnd w:id="15"/>
    </w:p>
    <w:p>
      <w:pPr>
        <w:overflowPunct w:val="0"/>
        <w:adjustRightInd w:val="0"/>
        <w:snapToGrid w:val="0"/>
        <w:spacing w:line="600" w:lineRule="exact"/>
        <w:ind w:firstLine="624" w:firstLineChars="200"/>
        <w:rPr>
          <w:rFonts w:eastAsia="仿宋_GB2312"/>
          <w:b w:val="0"/>
          <w:bCs/>
          <w:snapToGrid w:val="0"/>
          <w:kern w:val="0"/>
          <w:sz w:val="32"/>
          <w:szCs w:val="32"/>
        </w:rPr>
      </w:pPr>
      <w:bookmarkStart w:id="16" w:name="_Toc15377204"/>
      <w:bookmarkStart w:id="17" w:name="_Toc15396602"/>
      <w:r>
        <w:rPr>
          <w:rFonts w:eastAsia="仿宋_GB2312"/>
          <w:b w:val="0"/>
          <w:bCs/>
          <w:snapToGrid w:val="0"/>
          <w:spacing w:val="-4"/>
          <w:kern w:val="0"/>
          <w:sz w:val="32"/>
          <w:szCs w:val="32"/>
        </w:rPr>
        <w:t>省委宣传部下属二级单位</w:t>
      </w:r>
      <w:r>
        <w:rPr>
          <w:rFonts w:hint="eastAsia" w:eastAsia="仿宋_GB2312"/>
          <w:b w:val="0"/>
          <w:bCs/>
          <w:snapToGrid w:val="0"/>
          <w:spacing w:val="-4"/>
          <w:kern w:val="0"/>
          <w:sz w:val="32"/>
          <w:szCs w:val="32"/>
          <w:lang w:val="en-US" w:eastAsia="zh-CN"/>
        </w:rPr>
        <w:t>8</w:t>
      </w:r>
      <w:r>
        <w:rPr>
          <w:rFonts w:eastAsia="仿宋_GB2312"/>
          <w:b w:val="0"/>
          <w:bCs/>
          <w:snapToGrid w:val="0"/>
          <w:spacing w:val="-4"/>
          <w:kern w:val="0"/>
          <w:sz w:val="32"/>
          <w:szCs w:val="32"/>
        </w:rPr>
        <w:t>个，其中行政单位1个，参照</w:t>
      </w:r>
      <w:r>
        <w:rPr>
          <w:rFonts w:eastAsia="仿宋_GB2312"/>
          <w:b w:val="0"/>
          <w:bCs/>
          <w:snapToGrid w:val="0"/>
          <w:kern w:val="0"/>
          <w:sz w:val="32"/>
          <w:szCs w:val="32"/>
        </w:rPr>
        <w:t>公务员法管理的事业单位2个，其他事业单位</w:t>
      </w:r>
      <w:r>
        <w:rPr>
          <w:rFonts w:hint="eastAsia" w:eastAsia="仿宋_GB2312"/>
          <w:b w:val="0"/>
          <w:bCs/>
          <w:snapToGrid w:val="0"/>
          <w:kern w:val="0"/>
          <w:sz w:val="32"/>
          <w:szCs w:val="32"/>
          <w:lang w:val="en-US" w:eastAsia="zh-CN"/>
        </w:rPr>
        <w:t>5</w:t>
      </w:r>
      <w:r>
        <w:rPr>
          <w:rFonts w:eastAsia="仿宋_GB2312"/>
          <w:b w:val="0"/>
          <w:bCs/>
          <w:snapToGrid w:val="0"/>
          <w:kern w:val="0"/>
          <w:sz w:val="32"/>
          <w:szCs w:val="32"/>
        </w:rPr>
        <w:t>个。纳入省委宣传部20</w:t>
      </w:r>
      <w:r>
        <w:rPr>
          <w:rFonts w:hint="eastAsia" w:eastAsia="仿宋_GB2312"/>
          <w:b w:val="0"/>
          <w:bCs/>
          <w:snapToGrid w:val="0"/>
          <w:kern w:val="0"/>
          <w:sz w:val="32"/>
          <w:szCs w:val="32"/>
          <w:lang w:val="en-US" w:eastAsia="zh-CN"/>
        </w:rPr>
        <w:t>20</w:t>
      </w:r>
      <w:r>
        <w:rPr>
          <w:rFonts w:eastAsia="仿宋_GB2312"/>
          <w:b w:val="0"/>
          <w:bCs/>
          <w:snapToGrid w:val="0"/>
          <w:kern w:val="0"/>
          <w:sz w:val="32"/>
          <w:szCs w:val="32"/>
        </w:rPr>
        <w:t>年度部门决算编制范围的二级预算单位包括：</w:t>
      </w:r>
    </w:p>
    <w:p>
      <w:pPr>
        <w:overflowPunct w:val="0"/>
        <w:adjustRightInd w:val="0"/>
        <w:snapToGrid w:val="0"/>
        <w:spacing w:line="600" w:lineRule="exact"/>
        <w:ind w:firstLine="640" w:firstLineChars="200"/>
        <w:rPr>
          <w:rFonts w:eastAsia="仿宋_GB2312"/>
          <w:b w:val="0"/>
          <w:bCs/>
          <w:snapToGrid w:val="0"/>
          <w:kern w:val="0"/>
          <w:sz w:val="32"/>
          <w:szCs w:val="32"/>
        </w:rPr>
      </w:pPr>
      <w:bookmarkStart w:id="18" w:name="_Toc15378449"/>
      <w:bookmarkStart w:id="19" w:name="_Toc15306276"/>
      <w:bookmarkStart w:id="20" w:name="_Toc15377202"/>
      <w:bookmarkStart w:id="21" w:name="_Toc15377433"/>
      <w:r>
        <w:rPr>
          <w:rFonts w:eastAsia="仿宋_GB2312"/>
          <w:b w:val="0"/>
          <w:bCs/>
          <w:snapToGrid w:val="0"/>
          <w:kern w:val="0"/>
          <w:sz w:val="32"/>
          <w:szCs w:val="32"/>
        </w:rPr>
        <w:t>中共四川省委宣传部</w:t>
      </w:r>
      <w:bookmarkEnd w:id="18"/>
      <w:bookmarkEnd w:id="19"/>
      <w:bookmarkEnd w:id="20"/>
      <w:bookmarkEnd w:id="21"/>
      <w:r>
        <w:rPr>
          <w:rFonts w:eastAsia="仿宋_GB2312"/>
          <w:b w:val="0"/>
          <w:bCs/>
          <w:snapToGrid w:val="0"/>
          <w:kern w:val="0"/>
          <w:sz w:val="32"/>
          <w:szCs w:val="32"/>
        </w:rPr>
        <w:t>机关</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中共四川省委讲师团</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四川省思想政治工作研究会</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国防时报社</w:t>
      </w:r>
    </w:p>
    <w:p>
      <w:pPr>
        <w:overflowPunct w:val="0"/>
        <w:adjustRightInd w:val="0"/>
        <w:snapToGrid w:val="0"/>
        <w:spacing w:line="600" w:lineRule="exact"/>
        <w:ind w:firstLine="640" w:firstLineChars="200"/>
        <w:rPr>
          <w:rFonts w:hint="eastAsia" w:eastAsia="仿宋_GB2312"/>
          <w:b w:val="0"/>
          <w:bCs/>
          <w:snapToGrid w:val="0"/>
          <w:kern w:val="0"/>
          <w:sz w:val="32"/>
          <w:szCs w:val="32"/>
          <w:lang w:eastAsia="zh-CN"/>
        </w:rPr>
      </w:pPr>
      <w:r>
        <w:rPr>
          <w:rFonts w:eastAsia="仿宋_GB2312"/>
          <w:b w:val="0"/>
          <w:bCs/>
          <w:snapToGrid w:val="0"/>
          <w:kern w:val="0"/>
          <w:sz w:val="32"/>
          <w:szCs w:val="32"/>
        </w:rPr>
        <w:t>四川省</w:t>
      </w:r>
      <w:r>
        <w:rPr>
          <w:rFonts w:hint="eastAsia" w:eastAsia="仿宋_GB2312"/>
          <w:b w:val="0"/>
          <w:bCs/>
          <w:snapToGrid w:val="0"/>
          <w:kern w:val="0"/>
          <w:sz w:val="32"/>
          <w:szCs w:val="32"/>
          <w:lang w:eastAsia="zh-CN"/>
        </w:rPr>
        <w:t>文化产业发展促进中心（四川省对外文化交流中心）</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四川省干部函授学院</w:t>
      </w:r>
      <w:r>
        <w:rPr>
          <w:rFonts w:hint="eastAsia" w:eastAsia="仿宋_GB2312"/>
          <w:b w:val="0"/>
          <w:bCs/>
          <w:snapToGrid w:val="0"/>
          <w:kern w:val="0"/>
          <w:sz w:val="32"/>
          <w:szCs w:val="32"/>
          <w:lang w:eastAsia="zh-CN"/>
        </w:rPr>
        <w:t>（</w:t>
      </w:r>
      <w:r>
        <w:rPr>
          <w:rFonts w:eastAsia="仿宋_GB2312"/>
          <w:b w:val="0"/>
          <w:bCs/>
          <w:snapToGrid w:val="0"/>
          <w:kern w:val="0"/>
          <w:sz w:val="32"/>
          <w:szCs w:val="32"/>
        </w:rPr>
        <w:t>四川文化产业职业学院</w:t>
      </w:r>
      <w:r>
        <w:rPr>
          <w:rFonts w:hint="eastAsia" w:eastAsia="仿宋_GB2312"/>
          <w:b w:val="0"/>
          <w:bCs/>
          <w:snapToGrid w:val="0"/>
          <w:kern w:val="0"/>
          <w:sz w:val="32"/>
          <w:szCs w:val="32"/>
          <w:lang w:eastAsia="zh-CN"/>
        </w:rPr>
        <w:t>）</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四川省新闻中心</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四川国际文化交流中心</w:t>
      </w:r>
      <w:r>
        <w:rPr>
          <w:rFonts w:eastAsia="仿宋_GB2312"/>
          <w:b w:val="0"/>
          <w:bCs/>
          <w:snapToGrid w:val="0"/>
          <w:kern w:val="0"/>
          <w:sz w:val="32"/>
          <w:szCs w:val="32"/>
        </w:rPr>
        <w:br w:type="page"/>
      </w:r>
    </w:p>
    <w:p>
      <w:pPr>
        <w:pStyle w:val="3"/>
        <w:ind w:right="440"/>
        <w:jc w:val="right"/>
        <w:rPr>
          <w:rStyle w:val="16"/>
          <w:rFonts w:ascii="黑体" w:eastAsia="黑体"/>
          <w:b w:val="0"/>
          <w:bCs w:val="0"/>
        </w:rPr>
      </w:pPr>
      <w:r>
        <w:rPr>
          <w:rFonts w:hint="eastAsia" w:ascii="黑体" w:eastAsia="黑体"/>
          <w:b w:val="0"/>
          <w:color w:val="000000"/>
        </w:rPr>
        <w:t>第二部分</w:t>
      </w:r>
      <w:r>
        <w:rPr>
          <w:rFonts w:hint="eastAsia" w:ascii="黑体" w:eastAsia="黑体"/>
          <w:color w:val="000000"/>
        </w:rPr>
        <w:t xml:space="preserve"> </w:t>
      </w:r>
      <w:r>
        <w:rPr>
          <w:rStyle w:val="16"/>
          <w:rFonts w:hint="eastAsia" w:ascii="黑体" w:eastAsia="黑体"/>
          <w:b w:val="0"/>
          <w:bCs w:val="0"/>
        </w:rPr>
        <w:t>20</w:t>
      </w:r>
      <w:r>
        <w:rPr>
          <w:rStyle w:val="16"/>
          <w:rFonts w:hint="eastAsia" w:ascii="黑体" w:eastAsia="黑体"/>
          <w:b w:val="0"/>
          <w:bCs w:val="0"/>
          <w:lang w:val="en-US" w:eastAsia="zh-CN"/>
        </w:rPr>
        <w:t>20</w:t>
      </w:r>
      <w:r>
        <w:rPr>
          <w:rStyle w:val="16"/>
          <w:rFonts w:hint="eastAsia" w:ascii="黑体" w:eastAsia="黑体"/>
          <w:b w:val="0"/>
          <w:bCs w:val="0"/>
        </w:rPr>
        <w:t>年度部门决算情况说明</w:t>
      </w:r>
      <w:bookmarkEnd w:id="16"/>
      <w:bookmarkEnd w:id="17"/>
    </w:p>
    <w:p/>
    <w:p>
      <w:pPr>
        <w:pStyle w:val="22"/>
        <w:numPr>
          <w:ilvl w:val="0"/>
          <w:numId w:val="1"/>
        </w:numPr>
        <w:spacing w:line="600" w:lineRule="exact"/>
        <w:ind w:firstLineChars="0"/>
        <w:outlineLvl w:val="1"/>
        <w:rPr>
          <w:rStyle w:val="17"/>
          <w:rFonts w:ascii="黑体" w:eastAsia="黑体"/>
          <w:b w:val="0"/>
        </w:rPr>
      </w:pPr>
      <w:bookmarkStart w:id="22" w:name="_Toc15396603"/>
      <w:bookmarkStart w:id="23" w:name="_Toc15377205"/>
      <w:r>
        <w:rPr>
          <w:rFonts w:hint="eastAsia" w:ascii="黑体" w:eastAsia="黑体"/>
          <w:color w:val="000000"/>
          <w:sz w:val="32"/>
          <w:szCs w:val="32"/>
        </w:rPr>
        <w:t>收</w:t>
      </w:r>
      <w:r>
        <w:rPr>
          <w:rStyle w:val="17"/>
          <w:rFonts w:hint="eastAsia" w:ascii="黑体" w:eastAsia="黑体"/>
          <w:b w:val="0"/>
        </w:rPr>
        <w:t>入支出决算总体情况说明</w:t>
      </w:r>
      <w:bookmarkEnd w:id="22"/>
      <w:bookmarkEnd w:id="23"/>
    </w:p>
    <w:p>
      <w:pPr>
        <w:overflowPunct w:val="0"/>
        <w:adjustRightInd w:val="0"/>
        <w:snapToGrid w:val="0"/>
        <w:spacing w:line="600" w:lineRule="exact"/>
        <w:ind w:firstLine="643" w:firstLineChars="200"/>
        <w:rPr>
          <w:rFonts w:eastAsia="仿宋_GB2312"/>
          <w:b/>
          <w:snapToGrid w:val="0"/>
          <w:color w:val="auto"/>
          <w:kern w:val="0"/>
          <w:sz w:val="32"/>
          <w:szCs w:val="32"/>
          <w:highlight w:val="none"/>
          <w:lang w:val="en-US" w:eastAsia="zh-CN"/>
        </w:rPr>
      </w:pPr>
      <w:r>
        <w:rPr>
          <w:rFonts w:eastAsia="仿宋_GB2312"/>
          <w:b/>
          <w:snapToGrid w:val="0"/>
          <w:color w:val="000000"/>
          <w:kern w:val="0"/>
          <w:sz w:val="32"/>
          <w:szCs w:val="32"/>
        </w:rPr>
        <w:t>20</w:t>
      </w:r>
      <w:r>
        <w:rPr>
          <w:rFonts w:hint="eastAsia" w:eastAsia="仿宋_GB2312"/>
          <w:b/>
          <w:snapToGrid w:val="0"/>
          <w:color w:val="000000"/>
          <w:kern w:val="0"/>
          <w:sz w:val="32"/>
          <w:szCs w:val="32"/>
          <w:lang w:val="en-US" w:eastAsia="zh-CN"/>
        </w:rPr>
        <w:t>20</w:t>
      </w:r>
      <w:r>
        <w:rPr>
          <w:rFonts w:eastAsia="仿宋_GB2312"/>
          <w:b/>
          <w:snapToGrid w:val="0"/>
          <w:color w:val="000000"/>
          <w:kern w:val="0"/>
          <w:sz w:val="32"/>
          <w:szCs w:val="32"/>
        </w:rPr>
        <w:t>年度收、支总计</w:t>
      </w:r>
      <w:r>
        <w:rPr>
          <w:rFonts w:hint="eastAsia" w:eastAsia="仿宋_GB2312"/>
          <w:b/>
          <w:snapToGrid w:val="0"/>
          <w:color w:val="000000"/>
          <w:kern w:val="0"/>
          <w:sz w:val="32"/>
          <w:szCs w:val="32"/>
          <w:lang w:val="en-US" w:eastAsia="zh-CN"/>
        </w:rPr>
        <w:t>34,804.38</w:t>
      </w:r>
      <w:r>
        <w:rPr>
          <w:rFonts w:eastAsia="仿宋_GB2312"/>
          <w:b/>
          <w:snapToGrid w:val="0"/>
          <w:color w:val="000000"/>
          <w:kern w:val="0"/>
          <w:sz w:val="32"/>
          <w:szCs w:val="32"/>
        </w:rPr>
        <w:t>万元。与201</w:t>
      </w:r>
      <w:r>
        <w:rPr>
          <w:rFonts w:hint="eastAsia" w:eastAsia="仿宋_GB2312"/>
          <w:b/>
          <w:snapToGrid w:val="0"/>
          <w:color w:val="000000"/>
          <w:kern w:val="0"/>
          <w:sz w:val="32"/>
          <w:szCs w:val="32"/>
          <w:lang w:val="en-US" w:eastAsia="zh-CN"/>
        </w:rPr>
        <w:t>9</w:t>
      </w:r>
      <w:r>
        <w:rPr>
          <w:rFonts w:eastAsia="仿宋_GB2312"/>
          <w:b/>
          <w:snapToGrid w:val="0"/>
          <w:color w:val="000000"/>
          <w:kern w:val="0"/>
          <w:sz w:val="32"/>
          <w:szCs w:val="32"/>
        </w:rPr>
        <w:t>年相比，收、支总计各</w:t>
      </w:r>
      <w:r>
        <w:rPr>
          <w:rFonts w:hint="eastAsia" w:eastAsia="仿宋_GB2312"/>
          <w:b/>
          <w:snapToGrid w:val="0"/>
          <w:color w:val="000000"/>
          <w:kern w:val="0"/>
          <w:sz w:val="32"/>
          <w:szCs w:val="32"/>
          <w:lang w:eastAsia="zh-CN"/>
        </w:rPr>
        <w:t>增加</w:t>
      </w:r>
      <w:r>
        <w:rPr>
          <w:rFonts w:hint="eastAsia" w:eastAsia="仿宋_GB2312"/>
          <w:b/>
          <w:snapToGrid w:val="0"/>
          <w:color w:val="000000"/>
          <w:kern w:val="0"/>
          <w:sz w:val="32"/>
          <w:szCs w:val="32"/>
          <w:lang w:val="en-US" w:eastAsia="zh-CN"/>
        </w:rPr>
        <w:t>2245.41</w:t>
      </w:r>
      <w:r>
        <w:rPr>
          <w:rFonts w:eastAsia="仿宋_GB2312"/>
          <w:b/>
          <w:snapToGrid w:val="0"/>
          <w:color w:val="000000"/>
          <w:kern w:val="0"/>
          <w:sz w:val="32"/>
          <w:szCs w:val="32"/>
        </w:rPr>
        <w:t>万元，</w:t>
      </w:r>
      <w:r>
        <w:rPr>
          <w:rFonts w:hint="eastAsia" w:eastAsia="仿宋_GB2312"/>
          <w:b/>
          <w:snapToGrid w:val="0"/>
          <w:color w:val="000000"/>
          <w:kern w:val="0"/>
          <w:sz w:val="32"/>
          <w:szCs w:val="32"/>
          <w:lang w:eastAsia="zh-CN"/>
        </w:rPr>
        <w:t>增长</w:t>
      </w:r>
      <w:r>
        <w:rPr>
          <w:rFonts w:hint="eastAsia" w:eastAsia="仿宋_GB2312"/>
          <w:b/>
          <w:snapToGrid w:val="0"/>
          <w:color w:val="000000"/>
          <w:kern w:val="0"/>
          <w:sz w:val="32"/>
          <w:szCs w:val="32"/>
          <w:lang w:val="en-US" w:eastAsia="zh-CN"/>
        </w:rPr>
        <w:t>6.89</w:t>
      </w:r>
      <w:r>
        <w:rPr>
          <w:rFonts w:eastAsia="仿宋_GB2312"/>
          <w:b/>
          <w:snapToGrid w:val="0"/>
          <w:color w:val="000000"/>
          <w:kern w:val="0"/>
          <w:sz w:val="32"/>
          <w:szCs w:val="32"/>
        </w:rPr>
        <w:t>%。</w:t>
      </w:r>
      <w:r>
        <w:rPr>
          <w:rFonts w:hint="eastAsia" w:eastAsia="仿宋_GB2312"/>
          <w:b/>
          <w:snapToGrid w:val="0"/>
          <w:color w:val="000000"/>
          <w:kern w:val="0"/>
          <w:sz w:val="32"/>
          <w:szCs w:val="32"/>
          <w:lang w:val="en-US" w:eastAsia="zh-CN"/>
        </w:rPr>
        <w:t>主要原因是新增国家电影事业发展专项资金，</w:t>
      </w:r>
      <w:r>
        <w:rPr>
          <w:rFonts w:hint="eastAsia" w:eastAsia="仿宋_GB2312"/>
          <w:b/>
          <w:snapToGrid w:val="0"/>
          <w:color w:val="auto"/>
          <w:kern w:val="0"/>
          <w:sz w:val="32"/>
          <w:szCs w:val="32"/>
          <w:highlight w:val="none"/>
          <w:lang w:eastAsia="zh-CN"/>
        </w:rPr>
        <w:t>四川文化产业职业学院（四川省干部函授学院）</w:t>
      </w:r>
      <w:r>
        <w:rPr>
          <w:rFonts w:hint="eastAsia" w:eastAsia="仿宋_GB2312"/>
          <w:b/>
          <w:snapToGrid w:val="0"/>
          <w:color w:val="auto"/>
          <w:kern w:val="0"/>
          <w:sz w:val="32"/>
          <w:szCs w:val="32"/>
          <w:highlight w:val="none"/>
          <w:lang w:val="en-US" w:eastAsia="zh-CN"/>
        </w:rPr>
        <w:t>教育收费收入安排的项目实施情况好于上年度，国防时报社催收欠款及预收报款较上年增加。</w:t>
      </w:r>
    </w:p>
    <w:p>
      <w:pPr>
        <w:spacing w:line="600" w:lineRule="exact"/>
        <w:ind w:firstLine="640" w:firstLineChars="200"/>
        <w:rPr>
          <w:rFonts w:ascii="仿宋_GB2312" w:eastAsia="仿宋_GB2312"/>
          <w:color w:val="000000"/>
          <w:sz w:val="32"/>
          <w:szCs w:val="32"/>
          <w:highlight w:val="none"/>
        </w:rPr>
      </w:pPr>
      <w:r>
        <w:rPr>
          <w:rFonts w:hint="eastAsia" w:ascii="仿宋" w:eastAsia="仿宋"/>
          <w:color w:val="000000"/>
          <w:sz w:val="32"/>
          <w:szCs w:val="32"/>
          <w:highlight w:val="none"/>
        </w:rPr>
        <w:t>（图</w:t>
      </w:r>
      <w:r>
        <w:rPr>
          <w:rFonts w:ascii="仿宋" w:eastAsia="仿宋"/>
          <w:color w:val="000000"/>
          <w:sz w:val="32"/>
          <w:szCs w:val="32"/>
          <w:highlight w:val="none"/>
        </w:rPr>
        <w:t>1</w:t>
      </w:r>
      <w:r>
        <w:rPr>
          <w:rFonts w:hint="eastAsia" w:ascii="仿宋" w:eastAsia="仿宋"/>
          <w:color w:val="000000"/>
          <w:sz w:val="32"/>
          <w:szCs w:val="32"/>
          <w:highlight w:val="none"/>
        </w:rPr>
        <w:t>：收、支决算总计变动情况图）（柱状图）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仿宋_GB2312" w:eastAsia="仿宋_GB2312"/>
          <w:color w:val="000000"/>
          <w:sz w:val="32"/>
          <w:szCs w:val="32"/>
        </w:rPr>
      </w:pPr>
      <w:r>
        <w:drawing>
          <wp:inline distT="0" distB="0" distL="114300" distR="114300">
            <wp:extent cx="4572000" cy="2743200"/>
            <wp:effectExtent l="0" t="0" r="0" b="0"/>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2"/>
        <w:numPr>
          <w:ilvl w:val="0"/>
          <w:numId w:val="1"/>
        </w:numPr>
        <w:spacing w:line="600" w:lineRule="exact"/>
        <w:ind w:firstLineChars="0"/>
        <w:outlineLvl w:val="1"/>
        <w:rPr>
          <w:rStyle w:val="17"/>
          <w:rFonts w:ascii="黑体" w:eastAsia="黑体"/>
          <w:b w:val="0"/>
        </w:rPr>
      </w:pPr>
      <w:bookmarkStart w:id="24" w:name="_Toc15377206"/>
      <w:bookmarkStart w:id="25" w:name="_Toc15396604"/>
      <w:r>
        <w:rPr>
          <w:rFonts w:hint="eastAsia" w:ascii="黑体" w:eastAsia="黑体"/>
          <w:color w:val="000000"/>
          <w:sz w:val="32"/>
          <w:szCs w:val="32"/>
        </w:rPr>
        <w:t>收</w:t>
      </w:r>
      <w:r>
        <w:rPr>
          <w:rStyle w:val="17"/>
          <w:rFonts w:hint="eastAsia" w:ascii="黑体" w:eastAsia="黑体"/>
          <w:b w:val="0"/>
        </w:rPr>
        <w:t>入决算情况说明</w:t>
      </w:r>
      <w:bookmarkEnd w:id="24"/>
      <w:bookmarkEnd w:id="25"/>
    </w:p>
    <w:p>
      <w:pPr>
        <w:overflowPunct w:val="0"/>
        <w:adjustRightInd w:val="0"/>
        <w:snapToGrid w:val="0"/>
        <w:spacing w:line="600" w:lineRule="exact"/>
        <w:ind w:firstLine="643" w:firstLineChars="200"/>
        <w:rPr>
          <w:rFonts w:ascii="仿宋" w:eastAsia="仿宋"/>
          <w:color w:val="000000"/>
          <w:sz w:val="32"/>
          <w:szCs w:val="32"/>
        </w:rPr>
      </w:pPr>
      <w:r>
        <w:rPr>
          <w:rFonts w:eastAsia="仿宋_GB2312"/>
          <w:b/>
          <w:snapToGrid w:val="0"/>
          <w:color w:val="000000"/>
          <w:kern w:val="0"/>
          <w:sz w:val="32"/>
          <w:szCs w:val="32"/>
        </w:rPr>
        <w:t>20</w:t>
      </w:r>
      <w:r>
        <w:rPr>
          <w:rFonts w:hint="eastAsia" w:eastAsia="仿宋_GB2312"/>
          <w:b/>
          <w:snapToGrid w:val="0"/>
          <w:color w:val="000000"/>
          <w:kern w:val="0"/>
          <w:sz w:val="32"/>
          <w:szCs w:val="32"/>
          <w:lang w:val="en-US" w:eastAsia="zh-CN"/>
        </w:rPr>
        <w:t>20</w:t>
      </w:r>
      <w:r>
        <w:rPr>
          <w:rFonts w:eastAsia="仿宋_GB2312"/>
          <w:b/>
          <w:snapToGrid w:val="0"/>
          <w:color w:val="000000"/>
          <w:kern w:val="0"/>
          <w:sz w:val="32"/>
          <w:szCs w:val="32"/>
        </w:rPr>
        <w:t>年本年收入</w:t>
      </w:r>
      <w:r>
        <w:rPr>
          <w:rFonts w:hint="eastAsia" w:eastAsia="仿宋_GB2312"/>
          <w:b/>
          <w:snapToGrid w:val="0"/>
          <w:color w:val="000000"/>
          <w:kern w:val="0"/>
          <w:sz w:val="32"/>
          <w:szCs w:val="32"/>
          <w:lang w:val="en-US" w:eastAsia="zh-CN"/>
        </w:rPr>
        <w:t>34,804.38万元</w:t>
      </w:r>
      <w:r>
        <w:rPr>
          <w:rFonts w:eastAsia="仿宋_GB2312"/>
          <w:b/>
          <w:snapToGrid w:val="0"/>
          <w:color w:val="000000"/>
          <w:kern w:val="0"/>
          <w:sz w:val="32"/>
          <w:szCs w:val="32"/>
        </w:rPr>
        <w:t>，其中：一般公共预算财政拨款收入</w:t>
      </w:r>
      <w:r>
        <w:rPr>
          <w:rFonts w:hint="eastAsia" w:eastAsia="仿宋_GB2312"/>
          <w:b/>
          <w:snapToGrid w:val="0"/>
          <w:color w:val="000000"/>
          <w:kern w:val="0"/>
          <w:sz w:val="32"/>
          <w:szCs w:val="32"/>
          <w:lang w:val="en-US" w:eastAsia="zh-CN"/>
        </w:rPr>
        <w:t>29151.19</w:t>
      </w:r>
      <w:r>
        <w:rPr>
          <w:rFonts w:eastAsia="仿宋_GB2312"/>
          <w:b/>
          <w:snapToGrid w:val="0"/>
          <w:color w:val="000000"/>
          <w:kern w:val="0"/>
          <w:sz w:val="32"/>
          <w:szCs w:val="32"/>
        </w:rPr>
        <w:t>万元，占</w:t>
      </w:r>
      <w:r>
        <w:rPr>
          <w:rFonts w:hint="eastAsia" w:eastAsia="仿宋_GB2312"/>
          <w:b/>
          <w:snapToGrid w:val="0"/>
          <w:color w:val="000000"/>
          <w:kern w:val="0"/>
          <w:sz w:val="32"/>
          <w:szCs w:val="32"/>
          <w:lang w:val="en-US" w:eastAsia="zh-CN"/>
        </w:rPr>
        <w:t>83.76</w:t>
      </w:r>
      <w:r>
        <w:rPr>
          <w:rFonts w:eastAsia="仿宋_GB2312"/>
          <w:b/>
          <w:snapToGrid w:val="0"/>
          <w:color w:val="000000"/>
          <w:kern w:val="0"/>
          <w:sz w:val="32"/>
          <w:szCs w:val="32"/>
        </w:rPr>
        <w:t>%；政府性基金预算财政拨款收入</w:t>
      </w:r>
      <w:r>
        <w:rPr>
          <w:rFonts w:hint="eastAsia" w:eastAsia="仿宋_GB2312"/>
          <w:b/>
          <w:snapToGrid w:val="0"/>
          <w:color w:val="000000"/>
          <w:kern w:val="0"/>
          <w:sz w:val="32"/>
          <w:szCs w:val="32"/>
          <w:lang w:val="en-US" w:eastAsia="zh-CN"/>
        </w:rPr>
        <w:t>853.95万元，占2.45%</w:t>
      </w:r>
      <w:r>
        <w:rPr>
          <w:rFonts w:hint="eastAsia" w:eastAsia="仿宋_GB2312"/>
          <w:b/>
          <w:snapToGrid w:val="0"/>
          <w:color w:val="000000"/>
          <w:kern w:val="0"/>
          <w:sz w:val="32"/>
          <w:szCs w:val="32"/>
          <w:lang w:eastAsia="zh-CN"/>
        </w:rPr>
        <w:t>；</w:t>
      </w:r>
      <w:r>
        <w:rPr>
          <w:rFonts w:eastAsia="仿宋_GB2312"/>
          <w:b/>
          <w:snapToGrid w:val="0"/>
          <w:color w:val="000000"/>
          <w:kern w:val="0"/>
          <w:sz w:val="32"/>
          <w:szCs w:val="32"/>
        </w:rPr>
        <w:t>无国有资本经营预算财政拨款收入；事业收入</w:t>
      </w:r>
      <w:r>
        <w:rPr>
          <w:rFonts w:hint="eastAsia" w:eastAsia="仿宋_GB2312"/>
          <w:b/>
          <w:snapToGrid w:val="0"/>
          <w:color w:val="000000"/>
          <w:kern w:val="0"/>
          <w:sz w:val="32"/>
          <w:szCs w:val="32"/>
          <w:lang w:val="en-US" w:eastAsia="zh-CN"/>
        </w:rPr>
        <w:t>4781.81万元</w:t>
      </w:r>
      <w:r>
        <w:rPr>
          <w:rFonts w:eastAsia="仿宋_GB2312"/>
          <w:b/>
          <w:snapToGrid w:val="0"/>
          <w:color w:val="000000"/>
          <w:kern w:val="0"/>
          <w:sz w:val="32"/>
          <w:szCs w:val="32"/>
        </w:rPr>
        <w:t>，占</w:t>
      </w:r>
      <w:r>
        <w:rPr>
          <w:rFonts w:hint="eastAsia" w:eastAsia="仿宋_GB2312"/>
          <w:b/>
          <w:snapToGrid w:val="0"/>
          <w:color w:val="000000"/>
          <w:kern w:val="0"/>
          <w:sz w:val="32"/>
          <w:szCs w:val="32"/>
          <w:lang w:val="en-US" w:eastAsia="zh-CN"/>
        </w:rPr>
        <w:t>13.74</w:t>
      </w:r>
      <w:r>
        <w:rPr>
          <w:rFonts w:eastAsia="仿宋_GB2312"/>
          <w:b/>
          <w:snapToGrid w:val="0"/>
          <w:color w:val="000000"/>
          <w:kern w:val="0"/>
          <w:sz w:val="32"/>
          <w:szCs w:val="32"/>
        </w:rPr>
        <w:t>%；无经营收入；无附属单位上缴收入；其他收入</w:t>
      </w:r>
      <w:r>
        <w:rPr>
          <w:rFonts w:hint="eastAsia" w:eastAsia="仿宋_GB2312"/>
          <w:b/>
          <w:snapToGrid w:val="0"/>
          <w:color w:val="000000"/>
          <w:kern w:val="0"/>
          <w:sz w:val="32"/>
          <w:szCs w:val="32"/>
          <w:lang w:val="en-US" w:eastAsia="zh-CN"/>
        </w:rPr>
        <w:t>3.38</w:t>
      </w:r>
      <w:r>
        <w:rPr>
          <w:rFonts w:eastAsia="仿宋_GB2312"/>
          <w:b/>
          <w:snapToGrid w:val="0"/>
          <w:color w:val="000000"/>
          <w:kern w:val="0"/>
          <w:sz w:val="32"/>
          <w:szCs w:val="32"/>
        </w:rPr>
        <w:t>万元，占0.00%；上级补助收入</w:t>
      </w:r>
      <w:r>
        <w:rPr>
          <w:rFonts w:hint="eastAsia" w:eastAsia="仿宋_GB2312"/>
          <w:b/>
          <w:snapToGrid w:val="0"/>
          <w:color w:val="000000"/>
          <w:kern w:val="0"/>
          <w:sz w:val="32"/>
          <w:szCs w:val="32"/>
          <w:lang w:val="en-US" w:eastAsia="zh-CN"/>
        </w:rPr>
        <w:t>14.00万元，占收入总额的0.04%</w:t>
      </w:r>
      <w:r>
        <w:rPr>
          <w:rFonts w:eastAsia="仿宋_GB2312"/>
          <w:b/>
          <w:snapToGrid w:val="0"/>
          <w:color w:val="000000"/>
          <w:kern w:val="0"/>
          <w:sz w:val="32"/>
          <w:szCs w:val="32"/>
        </w:rPr>
        <w:t>。</w:t>
      </w:r>
    </w:p>
    <w:p>
      <w:pPr>
        <w:spacing w:line="600" w:lineRule="exact"/>
        <w:ind w:firstLine="640" w:firstLineChars="200"/>
        <w:rPr>
          <w:rFonts w:ascii="仿宋_GB2312" w:eastAsia="仿宋_GB2312"/>
          <w:color w:val="FF0000"/>
          <w:sz w:val="32"/>
          <w:szCs w:val="32"/>
        </w:rPr>
      </w:pPr>
      <w:r>
        <w:rPr>
          <w:rFonts w:hint="eastAsia" w:ascii="仿宋" w:eastAsia="仿宋"/>
          <w:color w:val="000000"/>
          <w:sz w:val="32"/>
          <w:szCs w:val="32"/>
          <w:highlight w:val="none"/>
        </w:rPr>
        <w:t>（图2：收入决算结构图）（饼状图）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drawing>
          <wp:inline distT="0" distB="0" distL="114300" distR="114300">
            <wp:extent cx="4572000" cy="282829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p>
    <w:p>
      <w:pPr>
        <w:pStyle w:val="22"/>
        <w:numPr>
          <w:ilvl w:val="0"/>
          <w:numId w:val="1"/>
        </w:numPr>
        <w:spacing w:line="600" w:lineRule="exact"/>
        <w:ind w:firstLineChars="0"/>
        <w:outlineLvl w:val="1"/>
        <w:rPr>
          <w:rStyle w:val="17"/>
          <w:rFonts w:ascii="黑体" w:eastAsia="黑体"/>
          <w:b w:val="0"/>
        </w:rPr>
      </w:pPr>
      <w:bookmarkStart w:id="26" w:name="_Toc15377207"/>
      <w:bookmarkStart w:id="27" w:name="_Toc15396605"/>
      <w:r>
        <w:rPr>
          <w:rFonts w:hint="eastAsia" w:ascii="黑体" w:eastAsia="黑体"/>
          <w:color w:val="000000"/>
          <w:sz w:val="32"/>
          <w:szCs w:val="32"/>
        </w:rPr>
        <w:t>支</w:t>
      </w:r>
      <w:r>
        <w:rPr>
          <w:rStyle w:val="17"/>
          <w:rFonts w:hint="eastAsia" w:ascii="黑体" w:eastAsia="黑体"/>
          <w:b w:val="0"/>
        </w:rPr>
        <w:t>出决算情况说明</w:t>
      </w:r>
      <w:bookmarkEnd w:id="26"/>
      <w:bookmarkEnd w:id="27"/>
    </w:p>
    <w:p>
      <w:pPr>
        <w:overflowPunct w:val="0"/>
        <w:adjustRightInd w:val="0"/>
        <w:snapToGrid w:val="0"/>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年本年支出合计</w:t>
      </w:r>
      <w:r>
        <w:rPr>
          <w:rFonts w:hint="eastAsia" w:ascii="仿宋" w:eastAsia="仿宋"/>
          <w:color w:val="000000"/>
          <w:sz w:val="32"/>
          <w:szCs w:val="32"/>
          <w:lang w:val="en-US" w:eastAsia="zh-CN"/>
        </w:rPr>
        <w:t>34631.14</w:t>
      </w:r>
      <w:r>
        <w:rPr>
          <w:rFonts w:hint="eastAsia" w:ascii="仿宋" w:eastAsia="仿宋"/>
          <w:color w:val="000000"/>
          <w:sz w:val="32"/>
          <w:szCs w:val="32"/>
        </w:rPr>
        <w:t>万元，其中：基本支出</w:t>
      </w:r>
      <w:r>
        <w:rPr>
          <w:rFonts w:hint="eastAsia" w:ascii="仿宋" w:eastAsia="仿宋"/>
          <w:color w:val="000000"/>
          <w:sz w:val="32"/>
          <w:szCs w:val="32"/>
          <w:lang w:val="en-US" w:eastAsia="zh-CN"/>
        </w:rPr>
        <w:t>16647.06</w:t>
      </w:r>
      <w:r>
        <w:rPr>
          <w:rFonts w:hint="eastAsia" w:ascii="仿宋" w:eastAsia="仿宋"/>
          <w:color w:val="000000"/>
          <w:sz w:val="32"/>
          <w:szCs w:val="32"/>
        </w:rPr>
        <w:t>万元，占</w:t>
      </w:r>
      <w:r>
        <w:rPr>
          <w:rFonts w:hint="eastAsia" w:ascii="仿宋" w:eastAsia="仿宋"/>
          <w:color w:val="000000"/>
          <w:sz w:val="32"/>
          <w:szCs w:val="32"/>
          <w:lang w:val="en-US" w:eastAsia="zh-CN"/>
        </w:rPr>
        <w:t>48.07</w:t>
      </w:r>
      <w:r>
        <w:rPr>
          <w:rFonts w:ascii="仿宋" w:eastAsia="仿宋"/>
          <w:color w:val="000000"/>
          <w:sz w:val="32"/>
          <w:szCs w:val="32"/>
        </w:rPr>
        <w:t>%</w:t>
      </w:r>
      <w:r>
        <w:rPr>
          <w:rFonts w:hint="eastAsia" w:ascii="仿宋" w:eastAsia="仿宋"/>
          <w:color w:val="000000"/>
          <w:sz w:val="32"/>
          <w:szCs w:val="32"/>
        </w:rPr>
        <w:t>；项目支出</w:t>
      </w:r>
      <w:r>
        <w:rPr>
          <w:rFonts w:hint="eastAsia" w:ascii="仿宋" w:eastAsia="仿宋"/>
          <w:color w:val="000000"/>
          <w:sz w:val="32"/>
          <w:szCs w:val="32"/>
          <w:lang w:val="en-US" w:eastAsia="zh-CN"/>
        </w:rPr>
        <w:t>17984.08</w:t>
      </w:r>
      <w:r>
        <w:rPr>
          <w:rFonts w:hint="eastAsia" w:ascii="仿宋" w:eastAsia="仿宋"/>
          <w:color w:val="000000"/>
          <w:sz w:val="32"/>
          <w:szCs w:val="32"/>
        </w:rPr>
        <w:t>万元，占</w:t>
      </w:r>
      <w:r>
        <w:rPr>
          <w:rFonts w:hint="eastAsia" w:ascii="仿宋" w:eastAsia="仿宋"/>
          <w:color w:val="000000"/>
          <w:sz w:val="32"/>
          <w:szCs w:val="32"/>
          <w:lang w:val="en-US" w:eastAsia="zh-CN"/>
        </w:rPr>
        <w:t>51.93</w:t>
      </w:r>
      <w:r>
        <w:rPr>
          <w:rFonts w:ascii="仿宋" w:eastAsia="仿宋"/>
          <w:color w:val="000000"/>
          <w:sz w:val="32"/>
          <w:szCs w:val="32"/>
        </w:rPr>
        <w:t>%</w:t>
      </w:r>
      <w:r>
        <w:rPr>
          <w:rFonts w:hint="eastAsia" w:ascii="仿宋" w:eastAsia="仿宋"/>
          <w:color w:val="000000"/>
          <w:sz w:val="32"/>
          <w:szCs w:val="32"/>
        </w:rPr>
        <w:t>；无上缴上级支出；无经营支出；无对附属单位补助支出</w:t>
      </w:r>
      <w:r>
        <w:rPr>
          <w:rFonts w:hint="eastAsia" w:ascii="仿宋" w:eastAsia="仿宋"/>
          <w:color w:val="000000"/>
          <w:sz w:val="32"/>
          <w:szCs w:val="32"/>
          <w:lang w:eastAsia="zh-CN"/>
        </w:rPr>
        <w:t>；</w:t>
      </w:r>
    </w:p>
    <w:p>
      <w:pPr>
        <w:spacing w:line="600" w:lineRule="exact"/>
        <w:ind w:firstLine="960" w:firstLineChars="300"/>
        <w:rPr>
          <w:rFonts w:hint="eastAsia" w:ascii="仿宋" w:eastAsia="仿宋"/>
          <w:color w:val="000000"/>
          <w:sz w:val="32"/>
          <w:szCs w:val="32"/>
          <w:highlight w:val="none"/>
        </w:rPr>
      </w:pPr>
      <w:r>
        <w:rPr>
          <w:rFonts w:hint="eastAsia" w:ascii="仿宋" w:eastAsia="仿宋"/>
          <w:color w:val="000000"/>
          <w:sz w:val="32"/>
          <w:szCs w:val="32"/>
          <w:highlight w:val="none"/>
        </w:rPr>
        <w:t>（图3：支出决算结构图）（饼状图）</w:t>
      </w:r>
    </w:p>
    <w:p>
      <w:pPr>
        <w:spacing w:line="600" w:lineRule="exact"/>
        <w:ind w:firstLine="960" w:firstLineChars="300"/>
        <w:rPr>
          <w:rFonts w:hint="eastAsia" w:ascii="仿宋" w:eastAsia="仿宋"/>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_GB2312" w:eastAsia="仿宋_GB2312"/>
          <w:color w:val="FF0000"/>
          <w:sz w:val="32"/>
          <w:szCs w:val="32"/>
        </w:rPr>
      </w:pPr>
      <w:r>
        <w:drawing>
          <wp:inline distT="0" distB="0" distL="114300" distR="114300">
            <wp:extent cx="4572000" cy="27432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7"/>
          <w:rFonts w:ascii="黑体" w:eastAsia="黑体"/>
          <w:b w:val="0"/>
        </w:rPr>
      </w:pPr>
      <w:bookmarkStart w:id="28" w:name="_Toc15396606"/>
      <w:bookmarkStart w:id="29" w:name="_Toc15377208"/>
      <w:r>
        <w:rPr>
          <w:rFonts w:hint="eastAsia" w:ascii="黑体" w:eastAsia="黑体"/>
          <w:color w:val="000000"/>
          <w:sz w:val="32"/>
          <w:szCs w:val="32"/>
        </w:rPr>
        <w:t>四、财</w:t>
      </w:r>
      <w:r>
        <w:rPr>
          <w:rStyle w:val="17"/>
          <w:rFonts w:hint="eastAsia" w:ascii="黑体" w:eastAsia="黑体"/>
          <w:b w:val="0"/>
        </w:rPr>
        <w:t>政拨款收入支出决算总体情况说明</w:t>
      </w:r>
      <w:bookmarkEnd w:id="28"/>
      <w:bookmarkEnd w:id="29"/>
    </w:p>
    <w:p>
      <w:pPr>
        <w:spacing w:line="600" w:lineRule="exact"/>
        <w:ind w:firstLine="640" w:firstLineChars="200"/>
        <w:rPr>
          <w:rFonts w:hint="eastAsia" w:eastAsia="仿宋_GB2312"/>
          <w:b/>
          <w:snapToGrid w:val="0"/>
          <w:color w:val="auto"/>
          <w:kern w:val="0"/>
          <w:sz w:val="32"/>
          <w:szCs w:val="32"/>
          <w:highlight w:val="none"/>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年省委宣传部财政拨款收、支总计</w:t>
      </w:r>
      <w:r>
        <w:rPr>
          <w:rFonts w:hint="eastAsia" w:ascii="仿宋" w:eastAsia="仿宋"/>
          <w:color w:val="000000"/>
          <w:sz w:val="32"/>
          <w:szCs w:val="32"/>
          <w:lang w:val="en-US" w:eastAsia="zh-CN"/>
        </w:rPr>
        <w:t>30005.14</w:t>
      </w:r>
      <w:r>
        <w:rPr>
          <w:rFonts w:hint="eastAsia" w:ascii="仿宋" w:eastAsia="仿宋"/>
          <w:color w:val="000000"/>
          <w:sz w:val="32"/>
          <w:szCs w:val="32"/>
        </w:rPr>
        <w:t>万元。与20</w:t>
      </w:r>
      <w:r>
        <w:rPr>
          <w:rFonts w:hint="eastAsia" w:ascii="仿宋" w:eastAsia="仿宋"/>
          <w:color w:val="000000"/>
          <w:sz w:val="32"/>
          <w:szCs w:val="32"/>
          <w:lang w:val="en-US" w:eastAsia="zh-CN"/>
        </w:rPr>
        <w:t>19</w:t>
      </w:r>
      <w:r>
        <w:rPr>
          <w:rFonts w:hint="eastAsia" w:ascii="仿宋" w:eastAsia="仿宋"/>
          <w:color w:val="000000"/>
          <w:sz w:val="32"/>
          <w:szCs w:val="32"/>
        </w:rPr>
        <w:t>年相比，财政拨款收、支总计各</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1097.45</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3.8</w:t>
      </w:r>
      <w:r>
        <w:rPr>
          <w:rFonts w:hint="eastAsia" w:ascii="仿宋" w:eastAsia="仿宋"/>
          <w:color w:val="000000"/>
          <w:sz w:val="32"/>
          <w:szCs w:val="32"/>
        </w:rPr>
        <w:t>%</w:t>
      </w:r>
      <w:r>
        <w:rPr>
          <w:rFonts w:hint="eastAsia" w:ascii="仿宋" w:eastAsia="仿宋"/>
          <w:color w:val="000000"/>
          <w:sz w:val="32"/>
          <w:szCs w:val="32"/>
          <w:highlight w:val="none"/>
        </w:rPr>
        <w:t>。</w:t>
      </w:r>
      <w:r>
        <w:rPr>
          <w:rFonts w:eastAsia="仿宋_GB2312"/>
          <w:b/>
          <w:snapToGrid w:val="0"/>
          <w:color w:val="auto"/>
          <w:kern w:val="0"/>
          <w:sz w:val="32"/>
          <w:szCs w:val="32"/>
          <w:highlight w:val="none"/>
        </w:rPr>
        <w:t>主要变动原因是</w:t>
      </w:r>
      <w:r>
        <w:rPr>
          <w:rFonts w:hint="eastAsia" w:eastAsia="仿宋_GB2312"/>
          <w:b/>
          <w:snapToGrid w:val="0"/>
          <w:color w:val="auto"/>
          <w:kern w:val="0"/>
          <w:sz w:val="32"/>
          <w:szCs w:val="32"/>
          <w:highlight w:val="none"/>
          <w:lang w:eastAsia="zh-CN"/>
        </w:rPr>
        <w:t>新增了国家电影事业发展专项资金。</w:t>
      </w:r>
    </w:p>
    <w:p>
      <w:pPr>
        <w:spacing w:line="600" w:lineRule="exact"/>
        <w:ind w:firstLine="640" w:firstLineChars="200"/>
        <w:rPr>
          <w:rFonts w:hint="eastAsia" w:ascii="仿宋" w:eastAsia="仿宋"/>
          <w:color w:val="000000"/>
          <w:sz w:val="32"/>
          <w:szCs w:val="32"/>
          <w:highlight w:val="none"/>
        </w:rPr>
      </w:pPr>
      <w:r>
        <w:rPr>
          <w:rFonts w:hint="eastAsia" w:ascii="仿宋" w:eastAsia="仿宋"/>
          <w:color w:val="000000"/>
          <w:sz w:val="32"/>
          <w:szCs w:val="32"/>
        </w:rPr>
        <w:t>（图4</w:t>
      </w:r>
      <w:r>
        <w:rPr>
          <w:rFonts w:hint="eastAsia" w:ascii="仿宋" w:eastAsia="仿宋"/>
          <w:color w:val="000000"/>
          <w:sz w:val="32"/>
          <w:szCs w:val="32"/>
          <w:highlight w:val="none"/>
        </w:rPr>
        <w:t>：财政拨款收、支决算总计变动情况）（柱状图）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eastAsia="仿宋"/>
          <w:b/>
          <w:color w:val="00B050"/>
          <w:sz w:val="32"/>
          <w:szCs w:val="32"/>
        </w:rPr>
      </w:pPr>
      <w:r>
        <w:drawing>
          <wp:inline distT="0" distB="0" distL="114300" distR="114300">
            <wp:extent cx="4572000" cy="2743200"/>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17"/>
          <w:rFonts w:ascii="黑体" w:eastAsia="黑体"/>
          <w:b w:val="0"/>
        </w:rPr>
      </w:pPr>
      <w:bookmarkStart w:id="30" w:name="_Toc15396607"/>
      <w:bookmarkStart w:id="31" w:name="_Toc15377209"/>
      <w:r>
        <w:rPr>
          <w:rFonts w:hint="eastAsia" w:ascii="黑体" w:eastAsia="黑体"/>
          <w:color w:val="000000"/>
          <w:sz w:val="32"/>
          <w:szCs w:val="32"/>
        </w:rPr>
        <w:t>五、</w:t>
      </w:r>
      <w:r>
        <w:rPr>
          <w:rFonts w:hint="eastAsia" w:ascii="黑体" w:eastAsia="黑体"/>
          <w:b/>
          <w:color w:val="000000"/>
          <w:sz w:val="32"/>
          <w:szCs w:val="32"/>
        </w:rPr>
        <w:t>一</w:t>
      </w:r>
      <w:r>
        <w:rPr>
          <w:rStyle w:val="17"/>
          <w:rFonts w:hint="eastAsia" w:ascii="黑体" w:eastAsia="黑体"/>
          <w:b w:val="0"/>
        </w:rPr>
        <w:t>般公共预算财政拨款支出决算情况说明</w:t>
      </w:r>
      <w:bookmarkEnd w:id="30"/>
      <w:bookmarkEnd w:id="31"/>
    </w:p>
    <w:p>
      <w:pPr>
        <w:spacing w:line="600" w:lineRule="exact"/>
        <w:ind w:firstLine="643" w:firstLineChars="200"/>
        <w:outlineLvl w:val="2"/>
        <w:rPr>
          <w:rFonts w:ascii="仿宋" w:eastAsia="仿宋"/>
          <w:b/>
          <w:color w:val="000000"/>
          <w:sz w:val="32"/>
          <w:szCs w:val="32"/>
        </w:rPr>
      </w:pPr>
      <w:bookmarkStart w:id="32" w:name="_Toc15377210"/>
      <w:r>
        <w:rPr>
          <w:rFonts w:hint="eastAsia" w:ascii="仿宋" w:eastAsia="仿宋"/>
          <w:b/>
          <w:color w:val="000000"/>
          <w:sz w:val="32"/>
          <w:szCs w:val="32"/>
        </w:rPr>
        <w:t>（一）一般公共预算财政拨款支出决算总体情况</w:t>
      </w:r>
      <w:bookmarkEnd w:id="32"/>
    </w:p>
    <w:p>
      <w:pPr>
        <w:overflowPunct w:val="0"/>
        <w:adjustRightInd w:val="0"/>
        <w:snapToGrid w:val="0"/>
        <w:spacing w:line="600" w:lineRule="exact"/>
        <w:ind w:firstLine="643" w:firstLineChars="200"/>
        <w:rPr>
          <w:rFonts w:ascii="仿宋" w:eastAsia="仿宋"/>
          <w:color w:val="auto"/>
          <w:sz w:val="32"/>
          <w:szCs w:val="32"/>
          <w:highlight w:val="none"/>
        </w:rPr>
      </w:pPr>
      <w:r>
        <w:rPr>
          <w:rFonts w:eastAsia="仿宋_GB2312"/>
          <w:b/>
          <w:snapToGrid w:val="0"/>
          <w:color w:val="000000"/>
          <w:kern w:val="0"/>
          <w:sz w:val="32"/>
          <w:szCs w:val="32"/>
        </w:rPr>
        <w:t>20</w:t>
      </w:r>
      <w:r>
        <w:rPr>
          <w:rFonts w:hint="eastAsia" w:eastAsia="仿宋_GB2312"/>
          <w:b/>
          <w:snapToGrid w:val="0"/>
          <w:color w:val="000000"/>
          <w:kern w:val="0"/>
          <w:sz w:val="32"/>
          <w:szCs w:val="32"/>
          <w:lang w:val="en-US" w:eastAsia="zh-CN"/>
        </w:rPr>
        <w:t>20</w:t>
      </w:r>
      <w:r>
        <w:rPr>
          <w:rFonts w:eastAsia="仿宋_GB2312"/>
          <w:b/>
          <w:snapToGrid w:val="0"/>
          <w:color w:val="000000"/>
          <w:kern w:val="0"/>
          <w:sz w:val="32"/>
          <w:szCs w:val="32"/>
        </w:rPr>
        <w:t>年一般公共预算财政拨款支出</w:t>
      </w:r>
      <w:r>
        <w:rPr>
          <w:rFonts w:hint="eastAsia" w:eastAsia="仿宋_GB2312"/>
          <w:b/>
          <w:snapToGrid w:val="0"/>
          <w:color w:val="000000"/>
          <w:kern w:val="0"/>
          <w:sz w:val="32"/>
          <w:szCs w:val="32"/>
          <w:lang w:val="en-US" w:eastAsia="zh-CN"/>
        </w:rPr>
        <w:t>29151.19</w:t>
      </w:r>
      <w:r>
        <w:rPr>
          <w:rFonts w:eastAsia="仿宋_GB2312"/>
          <w:b/>
          <w:snapToGrid w:val="0"/>
          <w:color w:val="000000"/>
          <w:kern w:val="0"/>
          <w:sz w:val="32"/>
          <w:szCs w:val="32"/>
        </w:rPr>
        <w:t>万元，占本年支出合计的8</w:t>
      </w:r>
      <w:r>
        <w:rPr>
          <w:rFonts w:hint="eastAsia" w:eastAsia="仿宋_GB2312"/>
          <w:b/>
          <w:snapToGrid w:val="0"/>
          <w:color w:val="000000"/>
          <w:kern w:val="0"/>
          <w:sz w:val="32"/>
          <w:szCs w:val="32"/>
          <w:lang w:val="en-US" w:eastAsia="zh-CN"/>
        </w:rPr>
        <w:t>3.76</w:t>
      </w:r>
      <w:r>
        <w:rPr>
          <w:rFonts w:eastAsia="仿宋_GB2312"/>
          <w:b/>
          <w:snapToGrid w:val="0"/>
          <w:color w:val="000000"/>
          <w:kern w:val="0"/>
          <w:sz w:val="32"/>
          <w:szCs w:val="32"/>
        </w:rPr>
        <w:t>%。与201</w:t>
      </w:r>
      <w:r>
        <w:rPr>
          <w:rFonts w:hint="eastAsia" w:eastAsia="仿宋_GB2312"/>
          <w:b/>
          <w:snapToGrid w:val="0"/>
          <w:color w:val="000000"/>
          <w:kern w:val="0"/>
          <w:sz w:val="32"/>
          <w:szCs w:val="32"/>
          <w:lang w:val="en-US" w:eastAsia="zh-CN"/>
        </w:rPr>
        <w:t>9</w:t>
      </w:r>
      <w:r>
        <w:rPr>
          <w:rFonts w:eastAsia="仿宋_GB2312"/>
          <w:b/>
          <w:snapToGrid w:val="0"/>
          <w:color w:val="000000"/>
          <w:kern w:val="0"/>
          <w:sz w:val="32"/>
          <w:szCs w:val="32"/>
        </w:rPr>
        <w:t>年相比，一般公共预算财政拨款</w:t>
      </w:r>
      <w:r>
        <w:rPr>
          <w:rFonts w:hint="eastAsia" w:eastAsia="仿宋_GB2312"/>
          <w:b/>
          <w:snapToGrid w:val="0"/>
          <w:color w:val="000000"/>
          <w:kern w:val="0"/>
          <w:sz w:val="32"/>
          <w:szCs w:val="32"/>
          <w:lang w:eastAsia="zh-CN"/>
        </w:rPr>
        <w:t>增加</w:t>
      </w:r>
      <w:r>
        <w:rPr>
          <w:rFonts w:hint="eastAsia" w:eastAsia="仿宋_GB2312"/>
          <w:b/>
          <w:snapToGrid w:val="0"/>
          <w:color w:val="000000"/>
          <w:kern w:val="0"/>
          <w:sz w:val="32"/>
          <w:szCs w:val="32"/>
          <w:lang w:val="en-US" w:eastAsia="zh-CN"/>
        </w:rPr>
        <w:t>325.67</w:t>
      </w:r>
      <w:r>
        <w:rPr>
          <w:rFonts w:eastAsia="仿宋_GB2312"/>
          <w:b/>
          <w:snapToGrid w:val="0"/>
          <w:color w:val="000000"/>
          <w:kern w:val="0"/>
          <w:sz w:val="32"/>
          <w:szCs w:val="32"/>
        </w:rPr>
        <w:t>万元，</w:t>
      </w:r>
      <w:r>
        <w:rPr>
          <w:rFonts w:hint="eastAsia" w:eastAsia="仿宋_GB2312"/>
          <w:b/>
          <w:snapToGrid w:val="0"/>
          <w:color w:val="000000"/>
          <w:kern w:val="0"/>
          <w:sz w:val="32"/>
          <w:szCs w:val="32"/>
          <w:lang w:eastAsia="zh-CN"/>
        </w:rPr>
        <w:t>增长</w:t>
      </w:r>
      <w:r>
        <w:rPr>
          <w:rFonts w:hint="eastAsia" w:eastAsia="仿宋_GB2312"/>
          <w:b/>
          <w:snapToGrid w:val="0"/>
          <w:color w:val="000000"/>
          <w:kern w:val="0"/>
          <w:sz w:val="32"/>
          <w:szCs w:val="32"/>
          <w:lang w:val="en-US" w:eastAsia="zh-CN"/>
        </w:rPr>
        <w:t>1.12</w:t>
      </w:r>
      <w:r>
        <w:rPr>
          <w:rFonts w:eastAsia="仿宋_GB2312"/>
          <w:b/>
          <w:snapToGrid w:val="0"/>
          <w:color w:val="000000"/>
          <w:kern w:val="0"/>
          <w:sz w:val="32"/>
          <w:szCs w:val="32"/>
        </w:rPr>
        <w:t>%。</w:t>
      </w:r>
      <w:r>
        <w:rPr>
          <w:rFonts w:eastAsia="仿宋_GB2312"/>
          <w:b/>
          <w:snapToGrid w:val="0"/>
          <w:color w:val="auto"/>
          <w:kern w:val="0"/>
          <w:sz w:val="32"/>
          <w:szCs w:val="32"/>
          <w:highlight w:val="none"/>
        </w:rPr>
        <w:t>主要变动原因是</w:t>
      </w:r>
      <w:r>
        <w:rPr>
          <w:rFonts w:hint="eastAsia" w:eastAsia="仿宋_GB2312"/>
          <w:b/>
          <w:snapToGrid w:val="0"/>
          <w:color w:val="auto"/>
          <w:kern w:val="0"/>
          <w:sz w:val="32"/>
          <w:szCs w:val="32"/>
          <w:highlight w:val="none"/>
          <w:lang w:eastAsia="zh-CN"/>
        </w:rPr>
        <w:t>项目支出增加。</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w:t>
      </w:r>
      <w:r>
        <w:rPr>
          <w:rFonts w:hint="eastAsia" w:ascii="仿宋" w:eastAsia="仿宋"/>
          <w:color w:val="000000"/>
          <w:sz w:val="32"/>
          <w:szCs w:val="32"/>
          <w:highlight w:val="none"/>
        </w:rPr>
        <w:t>图5：一般公共预算财政拨款支出决算变动情况）（柱</w:t>
      </w:r>
      <w:r>
        <w:rPr>
          <w:rFonts w:hint="eastAsia" w:ascii="仿宋" w:eastAsia="仿宋"/>
          <w:color w:val="000000"/>
          <w:sz w:val="32"/>
          <w:szCs w:val="32"/>
        </w:rPr>
        <w:t>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eastAsia="仿宋"/>
          <w:color w:val="000000"/>
          <w:sz w:val="32"/>
          <w:szCs w:val="32"/>
        </w:rPr>
      </w:pPr>
      <w:r>
        <w:drawing>
          <wp:inline distT="0" distB="0" distL="114300" distR="114300">
            <wp:extent cx="4572000" cy="2743200"/>
            <wp:effectExtent l="0" t="0" r="0"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eastAsia="仿宋"/>
          <w:b/>
          <w:color w:val="000000"/>
          <w:sz w:val="32"/>
          <w:szCs w:val="32"/>
        </w:rPr>
      </w:pPr>
      <w:bookmarkStart w:id="33" w:name="_Toc15377211"/>
      <w:r>
        <w:rPr>
          <w:rFonts w:hint="eastAsia" w:ascii="仿宋" w:eastAsia="仿宋"/>
          <w:b/>
          <w:color w:val="000000"/>
          <w:sz w:val="32"/>
          <w:szCs w:val="32"/>
        </w:rPr>
        <w:t>（二）一般公共预算财政拨款支出决算结构情况</w:t>
      </w:r>
      <w:bookmarkEnd w:id="33"/>
    </w:p>
    <w:p>
      <w:pPr>
        <w:spacing w:line="600" w:lineRule="exact"/>
        <w:ind w:firstLine="640"/>
        <w:rPr>
          <w:rFonts w:ascii="仿宋" w:eastAsia="仿宋"/>
          <w:color w:val="000000"/>
          <w:sz w:val="32"/>
          <w:szCs w:val="32"/>
        </w:rPr>
      </w:pPr>
      <w:r>
        <w:rPr>
          <w:rFonts w:ascii="仿宋" w:eastAsia="仿宋"/>
          <w:color w:val="000000"/>
          <w:sz w:val="32"/>
          <w:szCs w:val="32"/>
        </w:rPr>
        <w:t>20</w:t>
      </w:r>
      <w:r>
        <w:rPr>
          <w:rFonts w:ascii="方正兰亭黑_GBK" w:hAnsi="方正兰亭黑_GBK" w:eastAsia="仿宋"/>
          <w:color w:val="000000"/>
          <w:sz w:val="32"/>
          <w:szCs w:val="32"/>
        </w:rPr>
        <w:t>20</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29151.19</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4897.00</w:t>
      </w:r>
      <w:r>
        <w:rPr>
          <w:rFonts w:hint="eastAsia" w:ascii="仿宋" w:eastAsia="仿宋"/>
          <w:color w:val="000000"/>
          <w:sz w:val="32"/>
          <w:szCs w:val="32"/>
        </w:rPr>
        <w:t>万元，占</w:t>
      </w:r>
      <w:r>
        <w:rPr>
          <w:rFonts w:hint="eastAsia" w:ascii="仿宋" w:eastAsia="仿宋"/>
          <w:color w:val="000000"/>
          <w:sz w:val="32"/>
          <w:szCs w:val="32"/>
          <w:lang w:val="en-US" w:eastAsia="zh-CN"/>
        </w:rPr>
        <w:t>16.8</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教育支出（类）</w:t>
      </w:r>
      <w:r>
        <w:rPr>
          <w:rFonts w:hint="eastAsia" w:ascii="仿宋" w:eastAsia="仿宋"/>
          <w:color w:val="000000"/>
          <w:sz w:val="32"/>
          <w:szCs w:val="32"/>
          <w:lang w:val="en-US" w:eastAsia="zh-CN"/>
        </w:rPr>
        <w:t>11880.93</w:t>
      </w:r>
      <w:r>
        <w:rPr>
          <w:rFonts w:hint="eastAsia" w:ascii="仿宋" w:eastAsia="仿宋"/>
          <w:color w:val="000000"/>
          <w:sz w:val="32"/>
          <w:szCs w:val="32"/>
        </w:rPr>
        <w:t>万元，占</w:t>
      </w:r>
      <w:r>
        <w:rPr>
          <w:rFonts w:hint="eastAsia" w:ascii="仿宋" w:eastAsia="仿宋"/>
          <w:color w:val="000000"/>
          <w:sz w:val="32"/>
          <w:szCs w:val="32"/>
          <w:lang w:val="en-US" w:eastAsia="zh-CN"/>
        </w:rPr>
        <w:t>40.76</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文化旅游体育与传媒（类）支出</w:t>
      </w:r>
      <w:r>
        <w:rPr>
          <w:rFonts w:hint="eastAsia" w:ascii="仿宋" w:eastAsia="仿宋"/>
          <w:b/>
          <w:bCs/>
          <w:color w:val="000000"/>
          <w:sz w:val="32"/>
          <w:szCs w:val="32"/>
          <w:lang w:val="en-US" w:eastAsia="zh-CN"/>
        </w:rPr>
        <w:t>10245.79</w:t>
      </w:r>
      <w:r>
        <w:rPr>
          <w:rFonts w:hint="eastAsia" w:ascii="仿宋" w:eastAsia="仿宋"/>
          <w:b/>
          <w:bCs/>
          <w:color w:val="000000"/>
          <w:sz w:val="32"/>
          <w:szCs w:val="32"/>
        </w:rPr>
        <w:t>万元，占</w:t>
      </w:r>
      <w:r>
        <w:rPr>
          <w:rFonts w:hint="eastAsia" w:ascii="仿宋" w:eastAsia="仿宋"/>
          <w:b/>
          <w:bCs/>
          <w:color w:val="000000"/>
          <w:sz w:val="32"/>
          <w:szCs w:val="32"/>
          <w:lang w:val="en-US" w:eastAsia="zh-CN"/>
        </w:rPr>
        <w:t>35.15%</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1168.91</w:t>
      </w:r>
      <w:r>
        <w:rPr>
          <w:rFonts w:hint="eastAsia" w:ascii="仿宋" w:eastAsia="仿宋"/>
          <w:color w:val="000000"/>
          <w:sz w:val="32"/>
          <w:szCs w:val="32"/>
        </w:rPr>
        <w:t>万元，占</w:t>
      </w:r>
      <w:r>
        <w:rPr>
          <w:rFonts w:hint="eastAsia" w:ascii="仿宋" w:eastAsia="仿宋"/>
          <w:color w:val="000000"/>
          <w:sz w:val="32"/>
          <w:szCs w:val="32"/>
          <w:lang w:val="en-US" w:eastAsia="zh-CN"/>
        </w:rPr>
        <w:t>4.01</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color w:val="000000"/>
          <w:sz w:val="32"/>
          <w:szCs w:val="32"/>
          <w:lang w:val="en-US" w:eastAsia="zh-CN"/>
        </w:rPr>
        <w:t>262.91</w:t>
      </w:r>
      <w:r>
        <w:rPr>
          <w:rFonts w:hint="eastAsia" w:ascii="仿宋" w:eastAsia="仿宋"/>
          <w:color w:val="000000"/>
          <w:sz w:val="32"/>
          <w:szCs w:val="32"/>
        </w:rPr>
        <w:t>万元，占</w:t>
      </w:r>
      <w:r>
        <w:rPr>
          <w:rFonts w:hint="eastAsia" w:ascii="仿宋" w:eastAsia="仿宋"/>
          <w:color w:val="000000"/>
          <w:sz w:val="32"/>
          <w:szCs w:val="32"/>
          <w:lang w:val="en-US" w:eastAsia="zh-CN"/>
        </w:rPr>
        <w:t>0.90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住房保障支出</w:t>
      </w:r>
      <w:r>
        <w:rPr>
          <w:rFonts w:hint="eastAsia" w:ascii="仿宋" w:eastAsia="仿宋"/>
          <w:color w:val="000000"/>
          <w:sz w:val="32"/>
          <w:szCs w:val="32"/>
          <w:lang w:val="en-US" w:eastAsia="zh-CN"/>
        </w:rPr>
        <w:t>534.72</w:t>
      </w:r>
      <w:r>
        <w:rPr>
          <w:rFonts w:hint="eastAsia" w:ascii="仿宋" w:eastAsia="仿宋"/>
          <w:color w:val="000000"/>
          <w:sz w:val="32"/>
          <w:szCs w:val="32"/>
        </w:rPr>
        <w:t>万元，占</w:t>
      </w:r>
      <w:r>
        <w:rPr>
          <w:rFonts w:hint="eastAsia" w:ascii="仿宋" w:eastAsia="仿宋"/>
          <w:color w:val="000000"/>
          <w:sz w:val="32"/>
          <w:szCs w:val="32"/>
          <w:lang w:val="en-US" w:eastAsia="zh-CN"/>
        </w:rPr>
        <w:t>1.83</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lang w:eastAsia="zh-CN"/>
        </w:rPr>
        <w:t>灾害防治及应急管理支出</w:t>
      </w:r>
      <w:r>
        <w:rPr>
          <w:rFonts w:hint="eastAsia" w:ascii="仿宋" w:eastAsia="仿宋"/>
          <w:color w:val="000000"/>
          <w:sz w:val="32"/>
          <w:szCs w:val="32"/>
          <w:lang w:val="en-US" w:eastAsia="zh-CN"/>
        </w:rPr>
        <w:t>7.93万元，占0.03%；</w:t>
      </w:r>
      <w:r>
        <w:rPr>
          <w:rFonts w:hint="eastAsia" w:ascii="仿宋" w:eastAsia="仿宋"/>
          <w:b/>
          <w:bCs/>
          <w:color w:val="000000"/>
          <w:sz w:val="32"/>
          <w:szCs w:val="32"/>
          <w:lang w:val="en-US"/>
        </w:rPr>
        <w:t>其他支出</w:t>
      </w:r>
      <w:r>
        <w:rPr>
          <w:rFonts w:hint="eastAsia" w:ascii="仿宋" w:eastAsia="仿宋"/>
          <w:color w:val="000000"/>
          <w:sz w:val="32"/>
          <w:szCs w:val="32"/>
          <w:lang w:val="en-US" w:eastAsia="zh-CN"/>
        </w:rPr>
        <w:t>152.99万元，占0.52%</w:t>
      </w:r>
      <w:r>
        <w:rPr>
          <w:rFonts w:hint="eastAsia" w:ascii="仿宋" w:eastAsia="仿宋"/>
          <w:color w:val="000000"/>
          <w:sz w:val="32"/>
          <w:szCs w:val="32"/>
        </w:rPr>
        <w:t>。</w:t>
      </w:r>
    </w:p>
    <w:p>
      <w:pPr>
        <w:spacing w:line="600" w:lineRule="exact"/>
        <w:ind w:firstLine="640" w:firstLineChars="200"/>
        <w:rPr>
          <w:rFonts w:hint="eastAsia" w:ascii="仿宋" w:eastAsia="仿宋"/>
          <w:color w:val="000000"/>
          <w:sz w:val="32"/>
          <w:szCs w:val="32"/>
          <w:highlight w:val="none"/>
        </w:rPr>
      </w:pPr>
      <w:r>
        <w:rPr>
          <w:rFonts w:hint="eastAsia" w:ascii="仿宋" w:eastAsia="仿宋"/>
          <w:color w:val="000000"/>
          <w:sz w:val="32"/>
          <w:szCs w:val="32"/>
          <w:highlight w:val="none"/>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eastAsia="仿宋"/>
          <w:color w:val="000000"/>
          <w:sz w:val="32"/>
          <w:szCs w:val="32"/>
        </w:rPr>
      </w:pPr>
      <w:r>
        <w:drawing>
          <wp:inline distT="0" distB="0" distL="114300" distR="114300">
            <wp:extent cx="5012690" cy="24003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eastAsia="仿宋"/>
          <w:b/>
          <w:bCs w:val="0"/>
          <w:color w:val="000000"/>
          <w:sz w:val="32"/>
          <w:szCs w:val="32"/>
          <w:highlight w:val="none"/>
        </w:rPr>
      </w:pPr>
      <w:bookmarkStart w:id="34" w:name="_Toc15377212"/>
      <w:r>
        <w:rPr>
          <w:rFonts w:hint="eastAsia" w:ascii="仿宋" w:eastAsia="仿宋"/>
          <w:b/>
          <w:bCs w:val="0"/>
          <w:color w:val="000000"/>
          <w:sz w:val="32"/>
          <w:szCs w:val="32"/>
          <w:highlight w:val="none"/>
        </w:rPr>
        <w:t>（三）一般公共预算财政拨款支出决算具体情况</w:t>
      </w:r>
      <w:bookmarkEnd w:id="34"/>
    </w:p>
    <w:p>
      <w:pPr>
        <w:overflowPunct w:val="0"/>
        <w:adjustRightInd w:val="0"/>
        <w:snapToGrid w:val="0"/>
        <w:spacing w:line="600" w:lineRule="exact"/>
        <w:ind w:firstLine="640" w:firstLineChars="200"/>
        <w:rPr>
          <w:rFonts w:ascii="仿宋" w:eastAsia="仿宋"/>
          <w:b w:val="0"/>
          <w:bCs/>
          <w:color w:val="FF0000"/>
          <w:sz w:val="32"/>
          <w:szCs w:val="32"/>
          <w:highlight w:val="none"/>
        </w:rPr>
      </w:pPr>
      <w:bookmarkStart w:id="35" w:name="_Toc15377444"/>
      <w:bookmarkStart w:id="36" w:name="_Toc15378460"/>
      <w:bookmarkStart w:id="37" w:name="_Toc15377213"/>
      <w:r>
        <w:rPr>
          <w:rFonts w:eastAsia="仿宋_GB2312"/>
          <w:b w:val="0"/>
          <w:bCs/>
          <w:snapToGrid w:val="0"/>
          <w:color w:val="000000"/>
          <w:kern w:val="0"/>
          <w:sz w:val="32"/>
          <w:szCs w:val="32"/>
          <w:highlight w:val="none"/>
        </w:rPr>
        <w:t>2020年一般公共预算支出决算数为</w:t>
      </w:r>
      <w:r>
        <w:rPr>
          <w:rFonts w:hint="eastAsia" w:eastAsia="仿宋_GB2312"/>
          <w:b w:val="0"/>
          <w:bCs/>
          <w:snapToGrid w:val="0"/>
          <w:color w:val="000000"/>
          <w:kern w:val="0"/>
          <w:sz w:val="32"/>
          <w:szCs w:val="32"/>
          <w:highlight w:val="none"/>
          <w:lang w:val="en-US" w:eastAsia="zh-CN"/>
        </w:rPr>
        <w:t>29151.19</w:t>
      </w:r>
      <w:r>
        <w:rPr>
          <w:rFonts w:eastAsia="仿宋_GB2312"/>
          <w:b w:val="0"/>
          <w:bCs/>
          <w:snapToGrid w:val="0"/>
          <w:color w:val="000000"/>
          <w:kern w:val="0"/>
          <w:sz w:val="32"/>
          <w:szCs w:val="32"/>
          <w:highlight w:val="none"/>
        </w:rPr>
        <w:t>万元，</w:t>
      </w:r>
      <w:r>
        <w:rPr>
          <w:rStyle w:val="14"/>
          <w:rFonts w:eastAsia="仿宋_GB2312"/>
          <w:b w:val="0"/>
          <w:bCs/>
          <w:snapToGrid w:val="0"/>
          <w:color w:val="000000"/>
          <w:kern w:val="0"/>
          <w:sz w:val="32"/>
          <w:szCs w:val="32"/>
          <w:highlight w:val="none"/>
        </w:rPr>
        <w:t>完成预算</w:t>
      </w:r>
      <w:r>
        <w:rPr>
          <w:rStyle w:val="14"/>
          <w:rFonts w:hint="eastAsia" w:eastAsia="仿宋_GB2312"/>
          <w:b w:val="0"/>
          <w:bCs/>
          <w:snapToGrid w:val="0"/>
          <w:color w:val="000000"/>
          <w:kern w:val="0"/>
          <w:sz w:val="32"/>
          <w:szCs w:val="32"/>
          <w:highlight w:val="none"/>
          <w:lang w:val="en-US" w:eastAsia="zh-CN"/>
        </w:rPr>
        <w:t>90.8</w:t>
      </w:r>
      <w:r>
        <w:rPr>
          <w:rStyle w:val="14"/>
          <w:rFonts w:eastAsia="仿宋_GB2312"/>
          <w:b w:val="0"/>
          <w:bCs/>
          <w:snapToGrid w:val="0"/>
          <w:color w:val="000000"/>
          <w:kern w:val="0"/>
          <w:sz w:val="32"/>
          <w:szCs w:val="32"/>
          <w:highlight w:val="none"/>
        </w:rPr>
        <w:t>%。</w:t>
      </w:r>
      <w:r>
        <w:rPr>
          <w:rStyle w:val="14"/>
          <w:rFonts w:hint="eastAsia" w:ascii="仿宋" w:eastAsia="仿宋"/>
          <w:b w:val="0"/>
          <w:bCs/>
          <w:color w:val="000000"/>
          <w:sz w:val="32"/>
          <w:szCs w:val="32"/>
          <w:highlight w:val="none"/>
        </w:rPr>
        <w:t>其中：</w:t>
      </w:r>
      <w:bookmarkEnd w:id="35"/>
      <w:bookmarkEnd w:id="36"/>
      <w:bookmarkEnd w:id="37"/>
    </w:p>
    <w:p>
      <w:pPr>
        <w:numPr>
          <w:ilvl w:val="0"/>
          <w:numId w:val="2"/>
        </w:numPr>
        <w:overflowPunct w:val="0"/>
        <w:adjustRightInd w:val="0"/>
        <w:snapToGrid w:val="0"/>
        <w:spacing w:line="600" w:lineRule="exact"/>
        <w:ind w:left="0" w:firstLine="640" w:firstLineChars="200"/>
        <w:rPr>
          <w:rFonts w:eastAsia="仿宋_GB2312"/>
          <w:b w:val="0"/>
          <w:bCs/>
          <w:snapToGrid w:val="0"/>
          <w:color w:val="000000"/>
          <w:kern w:val="0"/>
          <w:sz w:val="32"/>
          <w:szCs w:val="32"/>
          <w:highlight w:val="none"/>
        </w:rPr>
      </w:pPr>
      <w:r>
        <w:rPr>
          <w:rStyle w:val="14"/>
          <w:rFonts w:eastAsia="仿宋_GB2312"/>
          <w:b w:val="0"/>
          <w:bCs/>
          <w:snapToGrid w:val="0"/>
          <w:color w:val="000000"/>
          <w:kern w:val="0"/>
          <w:sz w:val="32"/>
          <w:szCs w:val="32"/>
        </w:rPr>
        <w:t>一般公共服务（类）宣传事务（款）行政运行（项）: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2957.47</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2954.15</w:t>
      </w:r>
      <w:r>
        <w:rPr>
          <w:rFonts w:eastAsia="仿宋_GB2312"/>
          <w:b w:val="0"/>
          <w:bCs/>
          <w:snapToGrid w:val="0"/>
          <w:color w:val="000000"/>
          <w:kern w:val="0"/>
          <w:sz w:val="32"/>
          <w:szCs w:val="32"/>
        </w:rPr>
        <w:t>万元，完成</w:t>
      </w:r>
      <w:r>
        <w:rPr>
          <w:rFonts w:eastAsia="仿宋_GB2312"/>
          <w:b w:val="0"/>
          <w:bCs/>
          <w:snapToGrid w:val="0"/>
          <w:color w:val="000000"/>
          <w:kern w:val="0"/>
          <w:sz w:val="32"/>
          <w:szCs w:val="32"/>
          <w:highlight w:val="none"/>
        </w:rPr>
        <w:t>年初预算</w:t>
      </w:r>
      <w:r>
        <w:rPr>
          <w:rFonts w:hint="eastAsia" w:eastAsia="仿宋_GB2312"/>
          <w:b w:val="0"/>
          <w:bCs/>
          <w:snapToGrid w:val="0"/>
          <w:color w:val="000000"/>
          <w:kern w:val="0"/>
          <w:sz w:val="32"/>
          <w:szCs w:val="32"/>
          <w:highlight w:val="none"/>
          <w:lang w:val="en-US" w:eastAsia="zh-CN"/>
        </w:rPr>
        <w:t>99.89</w:t>
      </w:r>
      <w:r>
        <w:rPr>
          <w:rFonts w:eastAsia="仿宋_GB2312"/>
          <w:b w:val="0"/>
          <w:bCs/>
          <w:snapToGrid w:val="0"/>
          <w:color w:val="000000"/>
          <w:kern w:val="0"/>
          <w:sz w:val="32"/>
          <w:szCs w:val="32"/>
          <w:highlight w:val="none"/>
        </w:rPr>
        <w:t>%。</w:t>
      </w:r>
    </w:p>
    <w:p>
      <w:pPr>
        <w:overflowPunct w:val="0"/>
        <w:adjustRightInd w:val="0"/>
        <w:snapToGrid w:val="0"/>
        <w:spacing w:line="600" w:lineRule="exact"/>
        <w:ind w:left="0" w:firstLine="640" w:firstLineChars="200"/>
        <w:rPr>
          <w:rStyle w:val="14"/>
          <w:rFonts w:eastAsia="仿宋_GB2312"/>
          <w:b w:val="0"/>
          <w:bCs/>
          <w:snapToGrid w:val="0"/>
          <w:color w:val="000000"/>
          <w:kern w:val="0"/>
          <w:sz w:val="32"/>
          <w:szCs w:val="32"/>
          <w:highlight w:val="none"/>
        </w:rPr>
      </w:pPr>
      <w:r>
        <w:rPr>
          <w:rStyle w:val="14"/>
          <w:rFonts w:eastAsia="仿宋_GB2312"/>
          <w:b w:val="0"/>
          <w:bCs/>
          <w:snapToGrid w:val="0"/>
          <w:color w:val="000000"/>
          <w:kern w:val="0"/>
          <w:sz w:val="32"/>
          <w:szCs w:val="32"/>
          <w:highlight w:val="none"/>
        </w:rPr>
        <w:t>2．一般公共服务（类）宣传事务（款）一般行政管理事务（项）：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2376.15</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1728.78</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72.76</w:t>
      </w:r>
      <w:r>
        <w:rPr>
          <w:rFonts w:eastAsia="仿宋_GB2312"/>
          <w:b w:val="0"/>
          <w:bCs/>
          <w:snapToGrid w:val="0"/>
          <w:color w:val="000000"/>
          <w:kern w:val="0"/>
          <w:sz w:val="32"/>
          <w:szCs w:val="32"/>
          <w:highlight w:val="none"/>
        </w:rPr>
        <w:t>%。</w:t>
      </w:r>
      <w:r>
        <w:rPr>
          <w:rStyle w:val="14"/>
          <w:rFonts w:eastAsia="仿宋_GB2312"/>
          <w:b w:val="0"/>
          <w:bCs/>
          <w:snapToGrid w:val="0"/>
          <w:color w:val="000000"/>
          <w:kern w:val="0"/>
          <w:sz w:val="32"/>
          <w:szCs w:val="32"/>
          <w:highlight w:val="none"/>
        </w:rPr>
        <w:t>决算数小于预算数的主要原因</w:t>
      </w:r>
      <w:r>
        <w:rPr>
          <w:rStyle w:val="14"/>
          <w:rFonts w:hint="eastAsia" w:ascii="Calibri" w:hAnsi="Calibri" w:eastAsia="仿宋_GB2312"/>
          <w:b w:val="0"/>
          <w:bCs/>
          <w:snapToGrid w:val="0"/>
          <w:color w:val="000000"/>
          <w:kern w:val="0"/>
          <w:sz w:val="32"/>
          <w:szCs w:val="32"/>
          <w:highlight w:val="none"/>
          <w:lang w:val="zh-CN"/>
        </w:rPr>
        <w:t>落实中央和省委省政府关于过紧日子的要求及疫情影响。</w:t>
      </w:r>
    </w:p>
    <w:p>
      <w:pPr>
        <w:overflowPunct w:val="0"/>
        <w:adjustRightInd w:val="0"/>
        <w:snapToGrid w:val="0"/>
        <w:spacing w:line="600" w:lineRule="exact"/>
        <w:ind w:firstLine="640" w:firstLineChars="200"/>
        <w:rPr>
          <w:rStyle w:val="14"/>
          <w:rFonts w:hint="eastAsia" w:ascii="Calibri" w:hAnsi="Calibri" w:eastAsia="仿宋_GB2312"/>
          <w:b w:val="0"/>
          <w:bCs/>
          <w:snapToGrid w:val="0"/>
          <w:color w:val="000000"/>
          <w:kern w:val="0"/>
          <w:sz w:val="32"/>
          <w:szCs w:val="32"/>
          <w:highlight w:val="none"/>
          <w:lang w:val="zh-CN"/>
        </w:rPr>
      </w:pPr>
      <w:r>
        <w:rPr>
          <w:rStyle w:val="14"/>
          <w:rFonts w:eastAsia="仿宋_GB2312"/>
          <w:b w:val="0"/>
          <w:bCs/>
          <w:snapToGrid w:val="0"/>
          <w:color w:val="000000"/>
          <w:kern w:val="0"/>
          <w:sz w:val="32"/>
          <w:szCs w:val="32"/>
        </w:rPr>
        <w:t>3．一般公共服务（类）宣传事务（款）事业运行（项）</w:t>
      </w:r>
      <w:r>
        <w:rPr>
          <w:rStyle w:val="14"/>
          <w:rFonts w:hint="eastAsia" w:eastAsia="仿宋_GB2312"/>
          <w:b w:val="0"/>
          <w:bCs/>
          <w:snapToGrid w:val="0"/>
          <w:color w:val="000000"/>
          <w:kern w:val="0"/>
          <w:sz w:val="32"/>
          <w:szCs w:val="32"/>
        </w:rPr>
        <w:t>：</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237.82</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208.08</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87.49</w:t>
      </w:r>
      <w:r>
        <w:rPr>
          <w:rFonts w:eastAsia="仿宋_GB2312"/>
          <w:b w:val="0"/>
          <w:bCs/>
          <w:snapToGrid w:val="0"/>
          <w:color w:val="000000"/>
          <w:kern w:val="0"/>
          <w:sz w:val="32"/>
          <w:szCs w:val="32"/>
        </w:rPr>
        <w:t>%</w:t>
      </w:r>
      <w:r>
        <w:rPr>
          <w:rFonts w:eastAsia="仿宋_GB2312"/>
          <w:b w:val="0"/>
          <w:bCs/>
          <w:snapToGrid w:val="0"/>
          <w:kern w:val="0"/>
          <w:sz w:val="32"/>
          <w:szCs w:val="32"/>
          <w:highlight w:val="none"/>
        </w:rPr>
        <w:t>。</w:t>
      </w:r>
      <w:r>
        <w:rPr>
          <w:rStyle w:val="14"/>
          <w:rFonts w:eastAsia="仿宋_GB2312"/>
          <w:b w:val="0"/>
          <w:bCs/>
          <w:snapToGrid w:val="0"/>
          <w:color w:val="000000"/>
          <w:kern w:val="0"/>
          <w:sz w:val="32"/>
          <w:szCs w:val="32"/>
          <w:highlight w:val="none"/>
        </w:rPr>
        <w:t>决算数小于预算数的主要原因是</w:t>
      </w:r>
      <w:r>
        <w:rPr>
          <w:rStyle w:val="14"/>
          <w:rFonts w:hint="eastAsia" w:ascii="Calibri" w:hAnsi="Calibri" w:eastAsia="仿宋_GB2312"/>
          <w:b w:val="0"/>
          <w:bCs/>
          <w:snapToGrid w:val="0"/>
          <w:color w:val="000000"/>
          <w:kern w:val="0"/>
          <w:sz w:val="32"/>
          <w:szCs w:val="32"/>
          <w:highlight w:val="none"/>
          <w:lang w:val="zh-CN"/>
        </w:rPr>
        <w:t>落实中央和省委省政府关于过紧日子的要求及疫情影响。</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4</w:t>
      </w:r>
      <w:r>
        <w:rPr>
          <w:rStyle w:val="14"/>
          <w:rFonts w:eastAsia="仿宋_GB2312"/>
          <w:b w:val="0"/>
          <w:bCs/>
          <w:snapToGrid w:val="0"/>
          <w:color w:val="000000"/>
          <w:kern w:val="0"/>
          <w:sz w:val="32"/>
          <w:szCs w:val="32"/>
        </w:rPr>
        <w:t>．一般公共服务（类）</w:t>
      </w:r>
      <w:r>
        <w:rPr>
          <w:rStyle w:val="14"/>
          <w:rFonts w:hint="eastAsia" w:eastAsia="仿宋_GB2312"/>
          <w:b w:val="0"/>
          <w:bCs/>
          <w:snapToGrid w:val="0"/>
          <w:color w:val="000000"/>
          <w:kern w:val="0"/>
          <w:sz w:val="32"/>
          <w:szCs w:val="32"/>
          <w:lang w:eastAsia="zh-CN"/>
        </w:rPr>
        <w:t>其他一般公共服务支出</w:t>
      </w:r>
      <w:r>
        <w:rPr>
          <w:rStyle w:val="14"/>
          <w:rFonts w:eastAsia="仿宋_GB2312"/>
          <w:b w:val="0"/>
          <w:bCs/>
          <w:snapToGrid w:val="0"/>
          <w:color w:val="000000"/>
          <w:kern w:val="0"/>
          <w:sz w:val="32"/>
          <w:szCs w:val="32"/>
        </w:rPr>
        <w:t>（款）</w:t>
      </w:r>
      <w:r>
        <w:rPr>
          <w:rStyle w:val="14"/>
          <w:rFonts w:eastAsia="仿宋_GB2312"/>
          <w:b w:val="0"/>
          <w:bCs/>
          <w:snapToGrid w:val="0"/>
          <w:color w:val="000000"/>
          <w:kern w:val="0"/>
          <w:sz w:val="32"/>
          <w:szCs w:val="32"/>
          <w:highlight w:val="none"/>
        </w:rPr>
        <w:t>其他</w:t>
      </w:r>
      <w:r>
        <w:rPr>
          <w:rStyle w:val="14"/>
          <w:rFonts w:hint="eastAsia" w:eastAsia="仿宋_GB2312"/>
          <w:b w:val="0"/>
          <w:bCs/>
          <w:snapToGrid w:val="0"/>
          <w:color w:val="000000"/>
          <w:kern w:val="0"/>
          <w:sz w:val="32"/>
          <w:szCs w:val="32"/>
          <w:highlight w:val="none"/>
          <w:lang w:eastAsia="zh-CN"/>
        </w:rPr>
        <w:t>一般公共服务</w:t>
      </w:r>
      <w:r>
        <w:rPr>
          <w:rStyle w:val="14"/>
          <w:rFonts w:eastAsia="仿宋_GB2312"/>
          <w:b w:val="0"/>
          <w:bCs/>
          <w:snapToGrid w:val="0"/>
          <w:color w:val="000000"/>
          <w:kern w:val="0"/>
          <w:sz w:val="32"/>
          <w:szCs w:val="32"/>
          <w:highlight w:val="none"/>
        </w:rPr>
        <w:t>支出（项）</w:t>
      </w:r>
      <w:r>
        <w:rPr>
          <w:rStyle w:val="14"/>
          <w:rFonts w:hint="eastAsia" w:eastAsia="仿宋_GB2312"/>
          <w:b w:val="0"/>
          <w:bCs/>
          <w:snapToGrid w:val="0"/>
          <w:color w:val="000000"/>
          <w:kern w:val="0"/>
          <w:sz w:val="32"/>
          <w:szCs w:val="32"/>
          <w:highlight w:val="none"/>
        </w:rPr>
        <w:t>：</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6</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6</w:t>
      </w:r>
      <w:r>
        <w:rPr>
          <w:rFonts w:eastAsia="仿宋_GB2312"/>
          <w:b w:val="0"/>
          <w:bCs/>
          <w:snapToGrid w:val="0"/>
          <w:color w:val="000000"/>
          <w:kern w:val="0"/>
          <w:sz w:val="32"/>
          <w:szCs w:val="32"/>
          <w:highlight w:val="none"/>
        </w:rPr>
        <w:t>万元，完成年初预算100%</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Style w:val="14"/>
          <w:rFonts w:eastAsia="仿宋_GB2312"/>
          <w:b w:val="0"/>
          <w:bCs/>
          <w:snapToGrid w:val="0"/>
          <w:color w:val="000000"/>
          <w:kern w:val="0"/>
          <w:sz w:val="32"/>
          <w:szCs w:val="32"/>
          <w:highlight w:val="none"/>
        </w:rPr>
      </w:pPr>
      <w:r>
        <w:rPr>
          <w:rFonts w:hint="eastAsia" w:eastAsia="仿宋_GB2312"/>
          <w:b w:val="0"/>
          <w:bCs/>
          <w:snapToGrid w:val="0"/>
          <w:kern w:val="0"/>
          <w:sz w:val="32"/>
          <w:szCs w:val="32"/>
          <w:lang w:val="en-US" w:eastAsia="zh-CN"/>
        </w:rPr>
        <w:t>5</w:t>
      </w:r>
      <w:r>
        <w:rPr>
          <w:rStyle w:val="14"/>
          <w:rFonts w:eastAsia="仿宋_GB2312"/>
          <w:b w:val="0"/>
          <w:bCs/>
          <w:snapToGrid w:val="0"/>
          <w:color w:val="000000"/>
          <w:kern w:val="0"/>
          <w:sz w:val="32"/>
          <w:szCs w:val="32"/>
        </w:rPr>
        <w:t>．教育支出（类）普通教育（款）高等教育（项）</w:t>
      </w:r>
      <w:r>
        <w:rPr>
          <w:rStyle w:val="14"/>
          <w:rFonts w:hint="eastAsia" w:eastAsia="仿宋_GB2312"/>
          <w:b w:val="0"/>
          <w:bCs/>
          <w:snapToGrid w:val="0"/>
          <w:color w:val="000000"/>
          <w:kern w:val="0"/>
          <w:sz w:val="32"/>
          <w:szCs w:val="32"/>
        </w:rPr>
        <w:t>：</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145.92</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56.37</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38.63</w:t>
      </w:r>
      <w:r>
        <w:rPr>
          <w:rFonts w:eastAsia="仿宋_GB2312"/>
          <w:b w:val="0"/>
          <w:bCs/>
          <w:snapToGrid w:val="0"/>
          <w:color w:val="000000"/>
          <w:kern w:val="0"/>
          <w:sz w:val="32"/>
          <w:szCs w:val="32"/>
        </w:rPr>
        <w:t>%</w:t>
      </w:r>
      <w:r>
        <w:rPr>
          <w:rFonts w:eastAsia="仿宋_GB2312"/>
          <w:b w:val="0"/>
          <w:bCs/>
          <w:snapToGrid w:val="0"/>
          <w:kern w:val="0"/>
          <w:sz w:val="32"/>
          <w:szCs w:val="32"/>
        </w:rPr>
        <w:t>。</w:t>
      </w:r>
      <w:r>
        <w:rPr>
          <w:rStyle w:val="14"/>
          <w:rFonts w:eastAsia="仿宋_GB2312"/>
          <w:b w:val="0"/>
          <w:bCs/>
          <w:snapToGrid w:val="0"/>
          <w:color w:val="000000"/>
          <w:kern w:val="0"/>
          <w:sz w:val="32"/>
          <w:szCs w:val="32"/>
          <w:highlight w:val="none"/>
        </w:rPr>
        <w:t>决算数小于预算数的主要原因是</w:t>
      </w:r>
      <w:r>
        <w:rPr>
          <w:rFonts w:eastAsia="仿宋_GB2312"/>
          <w:b w:val="0"/>
          <w:bCs/>
          <w:snapToGrid w:val="0"/>
          <w:color w:val="000000"/>
          <w:kern w:val="0"/>
          <w:sz w:val="32"/>
          <w:szCs w:val="32"/>
        </w:rPr>
        <w:t>直属单位</w:t>
      </w:r>
      <w:r>
        <w:rPr>
          <w:rStyle w:val="14"/>
          <w:rFonts w:eastAsia="仿宋_GB2312"/>
          <w:b w:val="0"/>
          <w:bCs/>
          <w:snapToGrid w:val="0"/>
          <w:color w:val="000000"/>
          <w:kern w:val="0"/>
          <w:sz w:val="32"/>
          <w:szCs w:val="32"/>
          <w:highlight w:val="none"/>
        </w:rPr>
        <w:t>项目</w:t>
      </w:r>
      <w:r>
        <w:rPr>
          <w:rStyle w:val="14"/>
          <w:rFonts w:hint="eastAsia" w:eastAsia="仿宋_GB2312"/>
          <w:b w:val="0"/>
          <w:bCs/>
          <w:snapToGrid w:val="0"/>
          <w:color w:val="000000"/>
          <w:kern w:val="0"/>
          <w:sz w:val="32"/>
          <w:szCs w:val="32"/>
          <w:highlight w:val="none"/>
          <w:lang w:eastAsia="zh-CN"/>
        </w:rPr>
        <w:t>当年未实施完成</w:t>
      </w:r>
      <w:r>
        <w:rPr>
          <w:rStyle w:val="14"/>
          <w:rFonts w:eastAsia="仿宋_GB2312"/>
          <w:b w:val="0"/>
          <w:bCs/>
          <w:snapToGrid w:val="0"/>
          <w:color w:val="00000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color w:val="000000"/>
          <w:kern w:val="0"/>
          <w:sz w:val="32"/>
          <w:szCs w:val="32"/>
          <w:highlight w:val="none"/>
        </w:rPr>
      </w:pPr>
      <w:r>
        <w:rPr>
          <w:rFonts w:hint="eastAsia" w:eastAsia="仿宋_GB2312"/>
          <w:b w:val="0"/>
          <w:bCs/>
          <w:snapToGrid w:val="0"/>
          <w:kern w:val="0"/>
          <w:sz w:val="32"/>
          <w:szCs w:val="32"/>
          <w:lang w:val="en-US" w:eastAsia="zh-CN"/>
        </w:rPr>
        <w:t>6</w:t>
      </w:r>
      <w:r>
        <w:rPr>
          <w:rStyle w:val="14"/>
          <w:rFonts w:eastAsia="仿宋_GB2312"/>
          <w:b w:val="0"/>
          <w:bCs/>
          <w:snapToGrid w:val="0"/>
          <w:color w:val="000000"/>
          <w:kern w:val="0"/>
          <w:sz w:val="32"/>
          <w:szCs w:val="32"/>
        </w:rPr>
        <w:t>．教育支出（类）职业教育（款）中</w:t>
      </w:r>
      <w:r>
        <w:rPr>
          <w:rStyle w:val="14"/>
          <w:rFonts w:hint="eastAsia" w:eastAsia="仿宋_GB2312"/>
          <w:b w:val="0"/>
          <w:bCs/>
          <w:snapToGrid w:val="0"/>
          <w:color w:val="000000"/>
          <w:kern w:val="0"/>
          <w:sz w:val="32"/>
          <w:szCs w:val="32"/>
          <w:lang w:eastAsia="zh-CN"/>
        </w:rPr>
        <w:t>等职业教育</w:t>
      </w:r>
      <w:r>
        <w:rPr>
          <w:rStyle w:val="14"/>
          <w:rFonts w:eastAsia="仿宋_GB2312"/>
          <w:b w:val="0"/>
          <w:bCs/>
          <w:snapToGrid w:val="0"/>
          <w:color w:val="000000"/>
          <w:kern w:val="0"/>
          <w:sz w:val="32"/>
          <w:szCs w:val="32"/>
        </w:rPr>
        <w:t>（项）</w:t>
      </w:r>
      <w:r>
        <w:rPr>
          <w:rStyle w:val="14"/>
          <w:rFonts w:hint="eastAsia" w:eastAsia="仿宋_GB2312"/>
          <w:b w:val="0"/>
          <w:bCs/>
          <w:snapToGrid w:val="0"/>
          <w:color w:val="000000"/>
          <w:kern w:val="0"/>
          <w:sz w:val="32"/>
          <w:szCs w:val="32"/>
        </w:rPr>
        <w:t>：</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99.02</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97.5</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98.46</w:t>
      </w:r>
      <w:r>
        <w:rPr>
          <w:rFonts w:eastAsia="仿宋_GB2312"/>
          <w:b w:val="0"/>
          <w:bCs/>
          <w:snapToGrid w:val="0"/>
          <w:color w:val="000000"/>
          <w:kern w:val="0"/>
          <w:sz w:val="32"/>
          <w:szCs w:val="32"/>
        </w:rPr>
        <w:t>%</w:t>
      </w:r>
      <w:r>
        <w:rPr>
          <w:rFonts w:hint="eastAsia" w:eastAsia="仿宋_GB2312"/>
          <w:b w:val="0"/>
          <w:bCs/>
          <w:snapToGrid w:val="0"/>
          <w:color w:val="000000"/>
          <w:kern w:val="0"/>
          <w:sz w:val="32"/>
          <w:szCs w:val="32"/>
          <w:lang w:eastAsia="zh-CN"/>
        </w:rPr>
        <w:t>，</w:t>
      </w:r>
      <w:r>
        <w:rPr>
          <w:rStyle w:val="14"/>
          <w:rFonts w:eastAsia="仿宋_GB2312"/>
          <w:b w:val="0"/>
          <w:bCs/>
          <w:snapToGrid w:val="0"/>
          <w:color w:val="000000"/>
          <w:kern w:val="0"/>
          <w:sz w:val="32"/>
          <w:szCs w:val="32"/>
          <w:highlight w:val="none"/>
        </w:rPr>
        <w:t>决算数小于预算数的主要原因是</w:t>
      </w:r>
      <w:r>
        <w:rPr>
          <w:rStyle w:val="14"/>
          <w:rFonts w:hint="eastAsia" w:eastAsia="仿宋_GB2312"/>
          <w:b w:val="0"/>
          <w:bCs/>
          <w:snapToGrid w:val="0"/>
          <w:color w:val="000000"/>
          <w:kern w:val="0"/>
          <w:sz w:val="32"/>
          <w:szCs w:val="32"/>
          <w:highlight w:val="none"/>
          <w:lang w:val="en-US" w:eastAsia="zh-CN"/>
        </w:rPr>
        <w:t>2020年中职招生人数减少</w:t>
      </w:r>
      <w:r>
        <w:rPr>
          <w:rFonts w:eastAsia="仿宋_GB2312"/>
          <w:b w:val="0"/>
          <w:bCs/>
          <w:snapToGrid w:val="0"/>
          <w:color w:val="000000"/>
          <w:kern w:val="0"/>
          <w:sz w:val="32"/>
          <w:szCs w:val="32"/>
          <w:highlight w:val="none"/>
        </w:rPr>
        <w:t>。</w:t>
      </w:r>
    </w:p>
    <w:p>
      <w:pPr>
        <w:overflowPunct w:val="0"/>
        <w:adjustRightInd w:val="0"/>
        <w:snapToGrid w:val="0"/>
        <w:spacing w:line="600" w:lineRule="exact"/>
        <w:ind w:firstLine="640" w:firstLineChars="200"/>
        <w:rPr>
          <w:rStyle w:val="14"/>
          <w:rFonts w:hint="eastAsia" w:eastAsia="仿宋_GB2312"/>
          <w:b w:val="0"/>
          <w:bCs/>
          <w:snapToGrid w:val="0"/>
          <w:color w:val="000000"/>
          <w:kern w:val="0"/>
          <w:sz w:val="32"/>
          <w:szCs w:val="32"/>
          <w:highlight w:val="none"/>
          <w:lang w:eastAsia="zh-CN"/>
        </w:rPr>
      </w:pPr>
      <w:r>
        <w:rPr>
          <w:rFonts w:hint="eastAsia" w:eastAsia="仿宋_GB2312"/>
          <w:b w:val="0"/>
          <w:bCs/>
          <w:snapToGrid w:val="0"/>
          <w:kern w:val="0"/>
          <w:sz w:val="32"/>
          <w:szCs w:val="32"/>
          <w:lang w:val="en-US" w:eastAsia="zh-CN"/>
        </w:rPr>
        <w:t>7</w:t>
      </w:r>
      <w:r>
        <w:rPr>
          <w:rStyle w:val="14"/>
          <w:rFonts w:eastAsia="仿宋_GB2312"/>
          <w:b w:val="0"/>
          <w:bCs/>
          <w:snapToGrid w:val="0"/>
          <w:color w:val="000000"/>
          <w:kern w:val="0"/>
          <w:sz w:val="32"/>
          <w:szCs w:val="32"/>
        </w:rPr>
        <w:t>．教育支出（类）职业教育（款）高等职业教育（项）：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13342.28</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11722.91</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87.86</w:t>
      </w:r>
      <w:r>
        <w:rPr>
          <w:rFonts w:eastAsia="仿宋_GB2312"/>
          <w:b w:val="0"/>
          <w:bCs/>
          <w:snapToGrid w:val="0"/>
          <w:color w:val="000000"/>
          <w:kern w:val="0"/>
          <w:sz w:val="32"/>
          <w:szCs w:val="32"/>
        </w:rPr>
        <w:t>%</w:t>
      </w:r>
      <w:r>
        <w:rPr>
          <w:rFonts w:eastAsia="仿宋_GB2312"/>
          <w:b w:val="0"/>
          <w:bCs/>
          <w:snapToGrid w:val="0"/>
          <w:kern w:val="0"/>
          <w:sz w:val="32"/>
          <w:szCs w:val="32"/>
        </w:rPr>
        <w:t>。</w:t>
      </w:r>
      <w:r>
        <w:rPr>
          <w:rStyle w:val="14"/>
          <w:rFonts w:eastAsia="仿宋_GB2312"/>
          <w:b w:val="0"/>
          <w:bCs/>
          <w:snapToGrid w:val="0"/>
          <w:color w:val="000000"/>
          <w:kern w:val="0"/>
          <w:sz w:val="32"/>
          <w:szCs w:val="32"/>
          <w:highlight w:val="none"/>
        </w:rPr>
        <w:t>决算数小于预算数的主要原因是</w:t>
      </w:r>
      <w:r>
        <w:rPr>
          <w:rStyle w:val="14"/>
          <w:rFonts w:hint="eastAsia" w:eastAsia="仿宋_GB2312"/>
          <w:b w:val="0"/>
          <w:bCs/>
          <w:snapToGrid w:val="0"/>
          <w:color w:val="000000"/>
          <w:kern w:val="0"/>
          <w:sz w:val="32"/>
          <w:szCs w:val="32"/>
          <w:highlight w:val="none"/>
          <w:lang w:eastAsia="zh-CN"/>
        </w:rPr>
        <w:t>一是受新冠疫情影响，教学活动无法正常开展；二是政府采购项目</w:t>
      </w:r>
      <w:r>
        <w:rPr>
          <w:rStyle w:val="14"/>
          <w:rFonts w:eastAsia="仿宋_GB2312"/>
          <w:b w:val="0"/>
          <w:bCs/>
          <w:snapToGrid w:val="0"/>
          <w:color w:val="000000"/>
          <w:kern w:val="0"/>
          <w:sz w:val="32"/>
          <w:szCs w:val="32"/>
          <w:highlight w:val="none"/>
        </w:rPr>
        <w:t>资金</w:t>
      </w:r>
      <w:r>
        <w:rPr>
          <w:rStyle w:val="14"/>
          <w:rFonts w:hint="eastAsia" w:eastAsia="仿宋_GB2312"/>
          <w:b w:val="0"/>
          <w:bCs/>
          <w:snapToGrid w:val="0"/>
          <w:color w:val="000000"/>
          <w:kern w:val="0"/>
          <w:sz w:val="32"/>
          <w:szCs w:val="32"/>
          <w:highlight w:val="none"/>
          <w:lang w:eastAsia="zh-CN"/>
        </w:rPr>
        <w:t>按规定</w:t>
      </w:r>
      <w:r>
        <w:rPr>
          <w:rStyle w:val="14"/>
          <w:rFonts w:eastAsia="仿宋_GB2312"/>
          <w:b w:val="0"/>
          <w:bCs/>
          <w:snapToGrid w:val="0"/>
          <w:color w:val="000000"/>
          <w:kern w:val="0"/>
          <w:sz w:val="32"/>
          <w:szCs w:val="32"/>
          <w:highlight w:val="none"/>
        </w:rPr>
        <w:t>结转下年</w:t>
      </w:r>
      <w:r>
        <w:rPr>
          <w:rStyle w:val="14"/>
          <w:rFonts w:hint="eastAsia" w:eastAsia="仿宋_GB2312"/>
          <w:b w:val="0"/>
          <w:bCs/>
          <w:snapToGrid w:val="0"/>
          <w:color w:val="000000"/>
          <w:kern w:val="0"/>
          <w:sz w:val="32"/>
          <w:szCs w:val="32"/>
          <w:highlight w:val="none"/>
          <w:lang w:eastAsia="zh-CN"/>
        </w:rPr>
        <w:t>。</w:t>
      </w:r>
    </w:p>
    <w:p>
      <w:pPr>
        <w:overflowPunct w:val="0"/>
        <w:adjustRightInd w:val="0"/>
        <w:snapToGrid w:val="0"/>
        <w:spacing w:line="600" w:lineRule="exact"/>
        <w:ind w:firstLine="640" w:firstLineChars="200"/>
        <w:rPr>
          <w:rFonts w:hint="eastAsia" w:eastAsia="仿宋_GB2312"/>
          <w:b w:val="0"/>
          <w:bCs/>
          <w:snapToGrid w:val="0"/>
          <w:kern w:val="0"/>
          <w:sz w:val="32"/>
          <w:szCs w:val="32"/>
          <w:lang w:val="en-US" w:eastAsia="zh-CN"/>
        </w:rPr>
      </w:pPr>
      <w:r>
        <w:rPr>
          <w:rFonts w:hint="eastAsia" w:eastAsia="仿宋_GB2312"/>
          <w:b w:val="0"/>
          <w:bCs/>
          <w:snapToGrid w:val="0"/>
          <w:kern w:val="0"/>
          <w:sz w:val="32"/>
          <w:szCs w:val="32"/>
          <w:lang w:val="en-US" w:eastAsia="zh-CN"/>
        </w:rPr>
        <w:t>8</w:t>
      </w:r>
      <w:r>
        <w:rPr>
          <w:rStyle w:val="14"/>
          <w:rFonts w:eastAsia="仿宋_GB2312"/>
          <w:b w:val="0"/>
          <w:bCs/>
          <w:snapToGrid w:val="0"/>
          <w:color w:val="000000"/>
          <w:kern w:val="0"/>
          <w:sz w:val="32"/>
          <w:szCs w:val="32"/>
        </w:rPr>
        <w:t>．教育支出（类）进修及培训（款）培训支出（项）：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20.75</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4.15</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20</w:t>
      </w:r>
      <w:r>
        <w:rPr>
          <w:rFonts w:eastAsia="仿宋_GB2312"/>
          <w:b w:val="0"/>
          <w:bCs/>
          <w:snapToGrid w:val="0"/>
          <w:color w:val="000000"/>
          <w:kern w:val="0"/>
          <w:sz w:val="32"/>
          <w:szCs w:val="32"/>
        </w:rPr>
        <w:t>%</w:t>
      </w:r>
      <w:r>
        <w:rPr>
          <w:rFonts w:eastAsia="仿宋_GB2312"/>
          <w:b w:val="0"/>
          <w:bCs/>
          <w:snapToGrid w:val="0"/>
          <w:kern w:val="0"/>
          <w:sz w:val="32"/>
          <w:szCs w:val="32"/>
        </w:rPr>
        <w:t>。</w:t>
      </w:r>
      <w:r>
        <w:rPr>
          <w:rStyle w:val="14"/>
          <w:rFonts w:eastAsia="仿宋_GB2312"/>
          <w:b w:val="0"/>
          <w:bCs/>
          <w:snapToGrid w:val="0"/>
          <w:color w:val="000000"/>
          <w:kern w:val="0"/>
          <w:sz w:val="32"/>
          <w:szCs w:val="32"/>
        </w:rPr>
        <w:t>决</w:t>
      </w:r>
      <w:r>
        <w:rPr>
          <w:rStyle w:val="14"/>
          <w:rFonts w:eastAsia="仿宋_GB2312"/>
          <w:b w:val="0"/>
          <w:bCs/>
          <w:snapToGrid w:val="0"/>
          <w:color w:val="000000"/>
          <w:kern w:val="0"/>
          <w:sz w:val="32"/>
          <w:szCs w:val="32"/>
          <w:highlight w:val="none"/>
        </w:rPr>
        <w:t>算数小于预算数的主要原因是</w:t>
      </w:r>
      <w:r>
        <w:rPr>
          <w:rFonts w:hint="eastAsia" w:eastAsia="仿宋_GB2312"/>
          <w:b w:val="0"/>
          <w:bCs/>
          <w:snapToGrid w:val="0"/>
          <w:kern w:val="0"/>
          <w:sz w:val="32"/>
          <w:szCs w:val="32"/>
          <w:highlight w:val="none"/>
          <w:lang w:val="en-US" w:eastAsia="zh-CN"/>
        </w:rPr>
        <w:t>财政压</w:t>
      </w:r>
      <w:r>
        <w:rPr>
          <w:rFonts w:hint="eastAsia" w:eastAsia="仿宋_GB2312"/>
          <w:b w:val="0"/>
          <w:bCs/>
          <w:snapToGrid w:val="0"/>
          <w:kern w:val="0"/>
          <w:sz w:val="32"/>
          <w:szCs w:val="32"/>
          <w:lang w:val="en-US" w:eastAsia="zh-CN"/>
        </w:rPr>
        <w:t>减</w:t>
      </w:r>
      <w:r>
        <w:rPr>
          <w:rStyle w:val="14"/>
          <w:rFonts w:eastAsia="仿宋_GB2312"/>
          <w:b w:val="0"/>
          <w:bCs/>
          <w:snapToGrid w:val="0"/>
          <w:color w:val="000000"/>
          <w:kern w:val="0"/>
          <w:sz w:val="32"/>
          <w:szCs w:val="32"/>
          <w:highlight w:val="none"/>
          <w:lang w:val="en-US" w:eastAsia="zh-CN"/>
        </w:rPr>
        <w:t>直属单位</w:t>
      </w:r>
      <w:r>
        <w:rPr>
          <w:rFonts w:hint="eastAsia" w:eastAsia="仿宋_GB2312"/>
          <w:b w:val="0"/>
          <w:bCs/>
          <w:snapToGrid w:val="0"/>
          <w:kern w:val="0"/>
          <w:sz w:val="32"/>
          <w:szCs w:val="32"/>
          <w:lang w:val="en-US" w:eastAsia="zh-CN"/>
        </w:rPr>
        <w:t>培训支出。</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hint="eastAsia" w:eastAsia="仿宋_GB2312"/>
          <w:b w:val="0"/>
          <w:bCs/>
          <w:snapToGrid w:val="0"/>
          <w:kern w:val="0"/>
          <w:sz w:val="32"/>
          <w:szCs w:val="32"/>
          <w:lang w:val="en-US" w:eastAsia="zh-CN"/>
        </w:rPr>
        <w:t>9</w:t>
      </w:r>
      <w:r>
        <w:rPr>
          <w:rStyle w:val="14"/>
          <w:rFonts w:eastAsia="仿宋_GB2312"/>
          <w:b w:val="0"/>
          <w:bCs/>
          <w:snapToGrid w:val="0"/>
          <w:color w:val="000000"/>
          <w:kern w:val="0"/>
          <w:sz w:val="32"/>
          <w:szCs w:val="32"/>
        </w:rPr>
        <w:t>．文化体育与传媒支出（类）新闻出版</w:t>
      </w:r>
      <w:r>
        <w:rPr>
          <w:rStyle w:val="14"/>
          <w:rFonts w:hint="eastAsia" w:eastAsia="仿宋_GB2312"/>
          <w:b w:val="0"/>
          <w:bCs/>
          <w:snapToGrid w:val="0"/>
          <w:color w:val="000000"/>
          <w:kern w:val="0"/>
          <w:sz w:val="32"/>
          <w:szCs w:val="32"/>
          <w:lang w:eastAsia="zh-CN"/>
        </w:rPr>
        <w:t>电影</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一般行政管理事务（</w:t>
      </w:r>
      <w:r>
        <w:rPr>
          <w:rStyle w:val="14"/>
          <w:rFonts w:eastAsia="仿宋_GB2312"/>
          <w:b w:val="0"/>
          <w:bCs/>
          <w:snapToGrid w:val="0"/>
          <w:color w:val="000000"/>
          <w:kern w:val="0"/>
          <w:sz w:val="32"/>
          <w:szCs w:val="32"/>
        </w:rPr>
        <w:t>项）</w:t>
      </w:r>
      <w:r>
        <w:rPr>
          <w:rStyle w:val="14"/>
          <w:rFonts w:hint="eastAsia" w:eastAsia="仿宋_GB2312"/>
          <w:b w:val="0"/>
          <w:bCs/>
          <w:snapToGrid w:val="0"/>
          <w:color w:val="000000"/>
          <w:kern w:val="0"/>
          <w:sz w:val="32"/>
          <w:szCs w:val="32"/>
        </w:rPr>
        <w:t>：</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60</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60</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100</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Style w:val="14"/>
          <w:rFonts w:hint="eastAsia" w:ascii="Calibri" w:hAnsi="Calibri" w:eastAsia="仿宋_GB2312"/>
          <w:b w:val="0"/>
          <w:bCs/>
          <w:snapToGrid w:val="0"/>
          <w:color w:val="000000"/>
          <w:kern w:val="0"/>
          <w:sz w:val="32"/>
          <w:szCs w:val="32"/>
          <w:highlight w:val="none"/>
          <w:lang w:val="zh-CN"/>
        </w:rPr>
      </w:pPr>
      <w:r>
        <w:rPr>
          <w:rFonts w:hint="eastAsia" w:eastAsia="仿宋_GB2312"/>
          <w:b w:val="0"/>
          <w:bCs/>
          <w:snapToGrid w:val="0"/>
          <w:kern w:val="0"/>
          <w:sz w:val="32"/>
          <w:szCs w:val="32"/>
          <w:lang w:val="en-US" w:eastAsia="zh-CN"/>
        </w:rPr>
        <w:t>10</w:t>
      </w:r>
      <w:r>
        <w:rPr>
          <w:rStyle w:val="14"/>
          <w:rFonts w:eastAsia="仿宋_GB2312"/>
          <w:b w:val="0"/>
          <w:bCs/>
          <w:snapToGrid w:val="0"/>
          <w:color w:val="000000"/>
          <w:kern w:val="0"/>
          <w:sz w:val="32"/>
          <w:szCs w:val="32"/>
        </w:rPr>
        <w:t>．文化体育与传媒支出（类）其他文化体育与传媒支出（款）</w:t>
      </w:r>
      <w:r>
        <w:rPr>
          <w:rStyle w:val="14"/>
          <w:rFonts w:hint="eastAsia" w:eastAsia="仿宋_GB2312"/>
          <w:b w:val="0"/>
          <w:bCs/>
          <w:snapToGrid w:val="0"/>
          <w:color w:val="000000"/>
          <w:kern w:val="0"/>
          <w:sz w:val="32"/>
          <w:szCs w:val="32"/>
          <w:lang w:eastAsia="zh-CN"/>
        </w:rPr>
        <w:t>宣传文化发展专项支出</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9516.30</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9145.29</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96.10</w:t>
      </w:r>
      <w:r>
        <w:rPr>
          <w:rFonts w:eastAsia="仿宋_GB2312"/>
          <w:b w:val="0"/>
          <w:bCs/>
          <w:snapToGrid w:val="0"/>
          <w:color w:val="000000"/>
          <w:kern w:val="0"/>
          <w:sz w:val="32"/>
          <w:szCs w:val="32"/>
        </w:rPr>
        <w:t>%</w:t>
      </w:r>
      <w:r>
        <w:rPr>
          <w:rFonts w:eastAsia="仿宋_GB2312"/>
          <w:b w:val="0"/>
          <w:bCs/>
          <w:snapToGrid w:val="0"/>
          <w:kern w:val="0"/>
          <w:sz w:val="32"/>
          <w:szCs w:val="32"/>
        </w:rPr>
        <w:t>。</w:t>
      </w:r>
      <w:r>
        <w:rPr>
          <w:rStyle w:val="14"/>
          <w:rFonts w:eastAsia="仿宋_GB2312"/>
          <w:b w:val="0"/>
          <w:bCs/>
          <w:snapToGrid w:val="0"/>
          <w:color w:val="000000"/>
          <w:kern w:val="0"/>
          <w:sz w:val="32"/>
          <w:szCs w:val="32"/>
        </w:rPr>
        <w:t>决算数小于预算数的主要原因</w:t>
      </w:r>
      <w:r>
        <w:rPr>
          <w:rStyle w:val="14"/>
          <w:rFonts w:hint="eastAsia" w:ascii="Calibri" w:hAnsi="Calibri" w:eastAsia="仿宋_GB2312"/>
          <w:b w:val="0"/>
          <w:bCs/>
          <w:snapToGrid w:val="0"/>
          <w:color w:val="000000"/>
          <w:kern w:val="0"/>
          <w:sz w:val="32"/>
          <w:szCs w:val="32"/>
          <w:highlight w:val="none"/>
          <w:lang w:val="zh-CN"/>
        </w:rPr>
        <w:t>落实中央和省委省政府关于过紧日子的要求及疫情影响。</w:t>
      </w:r>
    </w:p>
    <w:p>
      <w:pPr>
        <w:overflowPunct w:val="0"/>
        <w:adjustRightInd w:val="0"/>
        <w:snapToGrid w:val="0"/>
        <w:spacing w:line="600" w:lineRule="exact"/>
        <w:ind w:firstLine="640" w:firstLineChars="200"/>
        <w:rPr>
          <w:rStyle w:val="14"/>
          <w:rFonts w:hint="eastAsia" w:ascii="Calibri" w:hAnsi="Calibri" w:eastAsia="仿宋_GB2312"/>
          <w:b w:val="0"/>
          <w:bCs/>
          <w:snapToGrid w:val="0"/>
          <w:color w:val="000000"/>
          <w:kern w:val="0"/>
          <w:sz w:val="32"/>
          <w:szCs w:val="32"/>
          <w:highlight w:val="none"/>
          <w:lang w:val="zh-CN"/>
        </w:rPr>
      </w:pPr>
      <w:r>
        <w:rPr>
          <w:rFonts w:eastAsia="仿宋_GB2312"/>
          <w:b w:val="0"/>
          <w:bCs/>
          <w:snapToGrid w:val="0"/>
          <w:kern w:val="0"/>
          <w:sz w:val="32"/>
          <w:szCs w:val="32"/>
        </w:rPr>
        <w:t>1</w:t>
      </w:r>
      <w:r>
        <w:rPr>
          <w:rFonts w:hint="eastAsia" w:eastAsia="仿宋_GB2312"/>
          <w:b w:val="0"/>
          <w:bCs/>
          <w:snapToGrid w:val="0"/>
          <w:kern w:val="0"/>
          <w:sz w:val="32"/>
          <w:szCs w:val="32"/>
          <w:lang w:val="en-US" w:eastAsia="zh-CN"/>
        </w:rPr>
        <w:t>1</w:t>
      </w:r>
      <w:r>
        <w:rPr>
          <w:rStyle w:val="14"/>
          <w:rFonts w:eastAsia="仿宋_GB2312"/>
          <w:b w:val="0"/>
          <w:bCs/>
          <w:snapToGrid w:val="0"/>
          <w:color w:val="000000"/>
          <w:kern w:val="0"/>
          <w:sz w:val="32"/>
          <w:szCs w:val="32"/>
        </w:rPr>
        <w:t>．文化体育与传媒支出（类）其他文化体育与传媒支出（款）</w:t>
      </w:r>
      <w:r>
        <w:rPr>
          <w:rStyle w:val="14"/>
          <w:rFonts w:hint="eastAsia" w:eastAsia="仿宋_GB2312"/>
          <w:b w:val="0"/>
          <w:bCs/>
          <w:snapToGrid w:val="0"/>
          <w:color w:val="000000"/>
          <w:kern w:val="0"/>
          <w:sz w:val="32"/>
          <w:szCs w:val="32"/>
          <w:lang w:eastAsia="zh-CN"/>
        </w:rPr>
        <w:t>文化产业发展专项支出</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239</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197.08</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82.46</w:t>
      </w:r>
      <w:r>
        <w:rPr>
          <w:rFonts w:eastAsia="仿宋_GB2312"/>
          <w:b w:val="0"/>
          <w:bCs/>
          <w:snapToGrid w:val="0"/>
          <w:color w:val="000000"/>
          <w:kern w:val="0"/>
          <w:sz w:val="32"/>
          <w:szCs w:val="32"/>
        </w:rPr>
        <w:t>%</w:t>
      </w:r>
      <w:r>
        <w:rPr>
          <w:rFonts w:eastAsia="仿宋_GB2312"/>
          <w:b w:val="0"/>
          <w:bCs/>
          <w:snapToGrid w:val="0"/>
          <w:kern w:val="0"/>
          <w:sz w:val="32"/>
          <w:szCs w:val="32"/>
        </w:rPr>
        <w:t>。</w:t>
      </w:r>
      <w:r>
        <w:rPr>
          <w:rStyle w:val="14"/>
          <w:rFonts w:eastAsia="仿宋_GB2312"/>
          <w:b w:val="0"/>
          <w:bCs/>
          <w:snapToGrid w:val="0"/>
          <w:color w:val="000000"/>
          <w:kern w:val="0"/>
          <w:sz w:val="32"/>
          <w:szCs w:val="32"/>
        </w:rPr>
        <w:t>决算数小于预算数的主要</w:t>
      </w:r>
      <w:r>
        <w:rPr>
          <w:rStyle w:val="14"/>
          <w:rFonts w:eastAsia="仿宋_GB2312"/>
          <w:b w:val="0"/>
          <w:bCs/>
          <w:snapToGrid w:val="0"/>
          <w:color w:val="000000"/>
          <w:kern w:val="0"/>
          <w:sz w:val="32"/>
          <w:szCs w:val="32"/>
          <w:highlight w:val="none"/>
        </w:rPr>
        <w:t>原因是</w:t>
      </w:r>
      <w:r>
        <w:rPr>
          <w:rStyle w:val="14"/>
          <w:rFonts w:hint="eastAsia" w:ascii="Calibri" w:hAnsi="Calibri" w:eastAsia="仿宋_GB2312"/>
          <w:b w:val="0"/>
          <w:bCs/>
          <w:snapToGrid w:val="0"/>
          <w:color w:val="000000"/>
          <w:kern w:val="0"/>
          <w:sz w:val="32"/>
          <w:szCs w:val="32"/>
          <w:highlight w:val="none"/>
          <w:lang w:val="zh-CN"/>
        </w:rPr>
        <w:t>落实中央和省委省政府关于过紧日子的要求及疫情影响。</w:t>
      </w:r>
    </w:p>
    <w:p>
      <w:pPr>
        <w:overflowPunct w:val="0"/>
        <w:adjustRightInd w:val="0"/>
        <w:snapToGrid w:val="0"/>
        <w:spacing w:line="600" w:lineRule="exact"/>
        <w:ind w:firstLine="640" w:firstLineChars="200"/>
        <w:rPr>
          <w:rStyle w:val="14"/>
          <w:rFonts w:hint="eastAsia" w:eastAsia="仿宋_GB2312"/>
          <w:b w:val="0"/>
          <w:bCs/>
          <w:snapToGrid w:val="0"/>
          <w:color w:val="auto"/>
          <w:kern w:val="0"/>
          <w:sz w:val="32"/>
          <w:szCs w:val="32"/>
          <w:highlight w:val="none"/>
          <w:lang w:eastAsia="zh-CN"/>
        </w:rPr>
      </w:pPr>
      <w:r>
        <w:rPr>
          <w:rFonts w:eastAsia="仿宋_GB2312"/>
          <w:b w:val="0"/>
          <w:bCs/>
          <w:snapToGrid w:val="0"/>
          <w:kern w:val="0"/>
          <w:sz w:val="32"/>
          <w:szCs w:val="32"/>
        </w:rPr>
        <w:t>1</w:t>
      </w:r>
      <w:r>
        <w:rPr>
          <w:rFonts w:hint="eastAsia" w:eastAsia="仿宋_GB2312"/>
          <w:b w:val="0"/>
          <w:bCs/>
          <w:snapToGrid w:val="0"/>
          <w:kern w:val="0"/>
          <w:sz w:val="32"/>
          <w:szCs w:val="32"/>
          <w:lang w:val="en-US" w:eastAsia="zh-CN"/>
        </w:rPr>
        <w:t>2</w:t>
      </w:r>
      <w:r>
        <w:rPr>
          <w:rStyle w:val="14"/>
          <w:rFonts w:eastAsia="仿宋_GB2312"/>
          <w:b w:val="0"/>
          <w:bCs/>
          <w:snapToGrid w:val="0"/>
          <w:color w:val="000000"/>
          <w:kern w:val="0"/>
          <w:sz w:val="32"/>
          <w:szCs w:val="32"/>
        </w:rPr>
        <w:t>．文化体育与传媒支出（类）其他文化体育与传媒支出（款）</w:t>
      </w:r>
      <w:r>
        <w:rPr>
          <w:rStyle w:val="14"/>
          <w:rFonts w:hint="eastAsia" w:eastAsia="仿宋_GB2312"/>
          <w:b w:val="0"/>
          <w:bCs/>
          <w:snapToGrid w:val="0"/>
          <w:color w:val="000000"/>
          <w:kern w:val="0"/>
          <w:sz w:val="32"/>
          <w:szCs w:val="32"/>
          <w:lang w:eastAsia="zh-CN"/>
        </w:rPr>
        <w:t>其他文化体育与传媒支出</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970.79</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843.42</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86.88</w:t>
      </w:r>
      <w:r>
        <w:rPr>
          <w:rFonts w:eastAsia="仿宋_GB2312"/>
          <w:b w:val="0"/>
          <w:bCs/>
          <w:snapToGrid w:val="0"/>
          <w:color w:val="000000"/>
          <w:kern w:val="0"/>
          <w:sz w:val="32"/>
          <w:szCs w:val="32"/>
        </w:rPr>
        <w:t>%</w:t>
      </w:r>
      <w:r>
        <w:rPr>
          <w:rFonts w:eastAsia="仿宋_GB2312"/>
          <w:b w:val="0"/>
          <w:bCs/>
          <w:snapToGrid w:val="0"/>
          <w:kern w:val="0"/>
          <w:sz w:val="32"/>
          <w:szCs w:val="32"/>
        </w:rPr>
        <w:t>。</w:t>
      </w:r>
      <w:r>
        <w:rPr>
          <w:rStyle w:val="14"/>
          <w:rFonts w:eastAsia="仿宋_GB2312"/>
          <w:b w:val="0"/>
          <w:bCs/>
          <w:snapToGrid w:val="0"/>
          <w:color w:val="000000"/>
          <w:kern w:val="0"/>
          <w:sz w:val="32"/>
          <w:szCs w:val="32"/>
        </w:rPr>
        <w:t>决算数小于预算</w:t>
      </w:r>
      <w:r>
        <w:rPr>
          <w:rStyle w:val="14"/>
          <w:rFonts w:eastAsia="仿宋_GB2312"/>
          <w:b w:val="0"/>
          <w:bCs/>
          <w:snapToGrid w:val="0"/>
          <w:color w:val="000000"/>
          <w:kern w:val="0"/>
          <w:sz w:val="32"/>
          <w:szCs w:val="32"/>
          <w:highlight w:val="none"/>
        </w:rPr>
        <w:t>数的主要原因是直属单位</w:t>
      </w:r>
      <w:r>
        <w:rPr>
          <w:rStyle w:val="14"/>
          <w:rFonts w:hint="eastAsia" w:eastAsia="仿宋_GB2312"/>
          <w:b w:val="0"/>
          <w:bCs/>
          <w:snapToGrid w:val="0"/>
          <w:color w:val="000000"/>
          <w:kern w:val="0"/>
          <w:sz w:val="32"/>
          <w:szCs w:val="32"/>
          <w:highlight w:val="none"/>
          <w:lang w:eastAsia="zh-CN"/>
        </w:rPr>
        <w:t>跨年</w:t>
      </w:r>
      <w:r>
        <w:rPr>
          <w:rStyle w:val="14"/>
          <w:rFonts w:eastAsia="仿宋_GB2312"/>
          <w:b w:val="0"/>
          <w:bCs/>
          <w:snapToGrid w:val="0"/>
          <w:color w:val="000000"/>
          <w:kern w:val="0"/>
          <w:sz w:val="32"/>
          <w:szCs w:val="32"/>
          <w:highlight w:val="none"/>
          <w:lang w:eastAsia="zh-CN"/>
        </w:rPr>
        <w:t>政采</w:t>
      </w:r>
      <w:r>
        <w:rPr>
          <w:rStyle w:val="14"/>
          <w:rFonts w:hint="eastAsia" w:eastAsia="仿宋_GB2312"/>
          <w:b w:val="0"/>
          <w:bCs/>
          <w:snapToGrid w:val="0"/>
          <w:color w:val="000000"/>
          <w:kern w:val="0"/>
          <w:sz w:val="32"/>
          <w:szCs w:val="32"/>
          <w:highlight w:val="none"/>
          <w:lang w:eastAsia="zh-CN"/>
        </w:rPr>
        <w:t>项目</w:t>
      </w:r>
      <w:r>
        <w:rPr>
          <w:rStyle w:val="14"/>
          <w:rFonts w:hint="eastAsia" w:eastAsia="仿宋_GB2312"/>
          <w:b w:val="0"/>
          <w:bCs/>
          <w:snapToGrid w:val="0"/>
          <w:color w:val="auto"/>
          <w:kern w:val="0"/>
          <w:sz w:val="32"/>
          <w:szCs w:val="32"/>
          <w:highlight w:val="none"/>
          <w:lang w:eastAsia="zh-CN"/>
        </w:rPr>
        <w:t>，政采资</w:t>
      </w:r>
      <w:r>
        <w:rPr>
          <w:rStyle w:val="14"/>
          <w:rFonts w:hint="eastAsia" w:eastAsia="仿宋_GB2312"/>
          <w:b w:val="0"/>
          <w:bCs/>
          <w:snapToGrid w:val="0"/>
          <w:color w:val="000000"/>
          <w:kern w:val="0"/>
          <w:sz w:val="32"/>
          <w:szCs w:val="32"/>
          <w:highlight w:val="none"/>
          <w:lang w:eastAsia="zh-CN"/>
        </w:rPr>
        <w:t>金</w:t>
      </w:r>
      <w:r>
        <w:rPr>
          <w:rStyle w:val="14"/>
          <w:rFonts w:eastAsia="仿宋_GB2312"/>
          <w:b w:val="0"/>
          <w:bCs/>
          <w:snapToGrid w:val="0"/>
          <w:color w:val="000000"/>
          <w:kern w:val="0"/>
          <w:sz w:val="32"/>
          <w:szCs w:val="32"/>
          <w:highlight w:val="none"/>
          <w:lang w:eastAsia="zh-CN"/>
        </w:rPr>
        <w:t>按规定</w:t>
      </w:r>
      <w:r>
        <w:rPr>
          <w:rStyle w:val="14"/>
          <w:rFonts w:hint="eastAsia" w:eastAsia="仿宋_GB2312"/>
          <w:b w:val="0"/>
          <w:bCs/>
          <w:snapToGrid w:val="0"/>
          <w:color w:val="auto"/>
          <w:kern w:val="0"/>
          <w:sz w:val="32"/>
          <w:szCs w:val="32"/>
          <w:highlight w:val="none"/>
          <w:lang w:eastAsia="zh-CN"/>
        </w:rPr>
        <w:t>结转下年。</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1</w:t>
      </w:r>
      <w:r>
        <w:rPr>
          <w:rFonts w:hint="eastAsia" w:eastAsia="仿宋_GB2312"/>
          <w:b w:val="0"/>
          <w:bCs/>
          <w:snapToGrid w:val="0"/>
          <w:kern w:val="0"/>
          <w:sz w:val="32"/>
          <w:szCs w:val="32"/>
          <w:lang w:val="en-US" w:eastAsia="zh-CN"/>
        </w:rPr>
        <w:t>3</w:t>
      </w:r>
      <w:r>
        <w:rPr>
          <w:rStyle w:val="14"/>
          <w:rFonts w:eastAsia="仿宋_GB2312"/>
          <w:b w:val="0"/>
          <w:bCs/>
          <w:snapToGrid w:val="0"/>
          <w:color w:val="000000"/>
          <w:kern w:val="0"/>
          <w:sz w:val="32"/>
          <w:szCs w:val="32"/>
        </w:rPr>
        <w:t>．社会保障和就业支出（类）行政事业单位</w:t>
      </w:r>
      <w:r>
        <w:rPr>
          <w:rStyle w:val="14"/>
          <w:rFonts w:hint="eastAsia" w:eastAsia="仿宋_GB2312"/>
          <w:b w:val="0"/>
          <w:bCs/>
          <w:snapToGrid w:val="0"/>
          <w:color w:val="000000"/>
          <w:kern w:val="0"/>
          <w:sz w:val="32"/>
          <w:szCs w:val="32"/>
          <w:lang w:eastAsia="zh-CN"/>
        </w:rPr>
        <w:t>养老支出</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行政</w:t>
      </w:r>
      <w:r>
        <w:rPr>
          <w:rStyle w:val="14"/>
          <w:rFonts w:eastAsia="仿宋_GB2312"/>
          <w:b w:val="0"/>
          <w:bCs/>
          <w:snapToGrid w:val="0"/>
          <w:color w:val="000000"/>
          <w:kern w:val="0"/>
          <w:sz w:val="32"/>
          <w:szCs w:val="32"/>
        </w:rPr>
        <w:t>单位离休费（项）：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328.8</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327.4</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99.57</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eastAsia="仿宋_GB2312"/>
          <w:b w:val="0"/>
          <w:bCs/>
          <w:snapToGrid w:val="0"/>
          <w:kern w:val="0"/>
          <w:sz w:val="32"/>
          <w:szCs w:val="32"/>
          <w:highlight w:val="none"/>
        </w:rPr>
        <w:t>1</w:t>
      </w:r>
      <w:r>
        <w:rPr>
          <w:rFonts w:hint="eastAsia" w:eastAsia="仿宋_GB2312"/>
          <w:b w:val="0"/>
          <w:bCs/>
          <w:snapToGrid w:val="0"/>
          <w:kern w:val="0"/>
          <w:sz w:val="32"/>
          <w:szCs w:val="32"/>
          <w:highlight w:val="none"/>
          <w:lang w:val="en-US" w:eastAsia="zh-CN"/>
        </w:rPr>
        <w:t>4</w:t>
      </w:r>
      <w:r>
        <w:rPr>
          <w:rStyle w:val="14"/>
          <w:rFonts w:eastAsia="仿宋_GB2312"/>
          <w:b w:val="0"/>
          <w:bCs/>
          <w:snapToGrid w:val="0"/>
          <w:color w:val="000000"/>
          <w:kern w:val="0"/>
          <w:sz w:val="32"/>
          <w:szCs w:val="32"/>
          <w:highlight w:val="none"/>
        </w:rPr>
        <w:t>．社会保障和就业支出（类）行政事业单位</w:t>
      </w:r>
      <w:r>
        <w:rPr>
          <w:rStyle w:val="14"/>
          <w:rFonts w:hint="eastAsia" w:eastAsia="仿宋_GB2312"/>
          <w:b w:val="0"/>
          <w:bCs/>
          <w:snapToGrid w:val="0"/>
          <w:color w:val="000000"/>
          <w:kern w:val="0"/>
          <w:sz w:val="32"/>
          <w:szCs w:val="32"/>
          <w:highlight w:val="none"/>
          <w:lang w:eastAsia="zh-CN"/>
        </w:rPr>
        <w:t>养老支出</w:t>
      </w:r>
      <w:r>
        <w:rPr>
          <w:rStyle w:val="14"/>
          <w:rFonts w:eastAsia="仿宋_GB2312"/>
          <w:b w:val="0"/>
          <w:bCs/>
          <w:snapToGrid w:val="0"/>
          <w:color w:val="000000"/>
          <w:kern w:val="0"/>
          <w:sz w:val="32"/>
          <w:szCs w:val="32"/>
          <w:highlight w:val="none"/>
        </w:rPr>
        <w:t>（款）事业单位离休费（项）：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341.77</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339.29</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99.27</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5</w:t>
      </w:r>
      <w:r>
        <w:rPr>
          <w:rStyle w:val="14"/>
          <w:rFonts w:eastAsia="仿宋_GB2312"/>
          <w:b w:val="0"/>
          <w:bCs/>
          <w:snapToGrid w:val="0"/>
          <w:color w:val="000000"/>
          <w:kern w:val="0"/>
          <w:sz w:val="32"/>
          <w:szCs w:val="32"/>
        </w:rPr>
        <w:t>．社会保障和就业支出（类）行政事业单位</w:t>
      </w:r>
      <w:r>
        <w:rPr>
          <w:rStyle w:val="14"/>
          <w:rFonts w:hint="eastAsia" w:eastAsia="仿宋_GB2312"/>
          <w:b w:val="0"/>
          <w:bCs/>
          <w:snapToGrid w:val="0"/>
          <w:color w:val="000000"/>
          <w:kern w:val="0"/>
          <w:sz w:val="32"/>
          <w:szCs w:val="32"/>
          <w:lang w:eastAsia="zh-CN"/>
        </w:rPr>
        <w:t>养老支出</w:t>
      </w:r>
      <w:r>
        <w:rPr>
          <w:rStyle w:val="14"/>
          <w:rFonts w:eastAsia="仿宋_GB2312"/>
          <w:b w:val="0"/>
          <w:bCs/>
          <w:snapToGrid w:val="0"/>
          <w:color w:val="000000"/>
          <w:kern w:val="0"/>
          <w:sz w:val="32"/>
          <w:szCs w:val="32"/>
        </w:rPr>
        <w:t>（款）机关事业单位基本养老保险缴费支出（项）：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280.92</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279.61</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99.53</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hint="eastAsia" w:eastAsia="仿宋_GB2312"/>
          <w:b w:val="0"/>
          <w:bCs/>
          <w:snapToGrid w:val="0"/>
          <w:color w:val="000000"/>
          <w:kern w:val="0"/>
          <w:sz w:val="32"/>
          <w:szCs w:val="32"/>
          <w:lang w:val="en-US" w:eastAsia="zh-CN"/>
        </w:rPr>
        <w:t>16</w:t>
      </w:r>
      <w:r>
        <w:rPr>
          <w:rStyle w:val="14"/>
          <w:rFonts w:eastAsia="仿宋_GB2312"/>
          <w:b w:val="0"/>
          <w:bCs/>
          <w:snapToGrid w:val="0"/>
          <w:color w:val="000000"/>
          <w:kern w:val="0"/>
          <w:sz w:val="32"/>
          <w:szCs w:val="32"/>
        </w:rPr>
        <w:t>．社会保障和就业支出（类）行政事业单位</w:t>
      </w:r>
      <w:r>
        <w:rPr>
          <w:rStyle w:val="14"/>
          <w:rFonts w:hint="eastAsia" w:eastAsia="仿宋_GB2312"/>
          <w:b w:val="0"/>
          <w:bCs/>
          <w:snapToGrid w:val="0"/>
          <w:color w:val="000000"/>
          <w:kern w:val="0"/>
          <w:sz w:val="32"/>
          <w:szCs w:val="32"/>
          <w:lang w:eastAsia="zh-CN"/>
        </w:rPr>
        <w:t>养老支出</w:t>
      </w:r>
      <w:r>
        <w:rPr>
          <w:rStyle w:val="14"/>
          <w:rFonts w:eastAsia="仿宋_GB2312"/>
          <w:b w:val="0"/>
          <w:bCs/>
          <w:snapToGrid w:val="0"/>
          <w:color w:val="000000"/>
          <w:kern w:val="0"/>
          <w:sz w:val="32"/>
          <w:szCs w:val="32"/>
        </w:rPr>
        <w:t>（款）机关事业单位职业年金缴费支出（项）：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25.92</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25.27</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97.49</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hint="eastAsia" w:eastAsia="仿宋_GB2312"/>
          <w:b w:val="0"/>
          <w:bCs/>
          <w:snapToGrid w:val="0"/>
          <w:kern w:val="0"/>
          <w:sz w:val="32"/>
          <w:szCs w:val="32"/>
          <w:lang w:val="en-US" w:eastAsia="zh-CN"/>
        </w:rPr>
        <w:t>17</w:t>
      </w:r>
      <w:r>
        <w:rPr>
          <w:rStyle w:val="14"/>
          <w:rFonts w:eastAsia="仿宋_GB2312"/>
          <w:b w:val="0"/>
          <w:bCs/>
          <w:snapToGrid w:val="0"/>
          <w:color w:val="000000"/>
          <w:kern w:val="0"/>
          <w:sz w:val="32"/>
          <w:szCs w:val="32"/>
        </w:rPr>
        <w:t>．社会保障和就业支出（类）抚恤（款）死亡抚恤（项）：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37.66</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37.63</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99.92</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hint="eastAsia" w:eastAsia="仿宋_GB2312"/>
          <w:b w:val="0"/>
          <w:bCs/>
          <w:snapToGrid w:val="0"/>
          <w:kern w:val="0"/>
          <w:sz w:val="32"/>
          <w:szCs w:val="32"/>
          <w:lang w:val="en-US" w:eastAsia="zh-CN"/>
        </w:rPr>
        <w:t>18</w:t>
      </w:r>
      <w:r>
        <w:rPr>
          <w:rStyle w:val="14"/>
          <w:rFonts w:eastAsia="仿宋_GB2312"/>
          <w:b w:val="0"/>
          <w:bCs/>
          <w:snapToGrid w:val="0"/>
          <w:color w:val="000000"/>
          <w:kern w:val="0"/>
          <w:sz w:val="32"/>
          <w:szCs w:val="32"/>
        </w:rPr>
        <w:t>．社会保障和就业支出（类）其他社会保障和就业支出（款）其他社会保障和就业支出（项）：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159.77</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159.71</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99.96</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hint="eastAsia" w:eastAsia="仿宋_GB2312"/>
          <w:b w:val="0"/>
          <w:bCs/>
          <w:snapToGrid w:val="0"/>
          <w:kern w:val="0"/>
          <w:sz w:val="32"/>
          <w:szCs w:val="32"/>
          <w:highlight w:val="none"/>
          <w:lang w:eastAsia="zh-CN"/>
        </w:rPr>
      </w:pPr>
      <w:r>
        <w:rPr>
          <w:rFonts w:hint="eastAsia" w:eastAsia="仿宋_GB2312"/>
          <w:b w:val="0"/>
          <w:bCs/>
          <w:snapToGrid w:val="0"/>
          <w:kern w:val="0"/>
          <w:sz w:val="32"/>
          <w:szCs w:val="32"/>
          <w:lang w:val="en-US" w:eastAsia="zh-CN"/>
        </w:rPr>
        <w:t>19</w:t>
      </w:r>
      <w:r>
        <w:rPr>
          <w:rStyle w:val="14"/>
          <w:rFonts w:eastAsia="仿宋_GB2312"/>
          <w:b w:val="0"/>
          <w:bCs/>
          <w:snapToGrid w:val="0"/>
          <w:color w:val="000000"/>
          <w:kern w:val="0"/>
          <w:sz w:val="32"/>
          <w:szCs w:val="32"/>
        </w:rPr>
        <w:t>．</w:t>
      </w:r>
      <w:r>
        <w:rPr>
          <w:rStyle w:val="14"/>
          <w:rFonts w:hint="eastAsia" w:eastAsia="仿宋_GB2312"/>
          <w:b w:val="0"/>
          <w:bCs/>
          <w:snapToGrid w:val="0"/>
          <w:color w:val="000000"/>
          <w:kern w:val="0"/>
          <w:sz w:val="32"/>
          <w:szCs w:val="32"/>
          <w:lang w:eastAsia="zh-CN"/>
        </w:rPr>
        <w:t>卫生健康</w:t>
      </w:r>
      <w:r>
        <w:rPr>
          <w:rStyle w:val="14"/>
          <w:rFonts w:eastAsia="仿宋_GB2312"/>
          <w:b w:val="0"/>
          <w:bCs/>
          <w:snapToGrid w:val="0"/>
          <w:color w:val="000000"/>
          <w:kern w:val="0"/>
          <w:sz w:val="32"/>
          <w:szCs w:val="32"/>
        </w:rPr>
        <w:t>支出（类）</w:t>
      </w:r>
      <w:r>
        <w:rPr>
          <w:rStyle w:val="14"/>
          <w:rFonts w:hint="eastAsia" w:eastAsia="仿宋_GB2312"/>
          <w:b w:val="0"/>
          <w:bCs/>
          <w:snapToGrid w:val="0"/>
          <w:color w:val="000000"/>
          <w:kern w:val="0"/>
          <w:sz w:val="32"/>
          <w:szCs w:val="32"/>
          <w:lang w:eastAsia="zh-CN"/>
        </w:rPr>
        <w:t>公共卫生</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重大公共卫生</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10</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9.58</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95.8</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2</w:t>
      </w:r>
      <w:r>
        <w:rPr>
          <w:rFonts w:hint="eastAsia" w:eastAsia="仿宋_GB2312"/>
          <w:b w:val="0"/>
          <w:bCs/>
          <w:snapToGrid w:val="0"/>
          <w:kern w:val="0"/>
          <w:sz w:val="32"/>
          <w:szCs w:val="32"/>
          <w:lang w:val="en-US" w:eastAsia="zh-CN"/>
        </w:rPr>
        <w:t>0</w:t>
      </w:r>
      <w:r>
        <w:rPr>
          <w:rStyle w:val="14"/>
          <w:rFonts w:eastAsia="仿宋_GB2312"/>
          <w:b w:val="0"/>
          <w:bCs/>
          <w:snapToGrid w:val="0"/>
          <w:color w:val="000000"/>
          <w:kern w:val="0"/>
          <w:sz w:val="32"/>
          <w:szCs w:val="32"/>
        </w:rPr>
        <w:t>．</w:t>
      </w:r>
      <w:r>
        <w:rPr>
          <w:rStyle w:val="14"/>
          <w:rFonts w:hint="eastAsia" w:eastAsia="仿宋_GB2312"/>
          <w:b w:val="0"/>
          <w:bCs/>
          <w:snapToGrid w:val="0"/>
          <w:color w:val="000000"/>
          <w:kern w:val="0"/>
          <w:sz w:val="32"/>
          <w:szCs w:val="32"/>
          <w:lang w:eastAsia="zh-CN"/>
        </w:rPr>
        <w:t>卫生健康</w:t>
      </w:r>
      <w:r>
        <w:rPr>
          <w:rStyle w:val="14"/>
          <w:rFonts w:eastAsia="仿宋_GB2312"/>
          <w:b w:val="0"/>
          <w:bCs/>
          <w:snapToGrid w:val="0"/>
          <w:color w:val="000000"/>
          <w:kern w:val="0"/>
          <w:sz w:val="32"/>
          <w:szCs w:val="32"/>
        </w:rPr>
        <w:t>支出（类）</w:t>
      </w:r>
      <w:r>
        <w:rPr>
          <w:rStyle w:val="14"/>
          <w:rFonts w:hint="eastAsia" w:eastAsia="仿宋_GB2312"/>
          <w:b w:val="0"/>
          <w:bCs/>
          <w:snapToGrid w:val="0"/>
          <w:color w:val="000000"/>
          <w:kern w:val="0"/>
          <w:sz w:val="32"/>
          <w:szCs w:val="32"/>
          <w:lang w:eastAsia="zh-CN"/>
        </w:rPr>
        <w:t>行政事业单位医疗</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行政单位医疗</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180.61</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180.61</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100</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2</w:t>
      </w:r>
      <w:r>
        <w:rPr>
          <w:rFonts w:hint="eastAsia" w:eastAsia="仿宋_GB2312"/>
          <w:b w:val="0"/>
          <w:bCs/>
          <w:snapToGrid w:val="0"/>
          <w:kern w:val="0"/>
          <w:sz w:val="32"/>
          <w:szCs w:val="32"/>
          <w:lang w:val="en-US" w:eastAsia="zh-CN"/>
        </w:rPr>
        <w:t>1</w:t>
      </w:r>
      <w:r>
        <w:rPr>
          <w:rStyle w:val="14"/>
          <w:rFonts w:eastAsia="仿宋_GB2312"/>
          <w:b w:val="0"/>
          <w:bCs/>
          <w:snapToGrid w:val="0"/>
          <w:color w:val="000000"/>
          <w:kern w:val="0"/>
          <w:sz w:val="32"/>
          <w:szCs w:val="32"/>
        </w:rPr>
        <w:t>．</w:t>
      </w:r>
      <w:r>
        <w:rPr>
          <w:rStyle w:val="14"/>
          <w:rFonts w:hint="eastAsia" w:eastAsia="仿宋_GB2312"/>
          <w:b w:val="0"/>
          <w:bCs/>
          <w:snapToGrid w:val="0"/>
          <w:color w:val="000000"/>
          <w:kern w:val="0"/>
          <w:sz w:val="32"/>
          <w:szCs w:val="32"/>
          <w:lang w:eastAsia="zh-CN"/>
        </w:rPr>
        <w:t>卫生健康</w:t>
      </w:r>
      <w:r>
        <w:rPr>
          <w:rStyle w:val="14"/>
          <w:rFonts w:eastAsia="仿宋_GB2312"/>
          <w:b w:val="0"/>
          <w:bCs/>
          <w:snapToGrid w:val="0"/>
          <w:color w:val="000000"/>
          <w:kern w:val="0"/>
          <w:sz w:val="32"/>
          <w:szCs w:val="32"/>
        </w:rPr>
        <w:t>支出（类）</w:t>
      </w:r>
      <w:r>
        <w:rPr>
          <w:rStyle w:val="14"/>
          <w:rFonts w:hint="eastAsia" w:eastAsia="仿宋_GB2312"/>
          <w:b w:val="0"/>
          <w:bCs/>
          <w:snapToGrid w:val="0"/>
          <w:color w:val="000000"/>
          <w:kern w:val="0"/>
          <w:sz w:val="32"/>
          <w:szCs w:val="32"/>
          <w:lang w:eastAsia="zh-CN"/>
        </w:rPr>
        <w:t>行政事业单位医疗</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事业单位医疗</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28.38</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28.38</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100</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eastAsia="仿宋_GB2312"/>
          <w:b w:val="0"/>
          <w:bCs/>
          <w:snapToGrid w:val="0"/>
          <w:kern w:val="0"/>
          <w:sz w:val="32"/>
          <w:szCs w:val="32"/>
          <w:highlight w:val="none"/>
        </w:rPr>
      </w:pPr>
      <w:r>
        <w:rPr>
          <w:rFonts w:eastAsia="仿宋_GB2312"/>
          <w:b w:val="0"/>
          <w:bCs/>
          <w:snapToGrid w:val="0"/>
          <w:kern w:val="0"/>
          <w:sz w:val="32"/>
          <w:szCs w:val="32"/>
          <w:highlight w:val="none"/>
        </w:rPr>
        <w:t>2</w:t>
      </w:r>
      <w:r>
        <w:rPr>
          <w:rFonts w:hint="eastAsia" w:eastAsia="仿宋_GB2312"/>
          <w:b w:val="0"/>
          <w:bCs/>
          <w:snapToGrid w:val="0"/>
          <w:kern w:val="0"/>
          <w:sz w:val="32"/>
          <w:szCs w:val="32"/>
          <w:highlight w:val="none"/>
          <w:lang w:val="en-US" w:eastAsia="zh-CN"/>
        </w:rPr>
        <w:t>2</w:t>
      </w:r>
      <w:r>
        <w:rPr>
          <w:rStyle w:val="14"/>
          <w:rFonts w:eastAsia="仿宋_GB2312"/>
          <w:b w:val="0"/>
          <w:bCs/>
          <w:snapToGrid w:val="0"/>
          <w:color w:val="000000"/>
          <w:kern w:val="0"/>
          <w:sz w:val="32"/>
          <w:szCs w:val="32"/>
          <w:highlight w:val="none"/>
        </w:rPr>
        <w:t>．</w:t>
      </w:r>
      <w:r>
        <w:rPr>
          <w:rStyle w:val="14"/>
          <w:rFonts w:hint="eastAsia" w:eastAsia="仿宋_GB2312"/>
          <w:b w:val="0"/>
          <w:bCs/>
          <w:snapToGrid w:val="0"/>
          <w:color w:val="000000"/>
          <w:kern w:val="0"/>
          <w:sz w:val="32"/>
          <w:szCs w:val="32"/>
          <w:highlight w:val="none"/>
          <w:lang w:eastAsia="zh-CN"/>
        </w:rPr>
        <w:t>卫生健康</w:t>
      </w:r>
      <w:r>
        <w:rPr>
          <w:rStyle w:val="14"/>
          <w:rFonts w:eastAsia="仿宋_GB2312"/>
          <w:b w:val="0"/>
          <w:bCs/>
          <w:snapToGrid w:val="0"/>
          <w:color w:val="000000"/>
          <w:kern w:val="0"/>
          <w:sz w:val="32"/>
          <w:szCs w:val="32"/>
          <w:highlight w:val="none"/>
        </w:rPr>
        <w:t>支出（类）</w:t>
      </w:r>
      <w:r>
        <w:rPr>
          <w:rStyle w:val="14"/>
          <w:rFonts w:hint="eastAsia" w:eastAsia="仿宋_GB2312"/>
          <w:b w:val="0"/>
          <w:bCs/>
          <w:snapToGrid w:val="0"/>
          <w:color w:val="000000"/>
          <w:kern w:val="0"/>
          <w:sz w:val="32"/>
          <w:szCs w:val="32"/>
          <w:highlight w:val="none"/>
          <w:lang w:eastAsia="zh-CN"/>
        </w:rPr>
        <w:t>行政事业单位医疗</w:t>
      </w:r>
      <w:r>
        <w:rPr>
          <w:rStyle w:val="14"/>
          <w:rFonts w:eastAsia="仿宋_GB2312"/>
          <w:b w:val="0"/>
          <w:bCs/>
          <w:snapToGrid w:val="0"/>
          <w:color w:val="000000"/>
          <w:kern w:val="0"/>
          <w:sz w:val="32"/>
          <w:szCs w:val="32"/>
          <w:highlight w:val="none"/>
        </w:rPr>
        <w:t>（款）</w:t>
      </w:r>
      <w:r>
        <w:rPr>
          <w:rStyle w:val="14"/>
          <w:rFonts w:hint="eastAsia" w:eastAsia="仿宋_GB2312"/>
          <w:b w:val="0"/>
          <w:bCs/>
          <w:snapToGrid w:val="0"/>
          <w:color w:val="000000"/>
          <w:kern w:val="0"/>
          <w:sz w:val="32"/>
          <w:szCs w:val="32"/>
          <w:highlight w:val="none"/>
          <w:lang w:eastAsia="zh-CN"/>
        </w:rPr>
        <w:t>公务员医疗补助</w:t>
      </w:r>
      <w:r>
        <w:rPr>
          <w:rStyle w:val="14"/>
          <w:rFonts w:eastAsia="仿宋_GB2312"/>
          <w:b w:val="0"/>
          <w:bCs/>
          <w:snapToGrid w:val="0"/>
          <w:color w:val="000000"/>
          <w:kern w:val="0"/>
          <w:sz w:val="32"/>
          <w:szCs w:val="32"/>
          <w:highlight w:val="none"/>
        </w:rPr>
        <w:t>（项）：</w:t>
      </w:r>
      <w:r>
        <w:rPr>
          <w:rFonts w:eastAsia="仿宋_GB2312"/>
          <w:b w:val="0"/>
          <w:bCs/>
          <w:snapToGrid w:val="0"/>
          <w:color w:val="000000"/>
          <w:kern w:val="0"/>
          <w:sz w:val="32"/>
          <w:szCs w:val="32"/>
          <w:highlight w:val="none"/>
        </w:rPr>
        <w:t>年初预算为</w:t>
      </w:r>
      <w:r>
        <w:rPr>
          <w:rFonts w:hint="eastAsia" w:eastAsia="仿宋_GB2312"/>
          <w:b w:val="0"/>
          <w:bCs/>
          <w:snapToGrid w:val="0"/>
          <w:color w:val="000000"/>
          <w:kern w:val="0"/>
          <w:sz w:val="32"/>
          <w:szCs w:val="32"/>
          <w:highlight w:val="none"/>
          <w:lang w:val="en-US" w:eastAsia="zh-CN"/>
        </w:rPr>
        <w:t>44.34</w:t>
      </w:r>
      <w:r>
        <w:rPr>
          <w:rFonts w:eastAsia="仿宋_GB2312"/>
          <w:b w:val="0"/>
          <w:bCs/>
          <w:snapToGrid w:val="0"/>
          <w:color w:val="000000"/>
          <w:kern w:val="0"/>
          <w:sz w:val="32"/>
          <w:szCs w:val="32"/>
          <w:highlight w:val="none"/>
        </w:rPr>
        <w:t>万元，支出决算为</w:t>
      </w:r>
      <w:r>
        <w:rPr>
          <w:rFonts w:hint="eastAsia" w:eastAsia="仿宋_GB2312"/>
          <w:b w:val="0"/>
          <w:bCs/>
          <w:snapToGrid w:val="0"/>
          <w:color w:val="000000"/>
          <w:kern w:val="0"/>
          <w:sz w:val="32"/>
          <w:szCs w:val="32"/>
          <w:highlight w:val="none"/>
          <w:lang w:val="en-US" w:eastAsia="zh-CN"/>
        </w:rPr>
        <w:t>44.34</w:t>
      </w:r>
      <w:r>
        <w:rPr>
          <w:rFonts w:eastAsia="仿宋_GB2312"/>
          <w:b w:val="0"/>
          <w:bCs/>
          <w:snapToGrid w:val="0"/>
          <w:color w:val="000000"/>
          <w:kern w:val="0"/>
          <w:sz w:val="32"/>
          <w:szCs w:val="32"/>
          <w:highlight w:val="none"/>
        </w:rPr>
        <w:t>万元，完成年初预算</w:t>
      </w:r>
      <w:r>
        <w:rPr>
          <w:rFonts w:hint="eastAsia" w:eastAsia="仿宋_GB2312"/>
          <w:b w:val="0"/>
          <w:bCs/>
          <w:snapToGrid w:val="0"/>
          <w:color w:val="000000"/>
          <w:kern w:val="0"/>
          <w:sz w:val="32"/>
          <w:szCs w:val="32"/>
          <w:highlight w:val="none"/>
          <w:lang w:val="en-US" w:eastAsia="zh-CN"/>
        </w:rPr>
        <w:t>100</w:t>
      </w:r>
      <w:r>
        <w:rPr>
          <w:rFonts w:eastAsia="仿宋_GB2312"/>
          <w:b w:val="0"/>
          <w:bCs/>
          <w:snapToGrid w:val="0"/>
          <w:color w:val="000000"/>
          <w:kern w:val="0"/>
          <w:sz w:val="32"/>
          <w:szCs w:val="32"/>
          <w:highlight w:val="none"/>
        </w:rPr>
        <w:t>%</w:t>
      </w:r>
      <w:r>
        <w:rPr>
          <w:rFonts w:eastAsia="仿宋_GB2312"/>
          <w:b w:val="0"/>
          <w:bCs/>
          <w:snapToGrid w:val="0"/>
          <w:kern w:val="0"/>
          <w:sz w:val="32"/>
          <w:szCs w:val="32"/>
          <w:highlight w:val="none"/>
        </w:rPr>
        <w:t>。</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kern w:val="0"/>
          <w:sz w:val="32"/>
          <w:szCs w:val="32"/>
        </w:rPr>
        <w:t>2</w:t>
      </w:r>
      <w:r>
        <w:rPr>
          <w:rFonts w:hint="eastAsia" w:eastAsia="仿宋_GB2312"/>
          <w:b w:val="0"/>
          <w:bCs/>
          <w:snapToGrid w:val="0"/>
          <w:kern w:val="0"/>
          <w:sz w:val="32"/>
          <w:szCs w:val="32"/>
          <w:lang w:val="en-US" w:eastAsia="zh-CN"/>
        </w:rPr>
        <w:t>3</w:t>
      </w:r>
      <w:r>
        <w:rPr>
          <w:rStyle w:val="14"/>
          <w:rFonts w:eastAsia="仿宋_GB2312"/>
          <w:b w:val="0"/>
          <w:bCs/>
          <w:snapToGrid w:val="0"/>
          <w:color w:val="000000"/>
          <w:kern w:val="0"/>
          <w:sz w:val="32"/>
          <w:szCs w:val="32"/>
        </w:rPr>
        <w:t>．住房保障支出（类）住房改革支出（款）住房公积金（项）：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282.99</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282.3</w:t>
      </w:r>
      <w:r>
        <w:rPr>
          <w:rFonts w:eastAsia="仿宋_GB2312"/>
          <w:b w:val="0"/>
          <w:bCs/>
          <w:snapToGrid w:val="0"/>
          <w:color w:val="000000"/>
          <w:kern w:val="0"/>
          <w:sz w:val="32"/>
          <w:szCs w:val="32"/>
        </w:rPr>
        <w:t>万元，完成年初预算99.</w:t>
      </w:r>
      <w:r>
        <w:rPr>
          <w:rFonts w:hint="eastAsia" w:eastAsia="仿宋_GB2312"/>
          <w:b w:val="0"/>
          <w:bCs/>
          <w:snapToGrid w:val="0"/>
          <w:color w:val="000000"/>
          <w:kern w:val="0"/>
          <w:sz w:val="32"/>
          <w:szCs w:val="32"/>
          <w:lang w:val="en-US" w:eastAsia="zh-CN"/>
        </w:rPr>
        <w:t>76</w:t>
      </w:r>
      <w:r>
        <w:rPr>
          <w:rFonts w:eastAsia="仿宋_GB2312"/>
          <w:b w:val="0"/>
          <w:bCs/>
          <w:snapToGrid w:val="0"/>
          <w:color w:val="000000"/>
          <w:kern w:val="0"/>
          <w:sz w:val="32"/>
          <w:szCs w:val="32"/>
        </w:rPr>
        <w:t>%</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2</w:t>
      </w:r>
      <w:r>
        <w:rPr>
          <w:rFonts w:hint="eastAsia" w:eastAsia="仿宋_GB2312"/>
          <w:b w:val="0"/>
          <w:bCs/>
          <w:snapToGrid w:val="0"/>
          <w:kern w:val="0"/>
          <w:sz w:val="32"/>
          <w:szCs w:val="32"/>
          <w:lang w:val="en-US" w:eastAsia="zh-CN"/>
        </w:rPr>
        <w:t>4</w:t>
      </w:r>
      <w:r>
        <w:rPr>
          <w:rStyle w:val="14"/>
          <w:rFonts w:eastAsia="仿宋_GB2312"/>
          <w:b w:val="0"/>
          <w:bCs/>
          <w:snapToGrid w:val="0"/>
          <w:color w:val="000000"/>
          <w:kern w:val="0"/>
          <w:sz w:val="32"/>
          <w:szCs w:val="32"/>
        </w:rPr>
        <w:t>．住房保障支出（类）住房改革支出（款）购房补贴（项）：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252.42</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252.42</w:t>
      </w:r>
      <w:r>
        <w:rPr>
          <w:rFonts w:eastAsia="仿宋_GB2312"/>
          <w:b w:val="0"/>
          <w:bCs/>
          <w:snapToGrid w:val="0"/>
          <w:color w:val="000000"/>
          <w:kern w:val="0"/>
          <w:sz w:val="32"/>
          <w:szCs w:val="32"/>
        </w:rPr>
        <w:t>万元，完成年初预算100%</w:t>
      </w:r>
      <w:r>
        <w:rPr>
          <w:rFonts w:eastAsia="仿宋_GB2312"/>
          <w:b w:val="0"/>
          <w:bCs/>
          <w:snapToGrid w:val="0"/>
          <w:kern w:val="0"/>
          <w:sz w:val="32"/>
          <w:szCs w:val="32"/>
        </w:rPr>
        <w:t>。</w:t>
      </w:r>
    </w:p>
    <w:p>
      <w:pPr>
        <w:overflowPunct w:val="0"/>
        <w:adjustRightInd w:val="0"/>
        <w:snapToGrid w:val="0"/>
        <w:spacing w:line="600" w:lineRule="exact"/>
        <w:ind w:firstLine="640" w:firstLineChars="200"/>
        <w:rPr>
          <w:rFonts w:hint="eastAsia" w:eastAsia="仿宋_GB2312"/>
          <w:b w:val="0"/>
          <w:bCs/>
          <w:snapToGrid w:val="0"/>
          <w:kern w:val="0"/>
          <w:sz w:val="32"/>
          <w:szCs w:val="32"/>
          <w:lang w:eastAsia="zh-CN"/>
        </w:rPr>
      </w:pPr>
      <w:r>
        <w:rPr>
          <w:rFonts w:eastAsia="仿宋_GB2312"/>
          <w:b w:val="0"/>
          <w:bCs/>
          <w:snapToGrid w:val="0"/>
          <w:kern w:val="0"/>
          <w:sz w:val="32"/>
          <w:szCs w:val="32"/>
        </w:rPr>
        <w:t>2</w:t>
      </w:r>
      <w:r>
        <w:rPr>
          <w:rFonts w:hint="eastAsia" w:eastAsia="仿宋_GB2312"/>
          <w:b w:val="0"/>
          <w:bCs/>
          <w:snapToGrid w:val="0"/>
          <w:kern w:val="0"/>
          <w:sz w:val="32"/>
          <w:szCs w:val="32"/>
          <w:lang w:val="en-US" w:eastAsia="zh-CN"/>
        </w:rPr>
        <w:t>5</w:t>
      </w:r>
      <w:r>
        <w:rPr>
          <w:rStyle w:val="14"/>
          <w:rFonts w:eastAsia="仿宋_GB2312"/>
          <w:b w:val="0"/>
          <w:bCs/>
          <w:snapToGrid w:val="0"/>
          <w:color w:val="000000"/>
          <w:kern w:val="0"/>
          <w:sz w:val="32"/>
          <w:szCs w:val="32"/>
        </w:rPr>
        <w:t>．</w:t>
      </w:r>
      <w:r>
        <w:rPr>
          <w:rStyle w:val="14"/>
          <w:rFonts w:hint="eastAsia" w:eastAsia="仿宋_GB2312"/>
          <w:b w:val="0"/>
          <w:bCs/>
          <w:snapToGrid w:val="0"/>
          <w:color w:val="000000"/>
          <w:kern w:val="0"/>
          <w:sz w:val="32"/>
          <w:szCs w:val="32"/>
          <w:lang w:eastAsia="zh-CN"/>
        </w:rPr>
        <w:t>灾害防治及应急管理</w:t>
      </w:r>
      <w:r>
        <w:rPr>
          <w:rStyle w:val="14"/>
          <w:rFonts w:eastAsia="仿宋_GB2312"/>
          <w:b w:val="0"/>
          <w:bCs/>
          <w:snapToGrid w:val="0"/>
          <w:color w:val="000000"/>
          <w:kern w:val="0"/>
          <w:sz w:val="32"/>
          <w:szCs w:val="32"/>
        </w:rPr>
        <w:t>支出（类）</w:t>
      </w:r>
      <w:r>
        <w:rPr>
          <w:rStyle w:val="14"/>
          <w:rFonts w:hint="eastAsia" w:eastAsia="仿宋_GB2312"/>
          <w:b w:val="0"/>
          <w:bCs/>
          <w:snapToGrid w:val="0"/>
          <w:color w:val="000000"/>
          <w:kern w:val="0"/>
          <w:sz w:val="32"/>
          <w:szCs w:val="32"/>
          <w:lang w:eastAsia="zh-CN"/>
        </w:rPr>
        <w:t>应急管理事务</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其他应急管理支出</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8</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7.93</w:t>
      </w:r>
      <w:r>
        <w:rPr>
          <w:rFonts w:eastAsia="仿宋_GB2312"/>
          <w:b w:val="0"/>
          <w:bCs/>
          <w:snapToGrid w:val="0"/>
          <w:color w:val="000000"/>
          <w:kern w:val="0"/>
          <w:sz w:val="32"/>
          <w:szCs w:val="32"/>
        </w:rPr>
        <w:t>万元，完成年初预算</w:t>
      </w:r>
      <w:r>
        <w:rPr>
          <w:rFonts w:hint="eastAsia" w:eastAsia="仿宋_GB2312"/>
          <w:b w:val="0"/>
          <w:bCs/>
          <w:snapToGrid w:val="0"/>
          <w:color w:val="000000"/>
          <w:kern w:val="0"/>
          <w:sz w:val="32"/>
          <w:szCs w:val="32"/>
          <w:lang w:val="en-US" w:eastAsia="zh-CN"/>
        </w:rPr>
        <w:t>99.1</w:t>
      </w:r>
      <w:r>
        <w:rPr>
          <w:rFonts w:eastAsia="仿宋_GB2312"/>
          <w:b w:val="0"/>
          <w:bCs/>
          <w:snapToGrid w:val="0"/>
          <w:color w:val="000000"/>
          <w:kern w:val="0"/>
          <w:sz w:val="32"/>
          <w:szCs w:val="32"/>
        </w:rPr>
        <w:t>%</w:t>
      </w:r>
      <w:r>
        <w:rPr>
          <w:rFonts w:eastAsia="仿宋_GB2312"/>
          <w:b w:val="0"/>
          <w:bCs/>
          <w:snapToGrid w:val="0"/>
          <w:kern w:val="0"/>
          <w:sz w:val="32"/>
          <w:szCs w:val="32"/>
        </w:rPr>
        <w:t>。</w:t>
      </w:r>
    </w:p>
    <w:p>
      <w:pPr>
        <w:spacing w:line="600" w:lineRule="exact"/>
        <w:ind w:firstLine="640" w:firstLineChars="200"/>
        <w:rPr>
          <w:rFonts w:ascii="仿宋" w:hAnsi="仿宋" w:eastAsia="仿宋_GB2312"/>
          <w:b w:val="0"/>
          <w:bCs/>
          <w:color w:val="000000"/>
          <w:sz w:val="32"/>
          <w:szCs w:val="32"/>
          <w:lang w:val="en-US" w:eastAsia="zh-CN"/>
        </w:rPr>
      </w:pPr>
      <w:r>
        <w:rPr>
          <w:rFonts w:hint="eastAsia" w:eastAsia="仿宋_GB2312"/>
          <w:b w:val="0"/>
          <w:bCs/>
          <w:snapToGrid w:val="0"/>
          <w:kern w:val="0"/>
          <w:sz w:val="32"/>
          <w:szCs w:val="32"/>
          <w:lang w:val="en-US" w:eastAsia="zh-CN"/>
        </w:rPr>
        <w:t>26</w:t>
      </w:r>
      <w:r>
        <w:rPr>
          <w:rStyle w:val="14"/>
          <w:rFonts w:eastAsia="仿宋_GB2312"/>
          <w:b w:val="0"/>
          <w:bCs/>
          <w:snapToGrid w:val="0"/>
          <w:color w:val="000000"/>
          <w:kern w:val="0"/>
          <w:sz w:val="32"/>
          <w:szCs w:val="32"/>
        </w:rPr>
        <w:t>．其他支出（类）其他支出（款）其他支出（项）：</w:t>
      </w:r>
      <w:r>
        <w:rPr>
          <w:rFonts w:eastAsia="仿宋_GB2312"/>
          <w:b w:val="0"/>
          <w:bCs/>
          <w:snapToGrid w:val="0"/>
          <w:color w:val="000000"/>
          <w:kern w:val="0"/>
          <w:sz w:val="32"/>
          <w:szCs w:val="32"/>
        </w:rPr>
        <w:t>年初预算为</w:t>
      </w:r>
      <w:r>
        <w:rPr>
          <w:rFonts w:hint="eastAsia" w:eastAsia="仿宋_GB2312"/>
          <w:b w:val="0"/>
          <w:bCs/>
          <w:snapToGrid w:val="0"/>
          <w:color w:val="000000"/>
          <w:kern w:val="0"/>
          <w:sz w:val="32"/>
          <w:szCs w:val="32"/>
          <w:lang w:val="en-US" w:eastAsia="zh-CN"/>
        </w:rPr>
        <w:t>152.99</w:t>
      </w:r>
      <w:r>
        <w:rPr>
          <w:rFonts w:eastAsia="仿宋_GB2312"/>
          <w:b w:val="0"/>
          <w:bCs/>
          <w:snapToGrid w:val="0"/>
          <w:color w:val="000000"/>
          <w:kern w:val="0"/>
          <w:sz w:val="32"/>
          <w:szCs w:val="32"/>
        </w:rPr>
        <w:t>万元，支出决算为</w:t>
      </w:r>
      <w:r>
        <w:rPr>
          <w:rFonts w:hint="eastAsia" w:eastAsia="仿宋_GB2312"/>
          <w:b w:val="0"/>
          <w:bCs/>
          <w:snapToGrid w:val="0"/>
          <w:color w:val="000000"/>
          <w:kern w:val="0"/>
          <w:sz w:val="32"/>
          <w:szCs w:val="32"/>
          <w:lang w:val="en-US" w:eastAsia="zh-CN"/>
        </w:rPr>
        <w:t>152.99</w:t>
      </w:r>
      <w:r>
        <w:rPr>
          <w:rFonts w:eastAsia="仿宋_GB2312"/>
          <w:b w:val="0"/>
          <w:bCs/>
          <w:snapToGrid w:val="0"/>
          <w:color w:val="000000"/>
          <w:kern w:val="0"/>
          <w:sz w:val="32"/>
          <w:szCs w:val="32"/>
        </w:rPr>
        <w:t>万</w:t>
      </w:r>
      <w:r>
        <w:rPr>
          <w:rFonts w:hint="eastAsia" w:eastAsia="仿宋_GB2312"/>
          <w:b w:val="0"/>
          <w:bCs/>
          <w:snapToGrid w:val="0"/>
          <w:color w:val="000000"/>
          <w:kern w:val="0"/>
          <w:sz w:val="32"/>
          <w:szCs w:val="32"/>
          <w:lang w:eastAsia="zh-CN"/>
        </w:rPr>
        <w:t>元，完成年初预算</w:t>
      </w:r>
      <w:r>
        <w:rPr>
          <w:rFonts w:hint="eastAsia" w:eastAsia="仿宋_GB2312"/>
          <w:b w:val="0"/>
          <w:bCs/>
          <w:snapToGrid w:val="0"/>
          <w:color w:val="000000"/>
          <w:kern w:val="0"/>
          <w:sz w:val="32"/>
          <w:szCs w:val="32"/>
          <w:lang w:val="en-US" w:eastAsia="zh-CN"/>
        </w:rPr>
        <w:t>100%。</w:t>
      </w:r>
    </w:p>
    <w:p>
      <w:pPr>
        <w:tabs>
          <w:tab w:val="right" w:pos="8306"/>
        </w:tabs>
        <w:spacing w:line="600" w:lineRule="exact"/>
        <w:ind w:firstLine="640"/>
        <w:outlineLvl w:val="1"/>
        <w:rPr>
          <w:rStyle w:val="17"/>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、一</w:t>
      </w:r>
      <w:r>
        <w:rPr>
          <w:rStyle w:val="17"/>
          <w:rFonts w:hint="eastAsia" w:ascii="黑体" w:eastAsia="黑体"/>
          <w:b w:val="0"/>
        </w:rPr>
        <w:t>般公共预算财政拨款基本支出决算情况说明</w:t>
      </w:r>
      <w:bookmarkEnd w:id="38"/>
      <w:bookmarkEnd w:id="39"/>
      <w:r>
        <w:rPr>
          <w:rStyle w:val="17"/>
          <w:rFonts w:asci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14370.63</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11079.95</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3290.67</w:t>
      </w:r>
      <w:r>
        <w:rPr>
          <w:rFonts w:hint="eastAsia" w:ascii="仿宋_GB2312" w:hAnsi="仿宋_GB2312" w:eastAsia="仿宋_GB2312" w:cs="仿宋_GB2312"/>
          <w:color w:val="000000"/>
          <w:sz w:val="32"/>
          <w:szCs w:val="32"/>
        </w:rPr>
        <w:t>万元，主要包括：办公费、印刷费、咨询费、手续费、水费、电费、邮电费、取暖费、物业管理费、差旅费、维修（护）费、租赁费、会议费、培训费、公务接待费、劳务费、委托业务费、工会经费、福利费、公务用车运行维护费、其他交通费、其他商品和服务支出、办公设备购置、专用设备购置、信息网络及软件购置更新、其他资本性支出等。</w:t>
      </w:r>
    </w:p>
    <w:p>
      <w:pPr>
        <w:spacing w:line="600" w:lineRule="exact"/>
        <w:ind w:firstLine="640"/>
        <w:outlineLvl w:val="1"/>
        <w:rPr>
          <w:rStyle w:val="17"/>
          <w:rFonts w:ascii="黑体" w:eastAsia="黑体"/>
          <w:b w:val="0"/>
        </w:rPr>
      </w:pPr>
      <w:bookmarkStart w:id="40" w:name="_Toc15396609"/>
      <w:bookmarkStart w:id="41" w:name="_Toc15377215"/>
      <w:r>
        <w:rPr>
          <w:rFonts w:hint="eastAsia" w:ascii="黑体" w:eastAsia="黑体"/>
          <w:color w:val="000000"/>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40"/>
      <w:bookmarkEnd w:id="41"/>
    </w:p>
    <w:p>
      <w:pPr>
        <w:spacing w:line="600" w:lineRule="exact"/>
        <w:ind w:firstLine="640"/>
        <w:outlineLvl w:val="2"/>
        <w:rPr>
          <w:rFonts w:ascii="仿宋" w:eastAsia="仿宋"/>
          <w:b/>
          <w:color w:val="000000"/>
          <w:sz w:val="32"/>
          <w:szCs w:val="32"/>
        </w:rPr>
      </w:pPr>
      <w:bookmarkStart w:id="42" w:name="_Toc15377216"/>
      <w:r>
        <w:rPr>
          <w:rFonts w:hint="eastAsia" w:ascii="仿宋" w:eastAsia="仿宋"/>
          <w:b/>
          <w:color w:val="000000"/>
          <w:sz w:val="32"/>
          <w:szCs w:val="32"/>
        </w:rPr>
        <w:t>（一）“三公”经费财政拨款支出决算总体情况说明</w:t>
      </w:r>
      <w:bookmarkEnd w:id="42"/>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71.06</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29.6</w:t>
      </w:r>
      <w:r>
        <w:rPr>
          <w:rFonts w:hint="eastAsia" w:ascii="仿宋_GB2312" w:hAnsi="仿宋_GB2312" w:eastAsia="仿宋_GB2312" w:cs="仿宋_GB2312"/>
          <w:color w:val="000000"/>
          <w:sz w:val="32"/>
          <w:szCs w:val="32"/>
        </w:rPr>
        <w:t>%，决算数小于预算数的主要原因是</w:t>
      </w:r>
      <w:r>
        <w:rPr>
          <w:rFonts w:hint="eastAsia" w:ascii="仿宋_GB2312" w:hAnsi="仿宋_GB2312" w:eastAsia="仿宋_GB2312" w:cs="仿宋_GB2312"/>
          <w:color w:val="000000"/>
          <w:sz w:val="32"/>
          <w:szCs w:val="32"/>
          <w:lang w:val="en-US" w:eastAsia="zh-CN"/>
        </w:rPr>
        <w:t>受疫情影响，一是按财政统一要求压减因公出国（境）费用；二是减少公务接待次数和</w:t>
      </w:r>
      <w:r>
        <w:rPr>
          <w:rFonts w:hint="eastAsia" w:ascii="仿宋_GB2312" w:hAnsi="仿宋_GB2312" w:eastAsia="仿宋_GB2312" w:cs="仿宋_GB2312"/>
          <w:color w:val="000000"/>
          <w:sz w:val="32"/>
          <w:szCs w:val="32"/>
          <w:lang w:eastAsia="zh-CN"/>
        </w:rPr>
        <w:t>人次。</w:t>
      </w:r>
    </w:p>
    <w:p>
      <w:pPr>
        <w:spacing w:line="600" w:lineRule="exact"/>
        <w:ind w:firstLine="640"/>
        <w:outlineLvl w:val="2"/>
        <w:rPr>
          <w:rFonts w:ascii="仿宋" w:eastAsia="仿宋"/>
          <w:b/>
          <w:color w:val="000000"/>
          <w:sz w:val="32"/>
          <w:szCs w:val="32"/>
        </w:rPr>
      </w:pPr>
      <w:bookmarkStart w:id="43" w:name="_Toc15377217"/>
      <w:r>
        <w:rPr>
          <w:rFonts w:hint="eastAsia" w:ascii="仿宋" w:eastAsia="仿宋"/>
          <w:b/>
          <w:color w:val="000000"/>
          <w:sz w:val="32"/>
          <w:szCs w:val="32"/>
        </w:rPr>
        <w:t>（二）“三公”经费财政拨款支出决算具体情况说明</w:t>
      </w:r>
      <w:bookmarkEnd w:id="43"/>
    </w:p>
    <w:p>
      <w:pPr>
        <w:spacing w:line="600" w:lineRule="exact"/>
        <w:ind w:firstLine="640"/>
        <w:rPr>
          <w:rFonts w:hint="eastAsia" w:ascii="方正仿宋_GB2312" w:hAnsi="方正仿宋_GB2312" w:eastAsia="方正仿宋_GB2312" w:cs="方正仿宋_GB2312"/>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20</w:t>
      </w:r>
      <w:r>
        <w:rPr>
          <w:rFonts w:hint="eastAsia" w:ascii="仿宋" w:eastAsia="仿宋"/>
          <w:color w:val="000000"/>
          <w:sz w:val="32"/>
          <w:szCs w:val="32"/>
        </w:rPr>
        <w:t>年“三公”经费财政拨款支出决算中，</w:t>
      </w:r>
      <w:r>
        <w:rPr>
          <w:rFonts w:hint="eastAsia" w:ascii="仿宋" w:eastAsia="仿宋"/>
          <w:color w:val="000000"/>
          <w:sz w:val="32"/>
          <w:szCs w:val="32"/>
          <w:lang w:eastAsia="zh-CN"/>
        </w:rPr>
        <w:t>无</w:t>
      </w:r>
      <w:r>
        <w:rPr>
          <w:rFonts w:hint="eastAsia" w:ascii="仿宋" w:eastAsia="仿宋"/>
          <w:color w:val="000000"/>
          <w:sz w:val="32"/>
          <w:szCs w:val="32"/>
        </w:rPr>
        <w:t>因公出国（境）费支出</w:t>
      </w:r>
      <w:r>
        <w:rPr>
          <w:rFonts w:hint="eastAsia" w:ascii="仿宋" w:eastAsia="仿宋"/>
          <w:color w:val="000000"/>
          <w:sz w:val="32"/>
          <w:szCs w:val="32"/>
          <w:lang w:eastAsia="zh-CN"/>
        </w:rPr>
        <w:t>，与去年持平</w:t>
      </w:r>
      <w:bookmarkStart w:id="70" w:name="_GoBack"/>
      <w:bookmarkEnd w:id="70"/>
      <w:r>
        <w:rPr>
          <w:rFonts w:hint="eastAsia" w:ascii="仿宋" w:eastAsia="仿宋"/>
          <w:color w:val="000000"/>
          <w:sz w:val="32"/>
          <w:szCs w:val="32"/>
        </w:rPr>
        <w:t>；公务用车购置及运行维护费支出决算</w:t>
      </w:r>
      <w:r>
        <w:rPr>
          <w:rFonts w:hint="eastAsia" w:ascii="仿宋" w:eastAsia="仿宋"/>
          <w:color w:val="000000"/>
          <w:sz w:val="32"/>
          <w:szCs w:val="32"/>
          <w:lang w:val="en-US" w:eastAsia="zh-CN"/>
        </w:rPr>
        <w:t>59.13</w:t>
      </w:r>
      <w:r>
        <w:rPr>
          <w:rFonts w:hint="eastAsia" w:ascii="仿宋" w:eastAsia="仿宋"/>
          <w:color w:val="000000"/>
          <w:sz w:val="32"/>
          <w:szCs w:val="32"/>
        </w:rPr>
        <w:t>万元，占</w:t>
      </w:r>
      <w:r>
        <w:rPr>
          <w:rFonts w:hint="eastAsia" w:ascii="仿宋" w:eastAsia="仿宋"/>
          <w:color w:val="000000"/>
          <w:sz w:val="32"/>
          <w:szCs w:val="32"/>
          <w:lang w:val="en-US" w:eastAsia="zh-CN"/>
        </w:rPr>
        <w:t>83.21</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11.93</w:t>
      </w:r>
      <w:r>
        <w:rPr>
          <w:rFonts w:hint="eastAsia" w:ascii="仿宋" w:eastAsia="仿宋"/>
          <w:color w:val="000000"/>
          <w:sz w:val="32"/>
          <w:szCs w:val="32"/>
        </w:rPr>
        <w:t>万元，占</w:t>
      </w:r>
      <w:r>
        <w:rPr>
          <w:rFonts w:hint="eastAsia" w:ascii="仿宋" w:eastAsia="仿宋"/>
          <w:color w:val="000000"/>
          <w:sz w:val="32"/>
          <w:szCs w:val="32"/>
          <w:lang w:val="en-US" w:eastAsia="zh-CN"/>
        </w:rPr>
        <w:t>16.79</w:t>
      </w:r>
      <w:r>
        <w:rPr>
          <w:rFonts w:ascii="仿宋" w:eastAsia="仿宋"/>
          <w:color w:val="000000"/>
          <w:sz w:val="32"/>
          <w:szCs w:val="32"/>
        </w:rPr>
        <w:t>%</w:t>
      </w:r>
      <w:r>
        <w:rPr>
          <w:rFonts w:hint="eastAsia" w:ascii="仿宋" w:eastAsia="仿宋"/>
          <w:color w:val="000000"/>
          <w:sz w:val="32"/>
          <w:szCs w:val="32"/>
        </w:rPr>
        <w:t>。具体情况如下：</w:t>
      </w:r>
    </w:p>
    <w:p>
      <w:pPr>
        <w:spacing w:line="600" w:lineRule="exact"/>
        <w:ind w:firstLine="640"/>
        <w:rPr>
          <w:rFonts w:hint="eastAsia" w:ascii="仿宋" w:eastAsia="仿宋"/>
          <w:color w:val="000000"/>
          <w:sz w:val="32"/>
          <w:szCs w:val="32"/>
          <w:lang w:eastAsia="zh-CN"/>
        </w:rPr>
      </w:pPr>
      <w:r>
        <w:rPr>
          <w:rFonts w:hint="eastAsia" w:ascii="仿宋" w:eastAsia="仿宋"/>
          <w:color w:val="000000"/>
          <w:sz w:val="32"/>
          <w:szCs w:val="32"/>
        </w:rPr>
        <w:t>（图7：“三公”经费财政拨款支出结构）（饼状图</w:t>
      </w:r>
      <w:r>
        <w:rPr>
          <w:rFonts w:hint="eastAsia" w:asci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eastAsia="仿宋"/>
          <w:color w:val="000000"/>
          <w:sz w:val="32"/>
          <w:szCs w:val="32"/>
        </w:rPr>
      </w:pPr>
      <w:r>
        <w:drawing>
          <wp:inline distT="0" distB="0" distL="114300" distR="114300">
            <wp:extent cx="4572000" cy="3343275"/>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left="0" w:firstLine="643" w:firstLineChars="200"/>
        <w:rPr>
          <w:rFonts w:hint="eastAsia" w:ascii="仿宋_GB2312" w:eastAsia="仿宋_GB2312"/>
          <w:color w:val="000000"/>
          <w:sz w:val="32"/>
          <w:szCs w:val="32"/>
          <w:lang w:eastAsia="zh-CN"/>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59.13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年中追加</w:t>
      </w:r>
      <w:r>
        <w:rPr>
          <w:rFonts w:hint="eastAsia" w:ascii="仿宋_GB2312" w:eastAsia="仿宋_GB2312"/>
          <w:color w:val="000000"/>
          <w:sz w:val="32"/>
          <w:szCs w:val="32"/>
          <w:lang w:val="en-US" w:eastAsia="zh-CN"/>
        </w:rPr>
        <w:t>6万元，</w:t>
      </w:r>
      <w:r>
        <w:rPr>
          <w:rStyle w:val="14"/>
          <w:rFonts w:hint="eastAsia" w:ascii="仿宋" w:eastAsia="仿宋"/>
          <w:b w:val="0"/>
          <w:bCs/>
          <w:color w:val="000000"/>
          <w:sz w:val="32"/>
          <w:szCs w:val="32"/>
        </w:rPr>
        <w:t>完成预算</w:t>
      </w:r>
      <w:r>
        <w:rPr>
          <w:rStyle w:val="14"/>
          <w:rFonts w:hint="eastAsia" w:ascii="仿宋" w:eastAsia="仿宋"/>
          <w:b w:val="0"/>
          <w:bCs/>
          <w:color w:val="000000"/>
          <w:sz w:val="32"/>
          <w:szCs w:val="32"/>
          <w:lang w:val="en-US" w:eastAsia="zh-CN"/>
        </w:rPr>
        <w:t>100</w:t>
      </w:r>
      <w:r>
        <w:rPr>
          <w:rStyle w:val="14"/>
          <w:rFonts w:ascii="仿宋" w:eastAsia="仿宋"/>
          <w:b w:val="0"/>
          <w:bCs/>
          <w:color w:val="000000"/>
          <w:sz w:val="32"/>
          <w:szCs w:val="32"/>
        </w:rPr>
        <w:t>%</w:t>
      </w:r>
      <w:r>
        <w:rPr>
          <w:rStyle w:val="14"/>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3.71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6.69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年中追加经费列支。</w:t>
      </w:r>
    </w:p>
    <w:p>
      <w:pPr>
        <w:spacing w:line="600" w:lineRule="exact"/>
        <w:ind w:left="0" w:firstLine="643" w:firstLineChars="200"/>
        <w:rPr>
          <w:rFonts w:ascii="仿宋_GB2312" w:eastAsia="仿宋_GB2312"/>
          <w:color w:val="000000"/>
          <w:sz w:val="32"/>
          <w:szCs w:val="32"/>
          <w:lang w:val="en-US" w:eastAsia="zh-CN"/>
        </w:rPr>
      </w:pPr>
      <w:r>
        <w:rPr>
          <w:rFonts w:eastAsia="仿宋_GB2312"/>
          <w:b/>
          <w:snapToGrid w:val="0"/>
          <w:color w:val="000000"/>
          <w:kern w:val="0"/>
          <w:sz w:val="32"/>
          <w:szCs w:val="32"/>
        </w:rPr>
        <w:t>其中：公务用车购置支出0万元。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辆，其中：</w:t>
      </w:r>
      <w:r>
        <w:rPr>
          <w:rFonts w:hint="eastAsia" w:ascii="仿宋_GB2312" w:eastAsia="仿宋_GB2312"/>
          <w:color w:val="000000"/>
          <w:sz w:val="32"/>
          <w:szCs w:val="32"/>
          <w:highlight w:val="none"/>
          <w:lang w:eastAsia="zh-CN"/>
        </w:rPr>
        <w:t>副部（省）级及以上领导用车</w:t>
      </w:r>
      <w:r>
        <w:rPr>
          <w:rFonts w:hint="eastAsia" w:ascii="仿宋_GB2312" w:eastAsia="仿宋_GB2312"/>
          <w:color w:val="000000"/>
          <w:sz w:val="32"/>
          <w:szCs w:val="32"/>
          <w:highlight w:val="none"/>
          <w:lang w:val="en-US" w:eastAsia="zh-CN"/>
        </w:rPr>
        <w:t>1辆，</w:t>
      </w:r>
      <w:r>
        <w:rPr>
          <w:rFonts w:hint="eastAsia" w:ascii="仿宋_GB2312" w:eastAsia="仿宋_GB2312"/>
          <w:color w:val="000000"/>
          <w:sz w:val="32"/>
          <w:szCs w:val="32"/>
          <w:highlight w:val="none"/>
        </w:rPr>
        <w:t>主要领导干部用车</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辆、</w:t>
      </w:r>
      <w:r>
        <w:rPr>
          <w:rFonts w:hint="eastAsia" w:ascii="仿宋_GB2312" w:eastAsia="仿宋_GB2312"/>
          <w:color w:val="000000"/>
          <w:sz w:val="32"/>
          <w:szCs w:val="32"/>
        </w:rPr>
        <w:t>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辆、 </w:t>
      </w:r>
      <w:r>
        <w:rPr>
          <w:rFonts w:hint="eastAsia" w:ascii="仿宋_GB2312" w:eastAsia="仿宋_GB2312"/>
          <w:color w:val="000000"/>
          <w:sz w:val="32"/>
          <w:szCs w:val="32"/>
          <w:lang w:eastAsia="zh-CN"/>
        </w:rPr>
        <w:t>离退休干部</w:t>
      </w:r>
      <w:r>
        <w:rPr>
          <w:rFonts w:hint="eastAsia" w:ascii="仿宋_GB2312" w:eastAsia="仿宋_GB2312"/>
          <w:color w:val="000000"/>
          <w:sz w:val="32"/>
          <w:szCs w:val="32"/>
        </w:rPr>
        <w:t>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12辆。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59.13</w:t>
      </w:r>
      <w:r>
        <w:rPr>
          <w:rFonts w:hint="eastAsia" w:ascii="仿宋_GB2312" w:eastAsia="仿宋_GB2312"/>
          <w:color w:val="000000"/>
          <w:sz w:val="32"/>
          <w:szCs w:val="32"/>
        </w:rPr>
        <w:t>万元。主要用于参加抢险救灾、处置突发事件，参加重要会议活动，办理涉及保密、机要通信等公务，前往基层开展重要调研，执行重要公务接待任务等所需的公务用车燃料费、维修保养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lang w:val="en-US" w:eastAsia="zh-CN"/>
        </w:rPr>
        <w:t>2</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11.93</w:t>
      </w:r>
      <w:r>
        <w:rPr>
          <w:rFonts w:hint="eastAsia" w:ascii="仿宋_GB2312" w:eastAsia="仿宋_GB2312"/>
          <w:color w:val="000000"/>
          <w:sz w:val="32"/>
          <w:szCs w:val="32"/>
        </w:rPr>
        <w:t>万元，</w:t>
      </w:r>
      <w:r>
        <w:rPr>
          <w:rStyle w:val="14"/>
          <w:rFonts w:hint="eastAsia" w:ascii="仿宋" w:eastAsia="仿宋"/>
          <w:b w:val="0"/>
          <w:bCs/>
          <w:color w:val="000000"/>
          <w:sz w:val="32"/>
          <w:szCs w:val="32"/>
        </w:rPr>
        <w:t>完成预算</w:t>
      </w:r>
      <w:r>
        <w:rPr>
          <w:rStyle w:val="14"/>
          <w:rFonts w:hint="eastAsia" w:ascii="仿宋" w:eastAsia="仿宋"/>
          <w:b w:val="0"/>
          <w:bCs/>
          <w:color w:val="000000"/>
          <w:sz w:val="32"/>
          <w:szCs w:val="32"/>
          <w:lang w:val="en-US" w:eastAsia="zh-CN"/>
        </w:rPr>
        <w:t>15.5</w:t>
      </w:r>
      <w:r>
        <w:rPr>
          <w:rStyle w:val="14"/>
          <w:rFonts w:ascii="仿宋" w:eastAsia="仿宋"/>
          <w:b w:val="0"/>
          <w:bCs/>
          <w:color w:val="000000"/>
          <w:sz w:val="32"/>
          <w:szCs w:val="32"/>
        </w:rPr>
        <w:t>%</w:t>
      </w:r>
      <w:r>
        <w:rPr>
          <w:rStyle w:val="14"/>
          <w:rFonts w:hint="eastAsia" w:ascii="仿宋" w:eastAsia="仿宋"/>
          <w:b w:val="0"/>
          <w:bCs/>
          <w:color w:val="000000"/>
          <w:sz w:val="32"/>
          <w:szCs w:val="32"/>
          <w:lang w:eastAsia="zh-CN"/>
        </w:rPr>
        <w:t>，全部为国内公务接待费。</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40.78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77.37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2020年受疫情影响，减少公务接待人次。</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lang w:val="en-US" w:eastAsia="zh-CN"/>
        </w:rPr>
        <w:t>11.93</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主要用于接待考察调研、执行公务、学习交流、检查指导等产生的交通费、住宿费、用餐费等。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44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259</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11.93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ind w:firstLine="643" w:firstLineChars="200"/>
        <w:rPr>
          <w:rFonts w:hint="eastAsia" w:ascii="黑体" w:eastAsia="黑体"/>
          <w:color w:val="000000"/>
          <w:sz w:val="32"/>
          <w:szCs w:val="32"/>
        </w:rPr>
      </w:pPr>
      <w:r>
        <w:rPr>
          <w:rFonts w:hint="eastAsia" w:ascii="仿宋" w:eastAsia="仿宋"/>
          <w:b/>
          <w:color w:val="000000"/>
          <w:sz w:val="32"/>
          <w:szCs w:val="32"/>
          <w:shd w:val="clear" w:color="auto" w:fill="auto"/>
          <w:lang w:eastAsia="zh-CN"/>
        </w:rPr>
        <w:t>无</w:t>
      </w:r>
      <w:r>
        <w:rPr>
          <w:rFonts w:hint="eastAsia" w:ascii="仿宋" w:eastAsia="仿宋"/>
          <w:b/>
          <w:color w:val="000000"/>
          <w:sz w:val="32"/>
          <w:szCs w:val="32"/>
          <w:shd w:val="clear" w:color="auto" w:fill="auto"/>
        </w:rPr>
        <w:t>外事接待支出</w:t>
      </w:r>
      <w:bookmarkStart w:id="44" w:name="_Toc15377218"/>
      <w:bookmarkStart w:id="45" w:name="_Toc15396610"/>
      <w:r>
        <w:rPr>
          <w:rFonts w:hint="eastAsia" w:ascii="仿宋_GB2312" w:eastAsia="仿宋_GB2312"/>
          <w:color w:val="000000"/>
          <w:sz w:val="32"/>
          <w:szCs w:val="32"/>
          <w:shd w:val="clear" w:color="auto" w:fill="auto"/>
        </w:rPr>
        <w:t>。</w:t>
      </w:r>
    </w:p>
    <w:p>
      <w:pPr>
        <w:spacing w:line="600" w:lineRule="exact"/>
        <w:ind w:firstLine="640"/>
        <w:outlineLvl w:val="1"/>
        <w:rPr>
          <w:rStyle w:val="17"/>
          <w:rFonts w:ascii="黑体" w:eastAsia="黑体"/>
        </w:rPr>
      </w:pPr>
      <w:r>
        <w:rPr>
          <w:rFonts w:hint="eastAsia" w:ascii="黑体" w:eastAsia="黑体"/>
          <w:color w:val="000000"/>
          <w:sz w:val="32"/>
          <w:szCs w:val="32"/>
        </w:rPr>
        <w:t>八、</w:t>
      </w:r>
      <w:r>
        <w:rPr>
          <w:rStyle w:val="17"/>
          <w:rFonts w:hint="eastAsia" w:ascii="黑体" w:eastAsia="黑体"/>
          <w:b w:val="0"/>
        </w:rPr>
        <w:t>政府性基金预算支出决算情况说明</w:t>
      </w:r>
      <w:bookmarkEnd w:id="44"/>
      <w:bookmarkEnd w:id="45"/>
    </w:p>
    <w:p>
      <w:pPr>
        <w:spacing w:line="600" w:lineRule="exact"/>
        <w:ind w:firstLine="640"/>
        <w:rPr>
          <w:rFonts w:ascii="仿宋_GB2312" w:eastAsia="仿宋_GB2312"/>
          <w:color w:val="auto"/>
          <w:sz w:val="32"/>
          <w:szCs w:val="32"/>
          <w:lang w:val="en-US" w:eastAsia="zh-CN"/>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eastAsia="zh-CN"/>
        </w:rPr>
        <w:t>省委宣传部</w:t>
      </w:r>
      <w:r>
        <w:rPr>
          <w:rFonts w:hint="eastAsia" w:ascii="仿宋_GB2312" w:eastAsia="仿宋_GB2312"/>
          <w:color w:val="auto"/>
          <w:sz w:val="32"/>
          <w:szCs w:val="32"/>
        </w:rPr>
        <w:t>政府性基金预算拨款支出</w:t>
      </w:r>
      <w:r>
        <w:rPr>
          <w:rFonts w:hint="eastAsia" w:ascii="仿宋_GB2312" w:eastAsia="仿宋_GB2312"/>
          <w:color w:val="auto"/>
          <w:sz w:val="32"/>
          <w:szCs w:val="32"/>
          <w:lang w:val="en-US" w:eastAsia="zh-CN"/>
        </w:rPr>
        <w:t>853.95万元。</w:t>
      </w:r>
    </w:p>
    <w:p>
      <w:pPr>
        <w:numPr>
          <w:ilvl w:val="0"/>
          <w:numId w:val="3"/>
        </w:numPr>
        <w:spacing w:line="600" w:lineRule="exact"/>
        <w:ind w:left="0" w:firstLine="640"/>
        <w:outlineLvl w:val="1"/>
        <w:rPr>
          <w:rStyle w:val="17"/>
          <w:rFonts w:ascii="黑体" w:eastAsia="黑体"/>
          <w:b w:val="0"/>
        </w:rPr>
      </w:pPr>
      <w:bookmarkStart w:id="46" w:name="_Toc15396611"/>
      <w:bookmarkStart w:id="47" w:name="_Toc15377219"/>
      <w:r>
        <w:rPr>
          <w:rStyle w:val="17"/>
          <w:rFonts w:hint="eastAsia" w:ascii="黑体" w:eastAsia="黑体"/>
          <w:b w:val="0"/>
        </w:rPr>
        <w:t>国有资本经营预算支出决算情况说明</w:t>
      </w:r>
      <w:bookmarkEnd w:id="46"/>
      <w:bookmarkEnd w:id="47"/>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省委宣传部无</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eastAsia="zh-CN"/>
        </w:rPr>
        <w:t>。</w:t>
      </w:r>
    </w:p>
    <w:p>
      <w:pPr>
        <w:spacing w:line="600" w:lineRule="exact"/>
        <w:ind w:firstLine="800" w:firstLineChars="250"/>
        <w:outlineLvl w:val="1"/>
        <w:rPr>
          <w:rStyle w:val="17"/>
          <w:rFonts w:ascii="黑体" w:eastAsia="黑体"/>
        </w:rPr>
      </w:pPr>
      <w:bookmarkStart w:id="48" w:name="_Toc15396612"/>
      <w:bookmarkStart w:id="49" w:name="_Toc15377221"/>
      <w:r>
        <w:rPr>
          <w:rFonts w:hint="eastAsia" w:ascii="黑体" w:eastAsia="黑体"/>
          <w:color w:val="000000"/>
          <w:sz w:val="32"/>
          <w:szCs w:val="32"/>
        </w:rPr>
        <w:t>十</w:t>
      </w:r>
      <w:r>
        <w:rPr>
          <w:rStyle w:val="17"/>
          <w:rFonts w:hint="eastAsia" w:ascii="黑体" w:eastAsia="黑体"/>
        </w:rPr>
        <w:t>、</w:t>
      </w:r>
      <w:r>
        <w:rPr>
          <w:rStyle w:val="17"/>
          <w:rFonts w:hint="eastAsia" w:asci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auto"/>
          <w:sz w:val="32"/>
          <w:szCs w:val="32"/>
          <w:highlight w:val="none"/>
        </w:rPr>
      </w:pPr>
      <w:bookmarkStart w:id="50" w:name="_Toc15377222"/>
      <w:bookmarkStart w:id="51" w:name="_Toc15377223"/>
      <w:r>
        <w:rPr>
          <w:rFonts w:hint="eastAsia" w:ascii="仿宋" w:hAnsi="仿宋" w:eastAsia="仿宋"/>
          <w:b/>
          <w:color w:val="auto"/>
          <w:sz w:val="32"/>
          <w:szCs w:val="32"/>
          <w:highlight w:val="none"/>
        </w:rPr>
        <w:t>（一）机关运行经费支出情况</w:t>
      </w:r>
      <w:bookmarkEnd w:id="50"/>
    </w:p>
    <w:p>
      <w:pPr>
        <w:spacing w:line="600" w:lineRule="exact"/>
        <w:ind w:firstLine="640" w:firstLineChars="200"/>
        <w:rPr>
          <w:rFonts w:hint="eastAsia" w:ascii="仿宋" w:eastAsia="仿宋"/>
          <w:b/>
          <w:color w:val="000000"/>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省委宣传部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1679.14</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211.08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11.17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受疫情影响减少会议费、差旅费、培训费等支出。</w:t>
      </w:r>
    </w:p>
    <w:p>
      <w:pPr>
        <w:autoSpaceDE w:val="0"/>
        <w:autoSpaceDN w:val="0"/>
        <w:adjustRightInd w:val="0"/>
        <w:spacing w:line="600" w:lineRule="exact"/>
        <w:ind w:firstLine="643" w:firstLineChars="200"/>
        <w:jc w:val="left"/>
        <w:outlineLvl w:val="2"/>
        <w:rPr>
          <w:rFonts w:ascii="仿宋" w:eastAsia="仿宋"/>
          <w:b/>
          <w:color w:val="000000"/>
          <w:sz w:val="32"/>
          <w:szCs w:val="32"/>
        </w:rPr>
      </w:pPr>
      <w:r>
        <w:rPr>
          <w:rFonts w:hint="eastAsia" w:ascii="仿宋" w:eastAsia="仿宋"/>
          <w:b/>
          <w:color w:val="000000"/>
          <w:sz w:val="32"/>
          <w:szCs w:val="32"/>
        </w:rPr>
        <w:t>（</w:t>
      </w:r>
      <w:r>
        <w:rPr>
          <w:rFonts w:hint="eastAsia" w:ascii="仿宋" w:eastAsia="仿宋"/>
          <w:b/>
          <w:color w:val="000000"/>
          <w:sz w:val="32"/>
          <w:szCs w:val="32"/>
          <w:lang w:eastAsia="zh-CN"/>
        </w:rPr>
        <w:t>二</w:t>
      </w:r>
      <w:r>
        <w:rPr>
          <w:rFonts w:hint="eastAsia" w:ascii="仿宋" w:eastAsia="仿宋"/>
          <w:b/>
          <w:color w:val="000000"/>
          <w:sz w:val="32"/>
          <w:szCs w:val="32"/>
        </w:rPr>
        <w:t>）政府采购支出情况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省委宣传部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4183.23</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1456.34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179.18</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2547.71</w:t>
      </w:r>
      <w:r>
        <w:rPr>
          <w:rFonts w:hint="eastAsia" w:ascii="仿宋_GB2312" w:eastAsia="仿宋_GB2312"/>
          <w:color w:val="000000"/>
          <w:sz w:val="32"/>
          <w:szCs w:val="32"/>
        </w:rPr>
        <w:t>万元。主要用于</w:t>
      </w:r>
      <w:r>
        <w:rPr>
          <w:rFonts w:hint="eastAsia" w:ascii="仿宋_GB2312" w:eastAsia="仿宋_GB2312"/>
          <w:color w:val="auto"/>
          <w:sz w:val="32"/>
          <w:szCs w:val="32"/>
          <w:highlight w:val="none"/>
          <w:lang w:eastAsia="zh-CN"/>
        </w:rPr>
        <w:t>主题外宣活动、</w:t>
      </w:r>
      <w:r>
        <w:rPr>
          <w:rFonts w:hint="eastAsia" w:ascii="仿宋_GB2312" w:eastAsia="仿宋_GB2312"/>
          <w:color w:val="auto"/>
          <w:sz w:val="32"/>
          <w:szCs w:val="32"/>
          <w:lang w:eastAsia="zh-CN"/>
        </w:rPr>
        <w:t>公益电影放映、多媒体教学平台等项目采购</w:t>
      </w:r>
      <w:r>
        <w:rPr>
          <w:rFonts w:hint="eastAsia" w:ascii="仿宋_GB2312" w:eastAsia="仿宋_GB2312"/>
          <w:color w:val="auto"/>
          <w:sz w:val="32"/>
          <w:szCs w:val="32"/>
        </w:rPr>
        <w:t>。授予中小企业合同金额</w:t>
      </w:r>
      <w:r>
        <w:rPr>
          <w:rFonts w:hint="eastAsia" w:ascii="仿宋_GB2312" w:eastAsia="仿宋_GB2312"/>
          <w:color w:val="auto"/>
          <w:sz w:val="32"/>
          <w:szCs w:val="32"/>
          <w:lang w:val="en-US" w:eastAsia="zh-CN"/>
        </w:rPr>
        <w:t>188.4</w:t>
      </w:r>
      <w:r>
        <w:rPr>
          <w:rFonts w:hint="eastAsia" w:ascii="仿宋_GB2312" w:eastAsia="仿宋_GB2312"/>
          <w:color w:val="auto"/>
          <w:sz w:val="32"/>
          <w:szCs w:val="32"/>
        </w:rPr>
        <w:t>万元，占政府采购支出</w:t>
      </w:r>
      <w:r>
        <w:rPr>
          <w:rFonts w:hint="eastAsia" w:ascii="仿宋_GB2312" w:eastAsia="仿宋_GB2312"/>
          <w:color w:val="000000"/>
          <w:sz w:val="32"/>
          <w:szCs w:val="32"/>
        </w:rPr>
        <w:t>总额的</w:t>
      </w:r>
      <w:r>
        <w:rPr>
          <w:rFonts w:hint="eastAsia" w:ascii="仿宋_GB2312" w:eastAsia="仿宋_GB2312"/>
          <w:color w:val="000000"/>
          <w:sz w:val="32"/>
          <w:szCs w:val="32"/>
          <w:lang w:val="en-US" w:eastAsia="zh-CN"/>
        </w:rPr>
        <w:t>4.5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授予小微企业合同金额。</w:t>
      </w:r>
    </w:p>
    <w:p>
      <w:pPr>
        <w:autoSpaceDE w:val="0"/>
        <w:autoSpaceDN w:val="0"/>
        <w:adjustRightInd w:val="0"/>
        <w:spacing w:line="600" w:lineRule="exact"/>
        <w:ind w:firstLine="643" w:firstLineChars="200"/>
        <w:jc w:val="left"/>
        <w:outlineLvl w:val="2"/>
        <w:rPr>
          <w:rFonts w:ascii="仿宋" w:eastAsia="仿宋"/>
          <w:b/>
          <w:color w:val="000000"/>
          <w:sz w:val="32"/>
          <w:szCs w:val="32"/>
        </w:rPr>
      </w:pPr>
      <w:bookmarkStart w:id="52" w:name="_Toc15377224"/>
      <w:r>
        <w:rPr>
          <w:rFonts w:hint="eastAsia" w:ascii="仿宋" w:eastAsia="仿宋"/>
          <w:b/>
          <w:color w:val="000000"/>
          <w:sz w:val="32"/>
          <w:szCs w:val="32"/>
        </w:rPr>
        <w:t>（</w:t>
      </w:r>
      <w:r>
        <w:rPr>
          <w:rFonts w:hint="eastAsia" w:ascii="仿宋" w:eastAsia="仿宋"/>
          <w:b/>
          <w:color w:val="000000"/>
          <w:sz w:val="32"/>
          <w:szCs w:val="32"/>
          <w:lang w:eastAsia="zh-CN"/>
        </w:rPr>
        <w:t>三</w:t>
      </w:r>
      <w:r>
        <w:rPr>
          <w:rFonts w:hint="eastAsia" w:ascii="仿宋" w:eastAsia="仿宋"/>
          <w:b/>
          <w:color w:val="000000"/>
          <w:sz w:val="32"/>
          <w:szCs w:val="32"/>
        </w:rPr>
        <w:t>）国有资产占有使用情况</w:t>
      </w:r>
      <w:bookmarkEnd w:id="52"/>
    </w:p>
    <w:p>
      <w:pPr>
        <w:spacing w:line="600" w:lineRule="exact"/>
        <w:ind w:firstLine="640" w:firstLineChars="200"/>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辆，其中：</w:t>
      </w:r>
      <w:r>
        <w:rPr>
          <w:rFonts w:hint="eastAsia" w:ascii="仿宋_GB2312" w:eastAsia="仿宋_GB2312"/>
          <w:color w:val="000000"/>
          <w:sz w:val="32"/>
          <w:szCs w:val="32"/>
          <w:highlight w:val="none"/>
          <w:lang w:eastAsia="zh-CN"/>
        </w:rPr>
        <w:t>副部（省）级及以上领导用车</w:t>
      </w:r>
      <w:r>
        <w:rPr>
          <w:rFonts w:hint="eastAsia" w:ascii="仿宋_GB2312" w:eastAsia="仿宋_GB2312"/>
          <w:color w:val="000000"/>
          <w:sz w:val="32"/>
          <w:szCs w:val="32"/>
          <w:highlight w:val="none"/>
          <w:lang w:val="en-US" w:eastAsia="zh-CN"/>
        </w:rPr>
        <w:t>1辆，</w:t>
      </w:r>
      <w:r>
        <w:rPr>
          <w:rFonts w:hint="eastAsia" w:ascii="仿宋_GB2312" w:eastAsia="仿宋_GB2312"/>
          <w:color w:val="000000"/>
          <w:sz w:val="32"/>
          <w:szCs w:val="32"/>
          <w:highlight w:val="none"/>
        </w:rPr>
        <w:t>主要领导干部用车</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辆、</w:t>
      </w:r>
      <w:r>
        <w:rPr>
          <w:rFonts w:hint="eastAsia" w:ascii="仿宋_GB2312" w:eastAsia="仿宋_GB2312"/>
          <w:color w:val="000000"/>
          <w:sz w:val="32"/>
          <w:szCs w:val="32"/>
        </w:rPr>
        <w:t>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辆、 </w:t>
      </w:r>
      <w:r>
        <w:rPr>
          <w:rFonts w:hint="eastAsia" w:ascii="仿宋_GB2312" w:eastAsia="仿宋_GB2312"/>
          <w:color w:val="000000"/>
          <w:sz w:val="32"/>
          <w:szCs w:val="32"/>
          <w:lang w:eastAsia="zh-CN"/>
        </w:rPr>
        <w:t>离退休干部</w:t>
      </w:r>
      <w:r>
        <w:rPr>
          <w:rFonts w:hint="eastAsia" w:ascii="仿宋_GB2312" w:eastAsia="仿宋_GB2312"/>
          <w:color w:val="000000"/>
          <w:sz w:val="32"/>
          <w:szCs w:val="32"/>
        </w:rPr>
        <w:t>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12辆。</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工作需要工作派车。</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eastAsia="仿宋"/>
          <w:b/>
          <w:color w:val="auto"/>
          <w:sz w:val="32"/>
          <w:szCs w:val="32"/>
          <w:highlight w:val="none"/>
        </w:rPr>
      </w:pPr>
      <w:r>
        <w:rPr>
          <w:rFonts w:hint="eastAsia" w:ascii="仿宋" w:eastAsia="仿宋"/>
          <w:b/>
          <w:color w:val="auto"/>
          <w:sz w:val="32"/>
          <w:szCs w:val="32"/>
          <w:highlight w:val="none"/>
        </w:rPr>
        <w:t>（</w:t>
      </w:r>
      <w:r>
        <w:rPr>
          <w:rFonts w:hint="eastAsia" w:ascii="仿宋" w:eastAsia="仿宋"/>
          <w:b/>
          <w:color w:val="auto"/>
          <w:sz w:val="32"/>
          <w:szCs w:val="32"/>
          <w:highlight w:val="none"/>
          <w:lang w:eastAsia="zh-CN"/>
        </w:rPr>
        <w:t>四</w:t>
      </w:r>
      <w:r>
        <w:rPr>
          <w:rFonts w:hint="eastAsia" w:ascii="仿宋" w:eastAsia="仿宋"/>
          <w:b/>
          <w:color w:val="auto"/>
          <w:sz w:val="32"/>
          <w:szCs w:val="32"/>
          <w:highlight w:val="none"/>
        </w:rPr>
        <w:t>）预算绩效管理情况。</w:t>
      </w:r>
    </w:p>
    <w:p>
      <w:pPr>
        <w:overflowPunct w:val="0"/>
        <w:adjustRightInd w:val="0"/>
        <w:snapToGrid w:val="0"/>
        <w:spacing w:line="576" w:lineRule="exact"/>
        <w:ind w:firstLine="640" w:firstLineChars="200"/>
        <w:rPr>
          <w:rFonts w:eastAsia="仿宋_GB2312"/>
          <w:b w:val="0"/>
          <w:bCs/>
          <w:snapToGrid w:val="0"/>
          <w:color w:val="auto"/>
          <w:kern w:val="0"/>
          <w:sz w:val="32"/>
          <w:szCs w:val="32"/>
          <w:highlight w:val="none"/>
        </w:rPr>
      </w:pPr>
      <w:r>
        <w:rPr>
          <w:rFonts w:eastAsia="仿宋_GB2312"/>
          <w:b w:val="0"/>
          <w:bCs/>
          <w:snapToGrid w:val="0"/>
          <w:color w:val="auto"/>
          <w:kern w:val="0"/>
          <w:sz w:val="32"/>
          <w:szCs w:val="32"/>
          <w:highlight w:val="none"/>
        </w:rPr>
        <w:t>根据预算绩效管理要求，本部门（单位）在年初预算编制阶段，对</w:t>
      </w:r>
      <w:r>
        <w:rPr>
          <w:rFonts w:hint="eastAsia" w:eastAsia="仿宋_GB2312"/>
          <w:b w:val="0"/>
          <w:bCs/>
          <w:snapToGrid w:val="0"/>
          <w:color w:val="auto"/>
          <w:kern w:val="0"/>
          <w:sz w:val="32"/>
          <w:szCs w:val="32"/>
          <w:highlight w:val="none"/>
          <w:lang w:val="en-US" w:eastAsia="zh-CN"/>
        </w:rPr>
        <w:t>14</w:t>
      </w:r>
      <w:r>
        <w:rPr>
          <w:rFonts w:eastAsia="仿宋_GB2312"/>
          <w:b w:val="0"/>
          <w:bCs/>
          <w:snapToGrid w:val="0"/>
          <w:color w:val="auto"/>
          <w:kern w:val="0"/>
          <w:sz w:val="32"/>
          <w:szCs w:val="32"/>
          <w:highlight w:val="none"/>
        </w:rPr>
        <w:t>个项目（含子项目）编制了绩效目标，年终执行完毕后，对</w:t>
      </w:r>
      <w:r>
        <w:rPr>
          <w:rFonts w:hint="eastAsia" w:eastAsia="仿宋_GB2312"/>
          <w:b w:val="0"/>
          <w:bCs/>
          <w:snapToGrid w:val="0"/>
          <w:color w:val="auto"/>
          <w:kern w:val="0"/>
          <w:sz w:val="32"/>
          <w:szCs w:val="32"/>
          <w:highlight w:val="none"/>
          <w:lang w:val="en-US" w:eastAsia="zh-CN"/>
        </w:rPr>
        <w:t>14</w:t>
      </w:r>
      <w:r>
        <w:rPr>
          <w:rFonts w:eastAsia="仿宋_GB2312"/>
          <w:b w:val="0"/>
          <w:bCs/>
          <w:snapToGrid w:val="0"/>
          <w:color w:val="auto"/>
          <w:kern w:val="0"/>
          <w:sz w:val="32"/>
          <w:szCs w:val="32"/>
          <w:highlight w:val="none"/>
        </w:rPr>
        <w:t>个项目（含子项目）开展了绩效目标完成情况梳理填报。</w:t>
      </w:r>
    </w:p>
    <w:p>
      <w:pPr>
        <w:overflowPunct w:val="0"/>
        <w:adjustRightInd w:val="0"/>
        <w:snapToGrid w:val="0"/>
        <w:spacing w:line="576" w:lineRule="exact"/>
        <w:ind w:firstLine="640" w:firstLineChars="200"/>
        <w:rPr>
          <w:rFonts w:eastAsia="仿宋_GB2312"/>
          <w:b w:val="0"/>
          <w:bCs/>
          <w:snapToGrid w:val="0"/>
          <w:color w:val="000000"/>
          <w:kern w:val="0"/>
          <w:sz w:val="32"/>
          <w:szCs w:val="32"/>
        </w:rPr>
      </w:pPr>
      <w:r>
        <w:rPr>
          <w:rFonts w:eastAsia="仿宋_GB2312"/>
          <w:b w:val="0"/>
          <w:bCs/>
          <w:snapToGrid w:val="0"/>
          <w:color w:val="auto"/>
          <w:kern w:val="0"/>
          <w:sz w:val="32"/>
          <w:szCs w:val="32"/>
          <w:highlight w:val="none"/>
        </w:rPr>
        <w:t>按照预算绩效管理要求，本部门对20</w:t>
      </w:r>
      <w:r>
        <w:rPr>
          <w:rFonts w:hint="eastAsia" w:eastAsia="仿宋_GB2312"/>
          <w:b w:val="0"/>
          <w:bCs/>
          <w:snapToGrid w:val="0"/>
          <w:color w:val="auto"/>
          <w:kern w:val="0"/>
          <w:sz w:val="32"/>
          <w:szCs w:val="32"/>
          <w:highlight w:val="none"/>
          <w:lang w:val="en-US" w:eastAsia="zh-CN"/>
        </w:rPr>
        <w:t>20</w:t>
      </w:r>
      <w:r>
        <w:rPr>
          <w:rFonts w:eastAsia="仿宋_GB2312"/>
          <w:b w:val="0"/>
          <w:bCs/>
          <w:snapToGrid w:val="0"/>
          <w:color w:val="auto"/>
          <w:kern w:val="0"/>
          <w:sz w:val="32"/>
          <w:szCs w:val="32"/>
          <w:highlight w:val="none"/>
        </w:rPr>
        <w:t>年整体支出开展绩效自评，从评价情况来看，省委宣传部</w:t>
      </w:r>
      <w:r>
        <w:rPr>
          <w:rFonts w:eastAsia="仿宋_GB2312"/>
          <w:b w:val="0"/>
          <w:bCs/>
          <w:snapToGrid w:val="0"/>
          <w:color w:val="000000"/>
          <w:kern w:val="0"/>
          <w:sz w:val="32"/>
          <w:szCs w:val="32"/>
          <w:highlight w:val="none"/>
        </w:rPr>
        <w:t>严格遵守财经</w:t>
      </w:r>
      <w:r>
        <w:rPr>
          <w:rFonts w:eastAsia="仿宋_GB2312"/>
          <w:b w:val="0"/>
          <w:bCs/>
          <w:snapToGrid w:val="0"/>
          <w:color w:val="000000"/>
          <w:kern w:val="0"/>
          <w:sz w:val="32"/>
          <w:szCs w:val="32"/>
        </w:rPr>
        <w:t>纪律，严格执行中央八项规定和厉行节约反对浪费的要求，较好完成了20</w:t>
      </w:r>
      <w:r>
        <w:rPr>
          <w:rFonts w:hint="eastAsia" w:eastAsia="仿宋_GB2312"/>
          <w:b w:val="0"/>
          <w:bCs/>
          <w:snapToGrid w:val="0"/>
          <w:color w:val="000000"/>
          <w:kern w:val="0"/>
          <w:sz w:val="32"/>
          <w:szCs w:val="32"/>
          <w:lang w:val="en-US" w:eastAsia="zh-CN"/>
        </w:rPr>
        <w:t>20</w:t>
      </w:r>
      <w:r>
        <w:rPr>
          <w:rFonts w:eastAsia="仿宋_GB2312"/>
          <w:b w:val="0"/>
          <w:bCs/>
          <w:snapToGrid w:val="0"/>
          <w:color w:val="000000"/>
          <w:kern w:val="0"/>
          <w:sz w:val="32"/>
          <w:szCs w:val="32"/>
        </w:rPr>
        <w:t>年各项目标任务，保证了自身单位的运转和项目支出，同时也做好了全省宣传思想文化再上新台阶的工作；尤其是保障了重大主题宣传工作、意识形态领域工作、干部培训、其他专项任务工作和建设资金的供给，取得了很好的资金支出整体绩效。根据20</w:t>
      </w:r>
      <w:r>
        <w:rPr>
          <w:rFonts w:hint="eastAsia" w:eastAsia="仿宋_GB2312"/>
          <w:b w:val="0"/>
          <w:bCs/>
          <w:snapToGrid w:val="0"/>
          <w:color w:val="000000"/>
          <w:kern w:val="0"/>
          <w:sz w:val="32"/>
          <w:szCs w:val="32"/>
          <w:lang w:val="en-US" w:eastAsia="zh-CN"/>
        </w:rPr>
        <w:t>20</w:t>
      </w:r>
      <w:r>
        <w:rPr>
          <w:rFonts w:eastAsia="仿宋_GB2312"/>
          <w:b w:val="0"/>
          <w:bCs/>
          <w:snapToGrid w:val="0"/>
          <w:color w:val="000000"/>
          <w:kern w:val="0"/>
          <w:sz w:val="32"/>
          <w:szCs w:val="32"/>
        </w:rPr>
        <w:t>年省级部门整体预算绩效评价指标体系的计分标准，对20</w:t>
      </w:r>
      <w:r>
        <w:rPr>
          <w:rFonts w:hint="eastAsia" w:eastAsia="仿宋_GB2312"/>
          <w:b w:val="0"/>
          <w:bCs/>
          <w:snapToGrid w:val="0"/>
          <w:color w:val="000000"/>
          <w:kern w:val="0"/>
          <w:sz w:val="32"/>
          <w:szCs w:val="32"/>
          <w:lang w:val="en-US" w:eastAsia="zh-CN"/>
        </w:rPr>
        <w:t>20</w:t>
      </w:r>
      <w:r>
        <w:rPr>
          <w:rFonts w:eastAsia="仿宋_GB2312"/>
          <w:b w:val="0"/>
          <w:bCs/>
          <w:snapToGrid w:val="0"/>
          <w:color w:val="000000"/>
          <w:kern w:val="0"/>
          <w:sz w:val="32"/>
          <w:szCs w:val="32"/>
        </w:rPr>
        <w:t>年度财政资金使用绩效评价的自评总分为</w:t>
      </w:r>
      <w:r>
        <w:rPr>
          <w:rFonts w:hint="eastAsia" w:eastAsia="仿宋_GB2312"/>
          <w:b w:val="0"/>
          <w:bCs/>
          <w:snapToGrid w:val="0"/>
          <w:color w:val="000000"/>
          <w:kern w:val="0"/>
          <w:sz w:val="32"/>
          <w:szCs w:val="32"/>
          <w:highlight w:val="none"/>
          <w:lang w:val="en-US" w:eastAsia="zh-CN"/>
        </w:rPr>
        <w:t>86.18</w:t>
      </w:r>
      <w:r>
        <w:rPr>
          <w:rFonts w:eastAsia="仿宋_GB2312"/>
          <w:b w:val="0"/>
          <w:bCs/>
          <w:snapToGrid w:val="0"/>
          <w:color w:val="000000"/>
          <w:kern w:val="0"/>
          <w:sz w:val="32"/>
          <w:szCs w:val="32"/>
          <w:highlight w:val="none"/>
        </w:rPr>
        <w:t>分</w:t>
      </w:r>
      <w:r>
        <w:rPr>
          <w:rFonts w:hint="eastAsia" w:eastAsia="仿宋_GB2312"/>
          <w:b w:val="0"/>
          <w:bCs/>
          <w:snapToGrid w:val="0"/>
          <w:color w:val="000000"/>
          <w:kern w:val="0"/>
          <w:sz w:val="32"/>
          <w:szCs w:val="32"/>
          <w:highlight w:val="none"/>
          <w:lang w:eastAsia="zh-CN"/>
        </w:rPr>
        <w:t>（满分</w:t>
      </w:r>
      <w:r>
        <w:rPr>
          <w:rFonts w:hint="eastAsia" w:eastAsia="仿宋_GB2312"/>
          <w:b w:val="0"/>
          <w:bCs/>
          <w:snapToGrid w:val="0"/>
          <w:color w:val="000000"/>
          <w:kern w:val="0"/>
          <w:sz w:val="32"/>
          <w:szCs w:val="32"/>
          <w:highlight w:val="none"/>
          <w:lang w:val="en-US" w:eastAsia="zh-CN"/>
        </w:rPr>
        <w:t>90分</w:t>
      </w:r>
      <w:r>
        <w:rPr>
          <w:rFonts w:hint="eastAsia" w:eastAsia="仿宋_GB2312"/>
          <w:b w:val="0"/>
          <w:bCs/>
          <w:snapToGrid w:val="0"/>
          <w:color w:val="000000"/>
          <w:kern w:val="0"/>
          <w:sz w:val="32"/>
          <w:szCs w:val="32"/>
          <w:highlight w:val="none"/>
          <w:lang w:eastAsia="zh-CN"/>
        </w:rPr>
        <w:t>）</w:t>
      </w:r>
      <w:r>
        <w:rPr>
          <w:rFonts w:eastAsia="仿宋_GB2312"/>
          <w:b w:val="0"/>
          <w:bCs/>
          <w:snapToGrid w:val="0"/>
          <w:color w:val="000000"/>
          <w:kern w:val="0"/>
          <w:sz w:val="32"/>
          <w:szCs w:val="32"/>
        </w:rPr>
        <w:t>。</w:t>
      </w:r>
      <w:r>
        <w:rPr>
          <w:rFonts w:eastAsia="仿宋_GB2312"/>
          <w:b w:val="0"/>
          <w:bCs/>
          <w:snapToGrid w:val="0"/>
          <w:kern w:val="0"/>
          <w:sz w:val="32"/>
          <w:szCs w:val="32"/>
        </w:rPr>
        <w:t>本部门还自行组织了</w:t>
      </w:r>
      <w:r>
        <w:rPr>
          <w:rFonts w:hint="eastAsia" w:eastAsia="仿宋_GB2312"/>
          <w:b w:val="0"/>
          <w:bCs/>
          <w:snapToGrid w:val="0"/>
          <w:kern w:val="0"/>
          <w:sz w:val="32"/>
          <w:szCs w:val="32"/>
          <w:lang w:val="en-US" w:eastAsia="zh-CN"/>
        </w:rPr>
        <w:t>14</w:t>
      </w:r>
      <w:r>
        <w:rPr>
          <w:rFonts w:eastAsia="仿宋_GB2312"/>
          <w:b w:val="0"/>
          <w:bCs/>
          <w:snapToGrid w:val="0"/>
          <w:kern w:val="0"/>
          <w:sz w:val="32"/>
          <w:szCs w:val="32"/>
        </w:rPr>
        <w:t>个项目绩效评价，</w:t>
      </w:r>
      <w:r>
        <w:rPr>
          <w:rFonts w:eastAsia="仿宋_GB2312"/>
          <w:b w:val="0"/>
          <w:bCs/>
          <w:snapToGrid w:val="0"/>
          <w:color w:val="000000"/>
          <w:kern w:val="0"/>
          <w:sz w:val="32"/>
          <w:szCs w:val="32"/>
        </w:rPr>
        <w:t>从评价情况来看，其中，四川省文化产业发展专项资金的设立和安排使用，达到了促进全省文化产业发展、推动文化大发展大繁荣的目的和效果。20</w:t>
      </w:r>
      <w:r>
        <w:rPr>
          <w:rFonts w:hint="eastAsia" w:eastAsia="仿宋_GB2312"/>
          <w:b w:val="0"/>
          <w:bCs/>
          <w:snapToGrid w:val="0"/>
          <w:color w:val="000000"/>
          <w:kern w:val="0"/>
          <w:sz w:val="32"/>
          <w:szCs w:val="32"/>
          <w:lang w:val="en-US" w:eastAsia="zh-CN"/>
        </w:rPr>
        <w:t>20</w:t>
      </w:r>
      <w:r>
        <w:rPr>
          <w:rFonts w:eastAsia="仿宋_GB2312"/>
          <w:b w:val="0"/>
          <w:bCs/>
          <w:snapToGrid w:val="0"/>
          <w:color w:val="000000"/>
          <w:kern w:val="0"/>
          <w:sz w:val="32"/>
          <w:szCs w:val="32"/>
        </w:rPr>
        <w:t>年度四川省文化产业发展专项资金项目规范使用资金，接受专项资金补助的项目单位严格按项目进度核算，建立了项目预算和决算制度，项目的经济效益和社会效益初见成效，财政资金的放大功能和杠杆效益逐步显现。</w:t>
      </w:r>
    </w:p>
    <w:p>
      <w:pPr>
        <w:overflowPunct w:val="0"/>
        <w:adjustRightInd w:val="0"/>
        <w:snapToGrid w:val="0"/>
        <w:spacing w:line="576" w:lineRule="exact"/>
        <w:ind w:firstLine="640" w:firstLineChars="200"/>
        <w:rPr>
          <w:rFonts w:eastAsia="楷体_GB2312"/>
          <w:b w:val="0"/>
          <w:bCs/>
          <w:snapToGrid w:val="0"/>
          <w:kern w:val="0"/>
          <w:sz w:val="32"/>
          <w:szCs w:val="32"/>
        </w:rPr>
      </w:pPr>
      <w:r>
        <w:rPr>
          <w:rFonts w:eastAsia="楷体_GB2312"/>
          <w:b w:val="0"/>
          <w:bCs/>
          <w:snapToGrid w:val="0"/>
          <w:kern w:val="0"/>
          <w:sz w:val="32"/>
          <w:szCs w:val="32"/>
        </w:rPr>
        <w:t>（</w:t>
      </w:r>
      <w:r>
        <w:rPr>
          <w:rFonts w:hint="eastAsia" w:eastAsia="楷体_GB2312"/>
          <w:b w:val="0"/>
          <w:bCs/>
          <w:snapToGrid w:val="0"/>
          <w:kern w:val="0"/>
          <w:sz w:val="32"/>
          <w:szCs w:val="32"/>
          <w:lang w:val="en-US" w:eastAsia="zh-CN"/>
        </w:rPr>
        <w:t>1</w:t>
      </w:r>
      <w:r>
        <w:rPr>
          <w:rFonts w:eastAsia="楷体_GB2312"/>
          <w:b w:val="0"/>
          <w:bCs/>
          <w:snapToGrid w:val="0"/>
          <w:kern w:val="0"/>
          <w:sz w:val="32"/>
          <w:szCs w:val="32"/>
        </w:rPr>
        <w:t>）项目绩效目标完成情况。</w:t>
      </w:r>
    </w:p>
    <w:p>
      <w:pPr>
        <w:overflowPunct w:val="0"/>
        <w:adjustRightInd w:val="0"/>
        <w:snapToGrid w:val="0"/>
        <w:spacing w:line="576"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本部门在20</w:t>
      </w:r>
      <w:r>
        <w:rPr>
          <w:rFonts w:hint="eastAsia" w:eastAsia="仿宋_GB2312"/>
          <w:b w:val="0"/>
          <w:bCs/>
          <w:snapToGrid w:val="0"/>
          <w:kern w:val="0"/>
          <w:sz w:val="32"/>
          <w:szCs w:val="32"/>
          <w:lang w:val="en-US" w:eastAsia="zh-CN"/>
        </w:rPr>
        <w:t>20</w:t>
      </w:r>
      <w:r>
        <w:rPr>
          <w:rFonts w:eastAsia="仿宋_GB2312"/>
          <w:b w:val="0"/>
          <w:bCs/>
          <w:snapToGrid w:val="0"/>
          <w:kern w:val="0"/>
          <w:sz w:val="32"/>
          <w:szCs w:val="32"/>
        </w:rPr>
        <w:t>年度部门决算中“重大活动宣传经费”、“招生、录取及就业经费”等</w:t>
      </w:r>
      <w:r>
        <w:rPr>
          <w:rFonts w:hint="eastAsia" w:eastAsia="仿宋_GB2312"/>
          <w:b w:val="0"/>
          <w:bCs/>
          <w:snapToGrid w:val="0"/>
          <w:kern w:val="0"/>
          <w:sz w:val="32"/>
          <w:szCs w:val="32"/>
          <w:lang w:val="en-US" w:eastAsia="zh-CN"/>
        </w:rPr>
        <w:t>14</w:t>
      </w:r>
      <w:r>
        <w:rPr>
          <w:rFonts w:eastAsia="仿宋_GB2312"/>
          <w:b w:val="0"/>
          <w:bCs/>
          <w:snapToGrid w:val="0"/>
          <w:kern w:val="0"/>
          <w:sz w:val="32"/>
          <w:szCs w:val="32"/>
        </w:rPr>
        <w:t>个项目（含子项目）绩效目标实际完成情况。</w:t>
      </w:r>
    </w:p>
    <w:p>
      <w:pPr>
        <w:numPr>
          <w:ilvl w:val="0"/>
          <w:numId w:val="4"/>
        </w:numPr>
        <w:overflowPunct w:val="0"/>
        <w:adjustRightInd w:val="0"/>
        <w:snapToGrid w:val="0"/>
        <w:spacing w:line="580" w:lineRule="exact"/>
        <w:ind w:left="0" w:firstLine="640" w:firstLineChars="200"/>
        <w:rPr>
          <w:rFonts w:hint="eastAsia" w:eastAsia="仿宋_GB2312"/>
          <w:b w:val="0"/>
          <w:bCs/>
          <w:snapToGrid w:val="0"/>
          <w:kern w:val="0"/>
          <w:sz w:val="32"/>
          <w:szCs w:val="32"/>
          <w:highlight w:val="none"/>
          <w:lang w:val="en-US" w:eastAsia="zh-CN"/>
        </w:rPr>
      </w:pP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重大理论、宣传、出版、文化及融媒体建设等活动经费</w:t>
      </w:r>
      <w:r>
        <w:rPr>
          <w:rFonts w:eastAsia="仿宋_GB2312"/>
          <w:b w:val="0"/>
          <w:bCs/>
          <w:snapToGrid w:val="0"/>
          <w:kern w:val="0"/>
          <w:sz w:val="32"/>
          <w:szCs w:val="32"/>
          <w:highlight w:val="none"/>
        </w:rPr>
        <w:t>”项目绩效目标完成情况综述。项目全年预算数</w:t>
      </w:r>
      <w:r>
        <w:rPr>
          <w:rFonts w:hint="eastAsia" w:eastAsia="仿宋_GB2312"/>
          <w:b w:val="0"/>
          <w:bCs/>
          <w:snapToGrid w:val="0"/>
          <w:kern w:val="0"/>
          <w:sz w:val="32"/>
          <w:szCs w:val="32"/>
          <w:highlight w:val="none"/>
          <w:lang w:val="en-US" w:eastAsia="zh-CN"/>
        </w:rPr>
        <w:t>316.4</w:t>
      </w:r>
      <w:r>
        <w:rPr>
          <w:rFonts w:eastAsia="仿宋_GB2312"/>
          <w:b w:val="0"/>
          <w:bCs/>
          <w:snapToGrid w:val="0"/>
          <w:kern w:val="0"/>
          <w:sz w:val="32"/>
          <w:szCs w:val="32"/>
          <w:highlight w:val="none"/>
        </w:rPr>
        <w:t>万元，执行数为</w:t>
      </w:r>
      <w:r>
        <w:rPr>
          <w:rFonts w:hint="eastAsia" w:eastAsia="仿宋_GB2312"/>
          <w:b w:val="0"/>
          <w:bCs/>
          <w:snapToGrid w:val="0"/>
          <w:kern w:val="0"/>
          <w:sz w:val="32"/>
          <w:szCs w:val="32"/>
          <w:highlight w:val="none"/>
          <w:lang w:val="en-US" w:eastAsia="zh-CN"/>
        </w:rPr>
        <w:t>311.78</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98.54</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rPr>
        <w:t>认真贯彻中央和省委重大决策部署，全面落实全国、全省宣传部长会议精神，在决胜全面小康、决战脱贫攻坚中展现新作为，在抗击疫情和防汛救灾大战大考中焕发新气象，为夺取疫情防控和经济社会发展“双胜利”、推动治蜀兴川再上新台阶提供了坚强思想保证和强大精神力量。理论学习走深走实，理论宣讲创新开展，理论研究深入浅出；抗击疫情重大宣传卓有成效，脱贫奔康主题宣传浓墨重彩，经济社会成就宣传有声有色；社会主义核心价值观广泛弘扬，群众性精神文明创建成效显著，全社会崇德向善风尚日益浓厚；中华优秀传统文化创造性转化创新性发展迈出新步伐；文化精品创作生产和文化高质量发展扎实推进。</w:t>
      </w:r>
    </w:p>
    <w:tbl>
      <w:tblPr>
        <w:tblStyle w:val="12"/>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690"/>
        <w:gridCol w:w="1485"/>
        <w:gridCol w:w="960"/>
        <w:gridCol w:w="960"/>
        <w:gridCol w:w="234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9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32"/>
                <w:szCs w:val="32"/>
                <w:u w:val="none"/>
              </w:rPr>
            </w:pPr>
            <w:r>
              <w:rPr>
                <w:rFonts w:hint="eastAsia" w:ascii="宋体" w:eastAsia="宋体" w:cs="宋体"/>
                <w:b/>
                <w:bCs/>
                <w:i w:val="0"/>
                <w:iCs w:val="0"/>
                <w:color w:val="000000"/>
                <w:kern w:val="0"/>
                <w:sz w:val="32"/>
                <w:szCs w:val="32"/>
                <w:u w:val="none"/>
                <w:lang w:val="en-US" w:eastAsia="zh-CN"/>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9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项目名称</w:t>
            </w:r>
          </w:p>
        </w:tc>
        <w:tc>
          <w:tcPr>
            <w:tcW w:w="79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重大理论、宣传、出版、文化及融媒体建设等活动经费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主管部门及代码</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中共四川省委宣传部</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实施单位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中国共产党四川省委员会宣传部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项目预算</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执行情况</w:t>
            </w:r>
          </w:p>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（万元）</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预算数：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316.4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执行数：</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其中：财政拨款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316.4</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其中：财政拨款</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0.0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其他资金</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年</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度</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总</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体</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目</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标</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完</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成</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情</w:t>
            </w:r>
          </w:p>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况</w:t>
            </w:r>
          </w:p>
        </w:tc>
        <w:tc>
          <w:tcPr>
            <w:tcW w:w="40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预期目标</w:t>
            </w: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095" w:type="dxa"/>
            <w:gridSpan w:val="4"/>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学习宣传贯彻党的十九大和十九届二中、三中、四中全会精神，省委十一届三次、四次、五次全会精神，聚焦中央工作大局和省委中心工作，组织正面宣传，开展主题宣传、形势宣传、政策宣传等，巩固壮大主流舆论，重点做好脱贫攻坚、乡村振兴、县域经济发展、全面创新改革等重大主题宣传；组织热点引导和应急新闻报道工作，开展舆论监督；加强理论宣传阵地建设，加强理论研究；开展重点出版活动，推进振兴四川出版等；推动构建优秀传统文化传承发展体系；开展思想道德建设；开展主题教育活动等。</w:t>
            </w: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认真贯彻中央和省委重大决策部署，全面落实全国、全省宣传部长会议精神，在决胜全面小康、决战脱贫攻坚中展现新作为，在抗击疫情和防汛救灾大战大考中焕发新气象，为夺取疫情防控和经济社会发展“双胜利”、推动治蜀兴川再上新台阶提供了坚强思想保证和强大精神力量。理论学习走深走实，理论宣讲创新开展，理论研究深入浅出；抗击疫情重大宣传卓有成效，脱贫奔康主题宣传浓墨重彩，经济社会成就宣传有声有色；社会主义核心价值观广泛弘扬，群众性精神文明创建成效显著，全社会崇德向善风尚日益浓厚；中华优秀传统文化创造性转化创新性发展迈出新步伐；文化精品创作生产和文化高质量发展扎实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年度绩效指标完成情况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二级指标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三级指标</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预期指标值</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完</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成</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指</w:t>
            </w:r>
          </w:p>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数量指标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开展重大主题宣传活动、组织热点引导和应急新闻报道，开展舆论监督等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3</w:t>
            </w:r>
            <w:r>
              <w:rPr>
                <w:rFonts w:hint="eastAsia" w:ascii="宋体" w:eastAsia="宋体" w:cs="宋体"/>
                <w:i w:val="0"/>
                <w:iCs w:val="0"/>
                <w:color w:val="000000"/>
                <w:kern w:val="0"/>
                <w:sz w:val="20"/>
                <w:szCs w:val="20"/>
                <w:u w:val="none"/>
                <w:lang w:val="en-US" w:eastAsia="zh-CN"/>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抗击疫情重大宣传卓有成效，中央主要媒体聚焦打赢两场硬仗推出涉川报道</w:t>
            </w:r>
            <w:r>
              <w:rPr>
                <w:rFonts w:ascii="Arial" w:hAnsi="Arial" w:eastAsia="宋体" w:cs="Arial"/>
                <w:i w:val="0"/>
                <w:iCs w:val="0"/>
                <w:color w:val="000000"/>
                <w:kern w:val="0"/>
                <w:sz w:val="20"/>
                <w:szCs w:val="20"/>
                <w:u w:val="none"/>
                <w:lang w:val="en-US" w:eastAsia="zh-CN"/>
              </w:rPr>
              <w:t>1</w:t>
            </w:r>
            <w:r>
              <w:rPr>
                <w:rFonts w:hint="eastAsia" w:ascii="宋体" w:eastAsia="宋体" w:cs="宋体"/>
                <w:i w:val="0"/>
                <w:iCs w:val="0"/>
                <w:color w:val="000000"/>
                <w:kern w:val="0"/>
                <w:sz w:val="20"/>
                <w:szCs w:val="20"/>
                <w:u w:val="none"/>
                <w:lang w:val="en-US" w:eastAsia="zh-CN"/>
              </w:rPr>
              <w:t>万余篇（条），省直媒体推出报道</w:t>
            </w:r>
            <w:r>
              <w:rPr>
                <w:rFonts w:ascii="Arial" w:hAnsi="Arial" w:eastAsia="宋体" w:cs="Arial"/>
                <w:i w:val="0"/>
                <w:iCs w:val="0"/>
                <w:color w:val="000000"/>
                <w:kern w:val="0"/>
                <w:sz w:val="20"/>
                <w:szCs w:val="20"/>
                <w:u w:val="none"/>
                <w:lang w:val="en-US" w:eastAsia="zh-CN"/>
              </w:rPr>
              <w:t>40</w:t>
            </w:r>
            <w:r>
              <w:rPr>
                <w:rFonts w:hint="eastAsia" w:ascii="宋体" w:eastAsia="宋体" w:cs="宋体"/>
                <w:i w:val="0"/>
                <w:iCs w:val="0"/>
                <w:color w:val="000000"/>
                <w:kern w:val="0"/>
                <w:sz w:val="20"/>
                <w:szCs w:val="20"/>
                <w:u w:val="none"/>
                <w:lang w:val="en-US" w:eastAsia="zh-CN"/>
              </w:rPr>
              <w:t>余万篇（条）。精心组织</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决胜全面小康</w:t>
            </w:r>
            <w:r>
              <w:rPr>
                <w:rFonts w:ascii="Arial" w:hAnsi="Arial" w:eastAsia="宋体" w:cs="Arial"/>
                <w:i w:val="0"/>
                <w:iCs w:val="0"/>
                <w:color w:val="000000"/>
                <w:kern w:val="0"/>
                <w:sz w:val="20"/>
                <w:szCs w:val="20"/>
                <w:u w:val="none"/>
                <w:lang w:val="en-US" w:eastAsia="zh-CN"/>
              </w:rPr>
              <w:t xml:space="preserve"> </w:t>
            </w:r>
            <w:r>
              <w:rPr>
                <w:rFonts w:hint="eastAsia" w:ascii="宋体" w:eastAsia="宋体" w:cs="宋体"/>
                <w:i w:val="0"/>
                <w:iCs w:val="0"/>
                <w:color w:val="000000"/>
                <w:kern w:val="0"/>
                <w:sz w:val="20"/>
                <w:szCs w:val="20"/>
                <w:u w:val="none"/>
                <w:lang w:val="en-US" w:eastAsia="zh-CN"/>
              </w:rPr>
              <w:t>决战脱贫攻坚</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重大主题宣传。大力唱响经济光明论，深入解读扎实做好</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六稳</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工作、全面落实</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六保</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任务，充分报道我省重大部署，全面反映治蜀兴川新进展新成效。</w:t>
            </w:r>
            <w:r>
              <w:rPr>
                <w:rFonts w:ascii="Arial" w:hAnsi="Arial" w:eastAsia="宋体" w:cs="Arial"/>
                <w:i w:val="0"/>
                <w:iCs w:val="0"/>
                <w:color w:val="000000"/>
                <w:kern w:val="0"/>
                <w:sz w:val="20"/>
                <w:szCs w:val="20"/>
                <w:u w:val="none"/>
                <w:lang w:val="en-US" w:eastAsia="zh-CN"/>
              </w:rPr>
              <w:t>3</w:t>
            </w:r>
            <w:r>
              <w:rPr>
                <w:rFonts w:hint="eastAsia" w:ascii="宋体" w:eastAsia="宋体" w:cs="宋体"/>
                <w:i w:val="0"/>
                <w:iCs w:val="0"/>
                <w:color w:val="000000"/>
                <w:kern w:val="0"/>
                <w:sz w:val="20"/>
                <w:szCs w:val="20"/>
                <w:u w:val="none"/>
                <w:lang w:val="en-US" w:eastAsia="zh-CN"/>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开展思想道德建设、主题教育活动等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3</w:t>
            </w:r>
            <w:r>
              <w:rPr>
                <w:rFonts w:hint="eastAsia" w:ascii="宋体" w:eastAsia="宋体" w:cs="宋体"/>
                <w:i w:val="0"/>
                <w:iCs w:val="0"/>
                <w:color w:val="000000"/>
                <w:kern w:val="0"/>
                <w:sz w:val="20"/>
                <w:szCs w:val="20"/>
                <w:u w:val="none"/>
                <w:lang w:val="en-US" w:eastAsia="zh-CN"/>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广泛弘扬社会主义核心价值观，推进理想信念教育常态化制度化。印发《新时代公民道德建设实施纲要》分工方案，开展</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倡导国庆新民俗、打造爱国活动周</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等主题活动。推动群众性精神文明创建活动，</w:t>
            </w:r>
            <w:r>
              <w:rPr>
                <w:rFonts w:ascii="Arial" w:hAnsi="Arial" w:eastAsia="宋体" w:cs="Arial"/>
                <w:i w:val="0"/>
                <w:iCs w:val="0"/>
                <w:color w:val="000000"/>
                <w:kern w:val="0"/>
                <w:sz w:val="20"/>
                <w:szCs w:val="20"/>
                <w:u w:val="none"/>
                <w:lang w:val="en-US" w:eastAsia="zh-CN"/>
              </w:rPr>
              <w:t>4</w:t>
            </w:r>
            <w:r>
              <w:rPr>
                <w:rFonts w:hint="eastAsia" w:ascii="宋体" w:eastAsia="宋体" w:cs="宋体"/>
                <w:i w:val="0"/>
                <w:iCs w:val="0"/>
                <w:color w:val="000000"/>
                <w:kern w:val="0"/>
                <w:sz w:val="20"/>
                <w:szCs w:val="20"/>
                <w:u w:val="none"/>
                <w:lang w:val="en-US" w:eastAsia="zh-CN"/>
              </w:rPr>
              <w:t>个地级市和</w:t>
            </w:r>
            <w:r>
              <w:rPr>
                <w:rFonts w:ascii="Arial" w:hAnsi="Arial" w:eastAsia="宋体" w:cs="Arial"/>
                <w:i w:val="0"/>
                <w:iCs w:val="0"/>
                <w:color w:val="000000"/>
                <w:kern w:val="0"/>
                <w:sz w:val="20"/>
                <w:szCs w:val="20"/>
                <w:u w:val="none"/>
                <w:lang w:val="en-US" w:eastAsia="zh-CN"/>
              </w:rPr>
              <w:t>4</w:t>
            </w:r>
            <w:r>
              <w:rPr>
                <w:rFonts w:hint="eastAsia" w:ascii="宋体" w:eastAsia="宋体" w:cs="宋体"/>
                <w:i w:val="0"/>
                <w:iCs w:val="0"/>
                <w:color w:val="000000"/>
                <w:kern w:val="0"/>
                <w:sz w:val="20"/>
                <w:szCs w:val="20"/>
                <w:u w:val="none"/>
                <w:lang w:val="en-US" w:eastAsia="zh-CN"/>
              </w:rPr>
              <w:t>个县级城市获评第六届全国文明城市。隆重召开全省精神文明建设表彰大会。选树</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四川好人</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和</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新时代好少年</w:t>
            </w:r>
            <w:r>
              <w:rPr>
                <w:rFonts w:ascii="Arial" w:hAnsi="Arial" w:eastAsia="宋体" w:cs="Arial"/>
                <w:i w:val="0"/>
                <w:iCs w:val="0"/>
                <w:color w:val="000000"/>
                <w:kern w:val="0"/>
                <w:sz w:val="20"/>
                <w:szCs w:val="20"/>
                <w:u w:val="none"/>
                <w:lang w:val="en-US" w:eastAsia="zh-CN"/>
              </w:rPr>
              <w:t>”220</w:t>
            </w:r>
            <w:r>
              <w:rPr>
                <w:rFonts w:hint="eastAsia" w:ascii="宋体" w:eastAsia="宋体" w:cs="宋体"/>
                <w:i w:val="0"/>
                <w:iCs w:val="0"/>
                <w:color w:val="000000"/>
                <w:kern w:val="0"/>
                <w:sz w:val="20"/>
                <w:szCs w:val="20"/>
                <w:u w:val="none"/>
                <w:lang w:val="en-US" w:eastAsia="zh-CN"/>
              </w:rPr>
              <w:t>名。</w:t>
            </w:r>
            <w:r>
              <w:rPr>
                <w:rFonts w:ascii="Arial" w:hAnsi="Arial" w:eastAsia="宋体" w:cs="Arial"/>
                <w:i w:val="0"/>
                <w:iCs w:val="0"/>
                <w:color w:val="000000"/>
                <w:kern w:val="0"/>
                <w:sz w:val="20"/>
                <w:szCs w:val="20"/>
                <w:u w:val="none"/>
                <w:lang w:val="en-US" w:eastAsia="zh-CN"/>
              </w:rPr>
              <w:t>3</w:t>
            </w:r>
            <w:r>
              <w:rPr>
                <w:rFonts w:hint="eastAsia" w:ascii="宋体" w:eastAsia="宋体" w:cs="宋体"/>
                <w:i w:val="0"/>
                <w:iCs w:val="0"/>
                <w:color w:val="000000"/>
                <w:kern w:val="0"/>
                <w:sz w:val="20"/>
                <w:szCs w:val="20"/>
                <w:u w:val="none"/>
                <w:lang w:val="en-US" w:eastAsia="zh-CN"/>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开展重大理论学习研究、重点出版活动、文化文艺工作等</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3</w:t>
            </w:r>
            <w:r>
              <w:rPr>
                <w:rFonts w:hint="eastAsia" w:ascii="宋体" w:eastAsia="宋体" w:cs="宋体"/>
                <w:i w:val="0"/>
                <w:iCs w:val="0"/>
                <w:color w:val="000000"/>
                <w:kern w:val="0"/>
                <w:sz w:val="20"/>
                <w:szCs w:val="20"/>
                <w:u w:val="none"/>
                <w:lang w:val="en-US" w:eastAsia="zh-CN"/>
              </w:rPr>
              <w:t>次及以上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组织学习理论读物，建好用好</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学习强国</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学习平台。有序推进中华文化经典读本编纂工作，出版发行《四川历史名人读本》，推出首批四川历史名人丛书</w:t>
            </w:r>
            <w:r>
              <w:rPr>
                <w:rFonts w:ascii="Arial" w:hAnsi="Arial" w:eastAsia="宋体" w:cs="Arial"/>
                <w:i w:val="0"/>
                <w:iCs w:val="0"/>
                <w:color w:val="000000"/>
                <w:kern w:val="0"/>
                <w:sz w:val="20"/>
                <w:szCs w:val="20"/>
                <w:u w:val="none"/>
                <w:lang w:val="en-US" w:eastAsia="zh-CN"/>
              </w:rPr>
              <w:t>41</w:t>
            </w:r>
            <w:r>
              <w:rPr>
                <w:rFonts w:hint="eastAsia" w:ascii="宋体" w:eastAsia="宋体" w:cs="宋体"/>
                <w:i w:val="0"/>
                <w:iCs w:val="0"/>
                <w:color w:val="000000"/>
                <w:kern w:val="0"/>
                <w:sz w:val="20"/>
                <w:szCs w:val="20"/>
                <w:u w:val="none"/>
                <w:lang w:val="en-US" w:eastAsia="zh-CN"/>
              </w:rPr>
              <w:t>种，举办名人大讲堂</w:t>
            </w:r>
            <w:r>
              <w:rPr>
                <w:rFonts w:ascii="Arial" w:hAnsi="Arial" w:eastAsia="宋体" w:cs="Arial"/>
                <w:i w:val="0"/>
                <w:iCs w:val="0"/>
                <w:color w:val="000000"/>
                <w:kern w:val="0"/>
                <w:sz w:val="20"/>
                <w:szCs w:val="20"/>
                <w:u w:val="none"/>
                <w:lang w:val="en-US" w:eastAsia="zh-CN"/>
              </w:rPr>
              <w:t>8</w:t>
            </w:r>
            <w:r>
              <w:rPr>
                <w:rFonts w:hint="eastAsia" w:ascii="宋体" w:eastAsia="宋体" w:cs="宋体"/>
                <w:i w:val="0"/>
                <w:iCs w:val="0"/>
                <w:color w:val="000000"/>
                <w:kern w:val="0"/>
                <w:sz w:val="20"/>
                <w:szCs w:val="20"/>
                <w:u w:val="none"/>
                <w:lang w:val="en-US" w:eastAsia="zh-CN"/>
              </w:rPr>
              <w:t>期。围绕全面建成小康社会、建党</w:t>
            </w:r>
            <w:r>
              <w:rPr>
                <w:rFonts w:ascii="Arial" w:hAnsi="Arial" w:eastAsia="宋体" w:cs="Arial"/>
                <w:i w:val="0"/>
                <w:iCs w:val="0"/>
                <w:color w:val="000000"/>
                <w:kern w:val="0"/>
                <w:sz w:val="20"/>
                <w:szCs w:val="20"/>
                <w:u w:val="none"/>
                <w:lang w:val="en-US" w:eastAsia="zh-CN"/>
              </w:rPr>
              <w:t>100</w:t>
            </w:r>
            <w:r>
              <w:rPr>
                <w:rFonts w:hint="eastAsia" w:ascii="宋体" w:eastAsia="宋体" w:cs="宋体"/>
                <w:i w:val="0"/>
                <w:iCs w:val="0"/>
                <w:color w:val="000000"/>
                <w:kern w:val="0"/>
                <w:sz w:val="20"/>
                <w:szCs w:val="20"/>
                <w:u w:val="none"/>
                <w:lang w:val="en-US" w:eastAsia="zh-CN"/>
              </w:rPr>
              <w:t>周年和全民战</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疫</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开展主题文艺精品创作生产。编纂四川战</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疫</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丛书和脱贫攻坚书系。</w:t>
            </w:r>
            <w:r>
              <w:rPr>
                <w:rFonts w:ascii="Arial" w:hAnsi="Arial" w:eastAsia="宋体" w:cs="Arial"/>
                <w:i w:val="0"/>
                <w:iCs w:val="0"/>
                <w:color w:val="000000"/>
                <w:kern w:val="0"/>
                <w:sz w:val="20"/>
                <w:szCs w:val="20"/>
                <w:u w:val="none"/>
                <w:lang w:val="en-US" w:eastAsia="zh-CN"/>
              </w:rPr>
              <w:t>3</w:t>
            </w:r>
            <w:r>
              <w:rPr>
                <w:rFonts w:hint="eastAsia" w:ascii="宋体" w:eastAsia="宋体" w:cs="宋体"/>
                <w:i w:val="0"/>
                <w:iCs w:val="0"/>
                <w:color w:val="000000"/>
                <w:kern w:val="0"/>
                <w:sz w:val="20"/>
                <w:szCs w:val="20"/>
                <w:u w:val="none"/>
                <w:lang w:val="en-US" w:eastAsia="zh-CN"/>
              </w:rPr>
              <w:t>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质量指标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组织开展重大活动</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精心谋划重大主题宣传，扎实抓好省委治蜀兴川方略宣传阐释，围绕重大主题，精心组织协调推出重大报道，全面塑造美丽繁荣和谐四川良好形象。开展文化活动，提升文化活动的传承力、聚合力和传播力、影响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精心谋划重大主题宣传，全面反映治蜀兴川新进展新成效。制作播出大型人文纪录片《蜀道风流》，成功举办</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金熊猫</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国际传播高峰论坛，推动</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李子柒</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丁真</w:t>
            </w:r>
            <w:r>
              <w:rPr>
                <w:rFonts w:ascii="Arial" w:hAnsi="Arial" w:eastAsia="宋体" w:cs="Arial"/>
                <w:i w:val="0"/>
                <w:iCs w:val="0"/>
                <w:color w:val="000000"/>
                <w:kern w:val="0"/>
                <w:sz w:val="20"/>
                <w:szCs w:val="20"/>
                <w:u w:val="none"/>
                <w:lang w:val="en-US" w:eastAsia="zh-CN"/>
              </w:rPr>
              <w:t>”</w:t>
            </w:r>
            <w:r>
              <w:rPr>
                <w:rFonts w:hint="eastAsia" w:ascii="宋体" w:eastAsia="宋体" w:cs="宋体"/>
                <w:i w:val="0"/>
                <w:iCs w:val="0"/>
                <w:color w:val="000000"/>
                <w:kern w:val="0"/>
                <w:sz w:val="20"/>
                <w:szCs w:val="20"/>
                <w:u w:val="none"/>
                <w:lang w:val="en-US" w:eastAsia="zh-CN"/>
              </w:rPr>
              <w:t>等地域文化符号广泛传播，展现巴蜀文化独特魅力。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时效指标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完成时限</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2020</w:t>
            </w:r>
            <w:r>
              <w:rPr>
                <w:rFonts w:hint="eastAsia" w:ascii="宋体" w:eastAsia="宋体" w:cs="宋体"/>
                <w:i w:val="0"/>
                <w:iCs w:val="0"/>
                <w:color w:val="000000"/>
                <w:kern w:val="0"/>
                <w:sz w:val="20"/>
                <w:szCs w:val="20"/>
                <w:u w:val="none"/>
                <w:lang w:val="en-US" w:eastAsia="zh-CN"/>
              </w:rPr>
              <w:t>年</w:t>
            </w:r>
            <w:r>
              <w:rPr>
                <w:rFonts w:ascii="Arial" w:hAnsi="Arial" w:eastAsia="宋体" w:cs="Arial"/>
                <w:i w:val="0"/>
                <w:iCs w:val="0"/>
                <w:color w:val="000000"/>
                <w:kern w:val="0"/>
                <w:sz w:val="20"/>
                <w:szCs w:val="20"/>
                <w:u w:val="none"/>
                <w:lang w:val="en-US" w:eastAsia="zh-CN"/>
              </w:rPr>
              <w:t>12</w:t>
            </w:r>
            <w:r>
              <w:rPr>
                <w:rFonts w:hint="eastAsia" w:ascii="宋体" w:eastAsia="宋体" w:cs="宋体"/>
                <w:i w:val="0"/>
                <w:iCs w:val="0"/>
                <w:color w:val="000000"/>
                <w:kern w:val="0"/>
                <w:sz w:val="20"/>
                <w:szCs w:val="20"/>
                <w:u w:val="none"/>
                <w:lang w:val="en-US" w:eastAsia="zh-CN"/>
              </w:rPr>
              <w:t>月</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2020</w:t>
            </w:r>
            <w:r>
              <w:rPr>
                <w:rFonts w:hint="eastAsia" w:ascii="宋体" w:eastAsia="宋体" w:cs="宋体"/>
                <w:i w:val="0"/>
                <w:iCs w:val="0"/>
                <w:color w:val="000000"/>
                <w:kern w:val="0"/>
                <w:sz w:val="20"/>
                <w:szCs w:val="20"/>
                <w:u w:val="none"/>
                <w:lang w:val="en-US" w:eastAsia="zh-CN"/>
              </w:rPr>
              <w:t>年</w:t>
            </w:r>
            <w:r>
              <w:rPr>
                <w:rFonts w:ascii="Arial" w:hAnsi="Arial" w:eastAsia="宋体" w:cs="Arial"/>
                <w:i w:val="0"/>
                <w:iCs w:val="0"/>
                <w:color w:val="000000"/>
                <w:kern w:val="0"/>
                <w:sz w:val="20"/>
                <w:szCs w:val="20"/>
                <w:u w:val="none"/>
                <w:lang w:val="en-US" w:eastAsia="zh-CN"/>
              </w:rPr>
              <w:t>12</w:t>
            </w:r>
            <w:r>
              <w:rPr>
                <w:rFonts w:hint="eastAsia" w:ascii="宋体" w:eastAsia="宋体" w:cs="宋体"/>
                <w:i w:val="0"/>
                <w:iCs w:val="0"/>
                <w:color w:val="000000"/>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成本指标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活动成本</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严格控制运行成本，确保在预算内实施</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严格按照项目预算实施。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效</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益</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指</w:t>
            </w:r>
          </w:p>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经济效益指标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社会效益指标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宣传党的十九大和十九届二中、三中、四中全会精神，省委十一届三次、四次、五次全会精神，聚焦中央工作大局和省委中心工作，精心谋划重大主题宣传。</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营造良好的舆论环境，树立四川良好形象</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抗击疫情重大宣传卓有成效，脱贫奔康主题宣传浓墨重彩，经济社会成就宣传有声有色。国务院新闻办在川举办首场脱贫攻坚新闻发布会。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生态效益指标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可持续影响指标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宣传文化思想工作</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不断增强凝聚力和引领力，不断增强中华文化软实力和我省对外影响力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中华优秀传统文化创造性转化创新性发展迈出新步伐。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满</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意</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度</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指</w:t>
            </w:r>
          </w:p>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满意度指标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省委省政府满意度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≥90%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≥90%</w:t>
            </w:r>
          </w:p>
        </w:tc>
      </w:tr>
    </w:tbl>
    <w:p>
      <w:pPr>
        <w:overflowPunct w:val="0"/>
        <w:adjustRightInd w:val="0"/>
        <w:snapToGrid w:val="0"/>
        <w:spacing w:line="600" w:lineRule="exact"/>
        <w:rPr>
          <w:rFonts w:eastAsia="仿宋_GB2312"/>
          <w:bCs/>
          <w:snapToGrid w:val="0"/>
          <w:kern w:val="0"/>
          <w:sz w:val="32"/>
          <w:szCs w:val="32"/>
        </w:rPr>
      </w:pPr>
    </w:p>
    <w:p>
      <w:pPr>
        <w:numPr>
          <w:ilvl w:val="0"/>
          <w:numId w:val="4"/>
        </w:numPr>
        <w:spacing w:line="580" w:lineRule="exact"/>
        <w:ind w:left="0" w:firstLine="640" w:firstLineChars="200"/>
        <w:rPr>
          <w:rFonts w:eastAsia="仿宋_GB2312"/>
          <w:bCs/>
          <w:snapToGrid w:val="0"/>
          <w:kern w:val="0"/>
          <w:sz w:val="32"/>
          <w:szCs w:val="32"/>
        </w:rPr>
      </w:pPr>
      <w:r>
        <w:rPr>
          <w:rFonts w:eastAsia="仿宋_GB2312"/>
          <w:bCs/>
          <w:snapToGrid w:val="0"/>
          <w:kern w:val="0"/>
          <w:sz w:val="32"/>
          <w:szCs w:val="32"/>
        </w:rPr>
        <w:t>“</w:t>
      </w:r>
      <w:r>
        <w:rPr>
          <w:rFonts w:hint="eastAsia" w:eastAsia="仿宋_GB2312"/>
          <w:bCs/>
          <w:snapToGrid w:val="0"/>
          <w:kern w:val="0"/>
          <w:sz w:val="32"/>
          <w:szCs w:val="32"/>
          <w:lang w:eastAsia="zh-CN"/>
        </w:rPr>
        <w:t>教学教辅及科研</w:t>
      </w:r>
      <w:r>
        <w:rPr>
          <w:rFonts w:eastAsia="仿宋_GB2312"/>
          <w:bCs/>
          <w:snapToGrid w:val="0"/>
          <w:kern w:val="0"/>
          <w:sz w:val="32"/>
          <w:szCs w:val="32"/>
        </w:rPr>
        <w:t>经费”绩效目标完成情况综述。该项目全年预算数</w:t>
      </w:r>
      <w:r>
        <w:rPr>
          <w:rFonts w:hint="eastAsia" w:eastAsia="仿宋_GB2312"/>
          <w:bCs/>
          <w:snapToGrid w:val="0"/>
          <w:kern w:val="0"/>
          <w:sz w:val="32"/>
          <w:szCs w:val="32"/>
          <w:lang w:val="en-US" w:eastAsia="zh-CN"/>
        </w:rPr>
        <w:t>2729.92万元，</w:t>
      </w:r>
      <w:r>
        <w:rPr>
          <w:rFonts w:eastAsia="仿宋_GB2312"/>
          <w:b w:val="0"/>
          <w:bCs/>
          <w:snapToGrid w:val="0"/>
          <w:kern w:val="0"/>
          <w:sz w:val="32"/>
          <w:szCs w:val="32"/>
          <w:highlight w:val="none"/>
        </w:rPr>
        <w:t>执行数为</w:t>
      </w:r>
      <w:r>
        <w:rPr>
          <w:rFonts w:hint="eastAsia" w:eastAsia="仿宋_GB2312"/>
          <w:b w:val="0"/>
          <w:bCs/>
          <w:snapToGrid w:val="0"/>
          <w:kern w:val="0"/>
          <w:sz w:val="32"/>
          <w:szCs w:val="32"/>
          <w:highlight w:val="none"/>
          <w:lang w:val="en-US" w:eastAsia="zh-CN"/>
        </w:rPr>
        <w:t>2072.1</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75.9</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w:t>
      </w:r>
      <w:r>
        <w:rPr>
          <w:rFonts w:hint="eastAsia" w:eastAsia="仿宋_GB2312"/>
          <w:bCs/>
          <w:snapToGrid w:val="0"/>
          <w:kern w:val="0"/>
          <w:sz w:val="32"/>
          <w:szCs w:val="32"/>
          <w:lang w:val="en-US" w:eastAsia="zh-CN"/>
        </w:rPr>
        <w:t>完成日常教学管理、专业建设、师资队伍建设、课程建设、科研、做好评选优质高校工作，增购纸质图书17055册、采购电子资源16种、开展科研项目研究26个、完成科研项目结题16个、在线开放课程制作16个、考试服务器扩容3台。</w:t>
      </w:r>
    </w:p>
    <w:p>
      <w:pPr>
        <w:widowControl w:val="0"/>
        <w:spacing w:line="580" w:lineRule="exact"/>
        <w:jc w:val="both"/>
        <w:rPr>
          <w:rFonts w:eastAsia="仿宋_GB2312"/>
          <w:bCs/>
          <w:snapToGrid w:val="0"/>
          <w:kern w:val="0"/>
          <w:sz w:val="32"/>
          <w:szCs w:val="32"/>
        </w:rPr>
      </w:pPr>
    </w:p>
    <w:tbl>
      <w:tblPr>
        <w:tblStyle w:val="12"/>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645"/>
        <w:gridCol w:w="1485"/>
        <w:gridCol w:w="600"/>
        <w:gridCol w:w="1335"/>
        <w:gridCol w:w="150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1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32"/>
                <w:szCs w:val="32"/>
                <w:u w:val="none"/>
              </w:rPr>
            </w:pPr>
            <w:r>
              <w:rPr>
                <w:rFonts w:hint="eastAsia" w:ascii="宋体" w:eastAsia="宋体" w:cs="宋体"/>
                <w:b/>
                <w:bCs/>
                <w:i w:val="0"/>
                <w:iCs w:val="0"/>
                <w:color w:val="000000"/>
                <w:kern w:val="0"/>
                <w:sz w:val="32"/>
                <w:szCs w:val="32"/>
                <w:u w:val="none"/>
                <w:lang w:val="en-US" w:eastAsia="zh-CN"/>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1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项目名称</w:t>
            </w:r>
          </w:p>
        </w:tc>
        <w:tc>
          <w:tcPr>
            <w:tcW w:w="72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教学教辅及科研经费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主管部门及代码</w:t>
            </w:r>
          </w:p>
        </w:tc>
        <w:tc>
          <w:tcPr>
            <w:tcW w:w="34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中共四川省委宣传部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实施单位</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四川文化产业职业学院（四川省干部函授学院）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4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项目预算</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执行情况</w:t>
            </w:r>
          </w:p>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（万元）</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 xml:space="preserve"> 预算数：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2729.92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 xml:space="preserve"> 执行数：</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2072.1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4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 xml:space="preserve"> 其中：财政拨款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1206.12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其中：财政拨款</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1184.43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4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 xml:space="preserve">       其他资金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1523.8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 xml:space="preserve">     其他资金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887.67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年</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度</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总</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体</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目</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标</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完</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成</w:t>
            </w:r>
          </w:p>
          <w:p>
            <w:pPr>
              <w:keepNext w:val="0"/>
              <w:keepLines w:val="0"/>
              <w:widowControl/>
              <w:suppressLineNumbers w:val="0"/>
              <w:jc w:val="center"/>
              <w:textAlignment w:val="center"/>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情</w:t>
            </w:r>
          </w:p>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况</w:t>
            </w:r>
          </w:p>
        </w:tc>
        <w:tc>
          <w:tcPr>
            <w:tcW w:w="40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预期目标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4065" w:type="dxa"/>
            <w:gridSpan w:val="4"/>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根据《中共四川省委、四川省人民政府关于印发&lt;四川省中长期教育改革和发展规划纲要（2010—2020年）&gt;的通知》(川委发〔2010〕18号)、《四川省教育厅关于实施四川省优质高等职业院校建设计划的通知》（川教函[2017]418号）文件，完成日常教学管理、专业建设、师资队伍建设、课程建设、科研、做好评选优质高校工作等费用。</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完成日常教学管理、专业建设、师资队伍建设、课程建设、科研、做好评选优质高校工作，增购纸质图书17055册、采购电子资源16种、开展科研项目研究26个、完成科研项目结题16个、在线开放课程制作16个、考试服务器扩容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年度绩效指标完成情况</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二级指标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三级指标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预期指标值</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完</w:t>
            </w:r>
          </w:p>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成</w:t>
            </w:r>
          </w:p>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指</w:t>
            </w:r>
          </w:p>
          <w:p>
            <w:pPr>
              <w:keepNext w:val="0"/>
              <w:keepLines w:val="0"/>
              <w:widowControl/>
              <w:suppressLineNumbers w:val="0"/>
              <w:jc w:val="center"/>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数量指标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增购纸质图书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10000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17055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采购电子资源</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开展科研项目研究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25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完成科研项目结题</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在线开放课程制作</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16</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考试服务器扩容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质量指标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时效指标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完成时限</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2020年</w:t>
            </w:r>
            <w:r>
              <w:rPr>
                <w:rStyle w:val="33"/>
                <w:rFonts w:hint="eastAsia" w:ascii="仿宋_GB2312" w:eastAsia="仿宋_GB2312" w:cs="仿宋_GB2312"/>
                <w:lang w:val="en-US" w:eastAsia="zh-CN"/>
              </w:rPr>
              <w:t>12</w:t>
            </w:r>
            <w:r>
              <w:rPr>
                <w:rFonts w:hint="eastAsia" w:ascii="仿宋_GB2312" w:eastAsia="仿宋_GB2312" w:cs="仿宋_GB2312"/>
                <w:i w:val="0"/>
                <w:iCs w:val="0"/>
                <w:color w:val="000000"/>
                <w:kern w:val="0"/>
                <w:sz w:val="20"/>
                <w:szCs w:val="20"/>
                <w:u w:val="none"/>
                <w:lang w:val="en-US" w:eastAsia="zh-CN"/>
              </w:rPr>
              <w:t>月</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2020年</w:t>
            </w:r>
            <w:r>
              <w:rPr>
                <w:rStyle w:val="33"/>
                <w:rFonts w:hint="eastAsia" w:ascii="仿宋_GB2312" w:eastAsia="仿宋_GB2312" w:cs="仿宋_GB2312"/>
                <w:lang w:val="en-US" w:eastAsia="zh-CN"/>
              </w:rPr>
              <w:t>12</w:t>
            </w:r>
            <w:r>
              <w:rPr>
                <w:rFonts w:hint="eastAsia" w:ascii="仿宋_GB2312" w:eastAsia="仿宋_GB2312" w:cs="仿宋_GB2312"/>
                <w:i w:val="0"/>
                <w:iCs w:val="0"/>
                <w:color w:val="000000"/>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成本指标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效</w:t>
            </w:r>
          </w:p>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益</w:t>
            </w:r>
          </w:p>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指</w:t>
            </w:r>
          </w:p>
          <w:p>
            <w:pPr>
              <w:keepNext w:val="0"/>
              <w:keepLines w:val="0"/>
              <w:widowControl/>
              <w:suppressLineNumbers w:val="0"/>
              <w:jc w:val="center"/>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经济效益指标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社会效益指标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学校基本办学条件和服务社会能力</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良好</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生态效益指标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可持续影响指标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标准化考场使用年限</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不低于</w:t>
            </w:r>
            <w:r>
              <w:rPr>
                <w:rStyle w:val="33"/>
                <w:rFonts w:hint="eastAsia" w:ascii="仿宋_GB2312" w:eastAsia="仿宋_GB2312" w:cs="仿宋_GB2312"/>
                <w:lang w:val="en-US" w:eastAsia="zh-CN"/>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不低于</w:t>
            </w:r>
            <w:r>
              <w:rPr>
                <w:rStyle w:val="33"/>
                <w:rFonts w:hint="eastAsia" w:ascii="仿宋_GB2312" w:eastAsia="仿宋_GB2312" w:cs="仿宋_GB2312"/>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满</w:t>
            </w:r>
          </w:p>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意</w:t>
            </w:r>
          </w:p>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度</w:t>
            </w:r>
          </w:p>
          <w:p>
            <w:pPr>
              <w:keepNext w:val="0"/>
              <w:keepLines w:val="0"/>
              <w:widowControl/>
              <w:suppressLineNumbers w:val="0"/>
              <w:jc w:val="center"/>
              <w:textAlignment w:val="bottom"/>
              <w:rPr>
                <w:rFonts w:hint="eastAsia" w:ascii="仿宋_GB2312" w:eastAsia="仿宋_GB2312" w:cs="仿宋_GB2312"/>
                <w:i w:val="0"/>
                <w:iCs w:val="0"/>
                <w:color w:val="000000"/>
                <w:kern w:val="0"/>
                <w:sz w:val="20"/>
                <w:szCs w:val="20"/>
                <w:u w:val="none"/>
                <w:lang w:val="en-US" w:eastAsia="zh-CN"/>
              </w:rPr>
            </w:pPr>
            <w:r>
              <w:rPr>
                <w:rFonts w:hint="eastAsia" w:ascii="仿宋_GB2312" w:eastAsia="仿宋_GB2312" w:cs="仿宋_GB2312"/>
                <w:i w:val="0"/>
                <w:iCs w:val="0"/>
                <w:color w:val="000000"/>
                <w:kern w:val="0"/>
                <w:sz w:val="20"/>
                <w:szCs w:val="20"/>
                <w:u w:val="none"/>
                <w:lang w:val="en-US" w:eastAsia="zh-CN"/>
              </w:rPr>
              <w:t>指</w:t>
            </w:r>
          </w:p>
          <w:p>
            <w:pPr>
              <w:keepNext w:val="0"/>
              <w:keepLines w:val="0"/>
              <w:widowControl/>
              <w:suppressLineNumbers w:val="0"/>
              <w:jc w:val="center"/>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满意度指标</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教师，学生满意度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95%</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_GB2312" w:eastAsia="仿宋_GB2312" w:cs="仿宋_GB2312"/>
                <w:i w:val="0"/>
                <w:iCs w:val="0"/>
                <w:color w:val="000000"/>
                <w:sz w:val="20"/>
                <w:szCs w:val="20"/>
                <w:u w:val="none"/>
              </w:rPr>
            </w:pPr>
            <w:r>
              <w:rPr>
                <w:rFonts w:hint="eastAsia" w:ascii="仿宋_GB2312" w:eastAsia="仿宋_GB2312" w:cs="仿宋_GB2312"/>
                <w:i w:val="0"/>
                <w:iCs w:val="0"/>
                <w:color w:val="000000"/>
                <w:kern w:val="0"/>
                <w:sz w:val="20"/>
                <w:szCs w:val="20"/>
                <w:u w:val="none"/>
                <w:lang w:val="en-US" w:eastAsia="zh-CN"/>
              </w:rPr>
              <w:t>95%</w:t>
            </w:r>
          </w:p>
        </w:tc>
      </w:tr>
    </w:tbl>
    <w:p>
      <w:pPr>
        <w:widowControl w:val="0"/>
        <w:spacing w:line="580" w:lineRule="exact"/>
        <w:jc w:val="both"/>
        <w:rPr>
          <w:rFonts w:eastAsia="仿宋_GB2312"/>
          <w:bCs/>
          <w:snapToGrid w:val="0"/>
          <w:kern w:val="0"/>
          <w:sz w:val="32"/>
          <w:szCs w:val="32"/>
        </w:rPr>
      </w:pPr>
    </w:p>
    <w:p>
      <w:pPr>
        <w:widowControl w:val="0"/>
        <w:spacing w:line="580" w:lineRule="exact"/>
        <w:jc w:val="both"/>
        <w:rPr>
          <w:rFonts w:eastAsia="仿宋_GB2312"/>
          <w:bCs/>
          <w:snapToGrid w:val="0"/>
          <w:kern w:val="0"/>
          <w:sz w:val="32"/>
          <w:szCs w:val="32"/>
        </w:rPr>
      </w:pPr>
      <w:r>
        <w:rPr>
          <w:rFonts w:hint="eastAsia" w:eastAsia="仿宋_GB2312"/>
          <w:bCs/>
          <w:snapToGrid w:val="0"/>
          <w:kern w:val="0"/>
          <w:sz w:val="32"/>
          <w:szCs w:val="32"/>
          <w:lang w:val="en-US" w:eastAsia="zh-CN"/>
        </w:rPr>
        <w:t xml:space="preserve">    3.</w:t>
      </w:r>
      <w:r>
        <w:rPr>
          <w:rFonts w:eastAsia="仿宋_GB2312"/>
          <w:bCs/>
          <w:snapToGrid w:val="0"/>
          <w:kern w:val="0"/>
          <w:sz w:val="32"/>
          <w:szCs w:val="32"/>
        </w:rPr>
        <w:t>“</w:t>
      </w:r>
      <w:r>
        <w:rPr>
          <w:rFonts w:hint="eastAsia" w:eastAsia="仿宋_GB2312"/>
          <w:bCs/>
          <w:snapToGrid w:val="0"/>
          <w:kern w:val="0"/>
          <w:sz w:val="32"/>
          <w:szCs w:val="32"/>
          <w:lang w:eastAsia="zh-CN"/>
        </w:rPr>
        <w:t>学生勤工助学困难补助及活动</w:t>
      </w:r>
      <w:r>
        <w:rPr>
          <w:rFonts w:eastAsia="仿宋_GB2312"/>
          <w:bCs/>
          <w:snapToGrid w:val="0"/>
          <w:kern w:val="0"/>
          <w:sz w:val="32"/>
          <w:szCs w:val="32"/>
        </w:rPr>
        <w:t>费”绩效目标完成情况综述。该项目全年预算数</w:t>
      </w:r>
      <w:r>
        <w:rPr>
          <w:rFonts w:hint="eastAsia" w:eastAsia="仿宋_GB2312"/>
          <w:bCs/>
          <w:snapToGrid w:val="0"/>
          <w:kern w:val="0"/>
          <w:sz w:val="32"/>
          <w:szCs w:val="32"/>
          <w:lang w:val="en-US" w:eastAsia="zh-CN"/>
        </w:rPr>
        <w:t>578万元，</w:t>
      </w:r>
      <w:r>
        <w:rPr>
          <w:rFonts w:eastAsia="仿宋_GB2312"/>
          <w:b w:val="0"/>
          <w:bCs/>
          <w:snapToGrid w:val="0"/>
          <w:kern w:val="0"/>
          <w:sz w:val="32"/>
          <w:szCs w:val="32"/>
          <w:highlight w:val="none"/>
        </w:rPr>
        <w:t>执行数为</w:t>
      </w:r>
      <w:r>
        <w:rPr>
          <w:rFonts w:hint="eastAsia" w:eastAsia="仿宋_GB2312"/>
          <w:b w:val="0"/>
          <w:bCs/>
          <w:snapToGrid w:val="0"/>
          <w:kern w:val="0"/>
          <w:sz w:val="32"/>
          <w:szCs w:val="32"/>
          <w:highlight w:val="none"/>
          <w:lang w:val="en-US" w:eastAsia="zh-CN"/>
        </w:rPr>
        <w:t>462.55</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80</w:t>
      </w:r>
      <w:r>
        <w:rPr>
          <w:rFonts w:eastAsia="仿宋_GB2312"/>
          <w:b w:val="0"/>
          <w:bCs/>
          <w:snapToGrid w:val="0"/>
          <w:kern w:val="0"/>
          <w:sz w:val="32"/>
          <w:szCs w:val="32"/>
          <w:highlight w:val="none"/>
        </w:rPr>
        <w:t>%</w:t>
      </w:r>
      <w:r>
        <w:rPr>
          <w:rFonts w:hint="eastAsia" w:eastAsia="仿宋_GB2312"/>
          <w:b w:val="0"/>
          <w:bCs/>
          <w:snapToGrid w:val="0"/>
          <w:kern w:val="0"/>
          <w:sz w:val="32"/>
          <w:szCs w:val="32"/>
          <w:highlight w:val="none"/>
          <w:lang w:eastAsia="zh-CN"/>
        </w:rPr>
        <w:t>。</w:t>
      </w:r>
      <w:r>
        <w:rPr>
          <w:rFonts w:hint="eastAsia" w:eastAsia="仿宋_GB2312"/>
          <w:bCs/>
          <w:snapToGrid w:val="0"/>
          <w:kern w:val="0"/>
          <w:sz w:val="32"/>
          <w:szCs w:val="32"/>
          <w:lang w:val="en-US" w:eastAsia="zh-CN"/>
        </w:rPr>
        <w:t>开展暑期社会实践活动1次，开展辅导员素质能力提升项目1次发放奖学金1461人次，勤工助学补助243人次，校级评优评奖1800人次。</w:t>
      </w:r>
    </w:p>
    <w:tbl>
      <w:tblPr>
        <w:tblStyle w:val="12"/>
        <w:tblW w:w="86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900"/>
        <w:gridCol w:w="1485"/>
        <w:gridCol w:w="540"/>
        <w:gridCol w:w="900"/>
        <w:gridCol w:w="1624"/>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60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32"/>
                <w:szCs w:val="32"/>
                <w:u w:val="none"/>
              </w:rPr>
            </w:pPr>
            <w:r>
              <w:rPr>
                <w:rFonts w:hint="eastAsia" w:ascii="宋体" w:eastAsia="宋体" w:cs="宋体"/>
                <w:b/>
                <w:bCs/>
                <w:i w:val="0"/>
                <w:iCs w:val="0"/>
                <w:color w:val="000000"/>
                <w:kern w:val="0"/>
                <w:sz w:val="32"/>
                <w:szCs w:val="32"/>
                <w:u w:val="none"/>
                <w:lang w:val="en-US" w:eastAsia="zh-CN"/>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0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项目名称</w:t>
            </w:r>
          </w:p>
        </w:tc>
        <w:tc>
          <w:tcPr>
            <w:tcW w:w="68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学生勤工助学困难补助及活动费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主管部门及代码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中共四川省委宣传部</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实施单位</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四川文化产业职业学院（四川省干部函授学院）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项目预算</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执行情况</w:t>
            </w:r>
          </w:p>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（万元）</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预算数：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578.0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执行数：</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462.55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其中：财政拨款</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172.0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其中：财政拨款</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161.7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 xml:space="preserve">         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406.0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其他资金</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300.85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年</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度</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总</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体</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目</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标</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完</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成</w:t>
            </w:r>
          </w:p>
          <w:p>
            <w:pPr>
              <w:keepNext w:val="0"/>
              <w:keepLines w:val="0"/>
              <w:widowControl/>
              <w:suppressLineNumbers w:val="0"/>
              <w:jc w:val="center"/>
              <w:textAlignment w:val="center"/>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情</w:t>
            </w:r>
          </w:p>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况</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预期目标</w:t>
            </w:r>
          </w:p>
        </w:tc>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根据《中共四川省委、四川省人民政府关于印发&lt;四川省中长期教育改革和发展规划纲要（2010—2020年）&gt;的通知》(川委发〔2010〕18号)、《四川省教育厅关于实施四川省优质高等职业院校建设计划的通知》（川教函[2017]418号）文件规定开展相关工作《高等学校勤工助学管理办法》（教材[2007]7号0和 团中央最新规定，高效应按不少于200元/生/年 学生日常活动费）用于开展暑期社会实践活动，加强学生安全教育，提高辅导员队伍素质能力，发放奖助学及勤工助学补助。</w:t>
            </w:r>
          </w:p>
        </w:tc>
        <w:tc>
          <w:tcPr>
            <w:tcW w:w="3968" w:type="dxa"/>
            <w:gridSpan w:val="2"/>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widowControl/>
              <w:suppressLineNumbers w:val="0"/>
              <w:jc w:val="left"/>
              <w:textAlignment w:val="top"/>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开展暑期社会实践活动1次，开展辅导员素质能力提升项目1次发放奖学金1461人次，勤工助学补助243人次，校级评优评奖1800人次。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年度绩效指标完成情况</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二级指标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三级指标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预期指标值</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完</w:t>
            </w:r>
          </w:p>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成</w:t>
            </w:r>
          </w:p>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指</w:t>
            </w:r>
          </w:p>
          <w:p>
            <w:pPr>
              <w:keepNext w:val="0"/>
              <w:keepLines w:val="0"/>
              <w:widowControl/>
              <w:suppressLineNumbers w:val="0"/>
              <w:jc w:val="center"/>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数量指标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开展暑期社会实践活动</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开展辅导员素质能力提升项目</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校级奖学金</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1300</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勤工助学补助</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80</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校级评优评奖</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1800</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质量指标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时效指标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完成时限</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2020</w:t>
            </w:r>
            <w:r>
              <w:rPr>
                <w:rFonts w:hint="eastAsia" w:ascii="宋体" w:eastAsia="宋体" w:cs="宋体"/>
                <w:i w:val="0"/>
                <w:iCs w:val="0"/>
                <w:color w:val="000000"/>
                <w:kern w:val="0"/>
                <w:sz w:val="20"/>
                <w:szCs w:val="20"/>
                <w:u w:val="none"/>
                <w:lang w:val="en-US" w:eastAsia="zh-CN"/>
              </w:rPr>
              <w:t>年</w:t>
            </w:r>
            <w:r>
              <w:rPr>
                <w:rStyle w:val="34"/>
                <w:rFonts w:eastAsia="宋体"/>
                <w:lang w:val="en-US" w:eastAsia="zh-CN"/>
              </w:rPr>
              <w:t>12</w:t>
            </w:r>
            <w:r>
              <w:rPr>
                <w:rFonts w:hint="eastAsia" w:ascii="宋体" w:eastAsia="宋体" w:cs="宋体"/>
                <w:i w:val="0"/>
                <w:iCs w:val="0"/>
                <w:color w:val="000000"/>
                <w:kern w:val="0"/>
                <w:sz w:val="20"/>
                <w:szCs w:val="20"/>
                <w:u w:val="none"/>
                <w:lang w:val="en-US" w:eastAsia="zh-CN"/>
              </w:rPr>
              <w:t>月</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2020</w:t>
            </w:r>
            <w:r>
              <w:rPr>
                <w:rFonts w:hint="eastAsia" w:ascii="宋体" w:eastAsia="宋体" w:cs="宋体"/>
                <w:i w:val="0"/>
                <w:iCs w:val="0"/>
                <w:color w:val="000000"/>
                <w:kern w:val="0"/>
                <w:sz w:val="20"/>
                <w:szCs w:val="20"/>
                <w:u w:val="none"/>
                <w:lang w:val="en-US" w:eastAsia="zh-CN"/>
              </w:rPr>
              <w:t>年</w:t>
            </w:r>
            <w:r>
              <w:rPr>
                <w:rStyle w:val="34"/>
                <w:rFonts w:eastAsia="宋体"/>
                <w:lang w:val="en-US" w:eastAsia="zh-CN"/>
              </w:rPr>
              <w:t>12</w:t>
            </w:r>
            <w:r>
              <w:rPr>
                <w:rFonts w:hint="eastAsia" w:ascii="宋体" w:eastAsia="宋体" w:cs="宋体"/>
                <w:i w:val="0"/>
                <w:iCs w:val="0"/>
                <w:color w:val="000000"/>
                <w:kern w:val="0"/>
                <w:sz w:val="20"/>
                <w:szCs w:val="20"/>
                <w:u w:val="none"/>
                <w:lang w:val="en-US" w:eastAsia="zh-C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成本指标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效</w:t>
            </w:r>
          </w:p>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益</w:t>
            </w:r>
          </w:p>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指</w:t>
            </w:r>
          </w:p>
          <w:p>
            <w:pPr>
              <w:keepNext w:val="0"/>
              <w:keepLines w:val="0"/>
              <w:widowControl/>
              <w:suppressLineNumbers w:val="0"/>
              <w:jc w:val="center"/>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经济效益指标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社会效益指标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辅导员培训覆盖率</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90%</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暑期三下乡社会实践活动在</w:t>
            </w:r>
            <w:r>
              <w:rPr>
                <w:rStyle w:val="34"/>
                <w:rFonts w:eastAsia="宋体"/>
                <w:lang w:val="en-US" w:eastAsia="zh-CN"/>
              </w:rPr>
              <w:t>2019</w:t>
            </w:r>
            <w:r>
              <w:rPr>
                <w:rFonts w:hint="eastAsia" w:ascii="宋体" w:eastAsia="宋体" w:cs="宋体"/>
                <w:i w:val="0"/>
                <w:iCs w:val="0"/>
                <w:color w:val="000000"/>
                <w:kern w:val="0"/>
                <w:sz w:val="20"/>
                <w:szCs w:val="20"/>
                <w:u w:val="none"/>
                <w:lang w:val="en-US" w:eastAsia="zh-CN"/>
              </w:rPr>
              <w:t>级学生中覆盖面</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10%</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生态效益指标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可持续影响指标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满</w:t>
            </w:r>
          </w:p>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意</w:t>
            </w:r>
          </w:p>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度</w:t>
            </w:r>
          </w:p>
          <w:p>
            <w:pPr>
              <w:keepNext w:val="0"/>
              <w:keepLines w:val="0"/>
              <w:widowControl/>
              <w:suppressLineNumbers w:val="0"/>
              <w:jc w:val="center"/>
              <w:textAlignment w:val="bottom"/>
              <w:rPr>
                <w:rFonts w:hint="eastAsia" w:ascii="宋体" w:eastAsia="宋体" w:cs="宋体"/>
                <w:i w:val="0"/>
                <w:iCs w:val="0"/>
                <w:color w:val="000000"/>
                <w:kern w:val="0"/>
                <w:sz w:val="20"/>
                <w:szCs w:val="20"/>
                <w:u w:val="none"/>
                <w:lang w:val="en-US" w:eastAsia="zh-CN"/>
              </w:rPr>
            </w:pPr>
            <w:r>
              <w:rPr>
                <w:rFonts w:hint="eastAsia" w:ascii="宋体" w:eastAsia="宋体" w:cs="宋体"/>
                <w:i w:val="0"/>
                <w:iCs w:val="0"/>
                <w:color w:val="000000"/>
                <w:kern w:val="0"/>
                <w:sz w:val="20"/>
                <w:szCs w:val="20"/>
                <w:u w:val="none"/>
                <w:lang w:val="en-US" w:eastAsia="zh-CN"/>
              </w:rPr>
              <w:t>指</w:t>
            </w:r>
          </w:p>
          <w:p>
            <w:pPr>
              <w:keepNext w:val="0"/>
              <w:keepLines w:val="0"/>
              <w:widowControl/>
              <w:suppressLineNumbers w:val="0"/>
              <w:jc w:val="center"/>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满意度指标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师生满意度</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95%</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cs="Arial"/>
                <w:i w:val="0"/>
                <w:iCs w:val="0"/>
                <w:color w:val="000000"/>
                <w:sz w:val="20"/>
                <w:szCs w:val="20"/>
                <w:u w:val="none"/>
              </w:rPr>
            </w:pPr>
            <w:r>
              <w:rPr>
                <w:rFonts w:ascii="Arial" w:hAnsi="Arial" w:eastAsia="宋体" w:cs="Arial"/>
                <w:i w:val="0"/>
                <w:iCs w:val="0"/>
                <w:color w:val="000000"/>
                <w:kern w:val="0"/>
                <w:sz w:val="20"/>
                <w:szCs w:val="20"/>
                <w:u w:val="none"/>
                <w:lang w:val="en-US" w:eastAsia="zh-CN"/>
              </w:rPr>
              <w:t>95%</w:t>
            </w:r>
          </w:p>
        </w:tc>
      </w:tr>
    </w:tbl>
    <w:p>
      <w:pPr>
        <w:widowControl w:val="0"/>
        <w:spacing w:line="580" w:lineRule="exact"/>
        <w:jc w:val="both"/>
        <w:rPr>
          <w:rFonts w:eastAsia="仿宋_GB2312"/>
          <w:bCs/>
          <w:snapToGrid w:val="0"/>
          <w:kern w:val="0"/>
          <w:sz w:val="32"/>
          <w:szCs w:val="32"/>
        </w:rPr>
      </w:pPr>
    </w:p>
    <w:p>
      <w:pPr>
        <w:widowControl w:val="0"/>
        <w:spacing w:line="580" w:lineRule="exact"/>
        <w:jc w:val="both"/>
        <w:rPr>
          <w:rFonts w:hint="eastAsia" w:eastAsia="仿宋_GB2312"/>
          <w:bCs/>
          <w:snapToGrid w:val="0"/>
          <w:kern w:val="0"/>
          <w:sz w:val="32"/>
          <w:szCs w:val="32"/>
          <w:lang w:eastAsia="zh-CN"/>
        </w:rPr>
      </w:pPr>
      <w:r>
        <w:rPr>
          <w:rFonts w:hint="eastAsia" w:eastAsia="仿宋_GB2312"/>
          <w:bCs/>
          <w:snapToGrid w:val="0"/>
          <w:kern w:val="0"/>
          <w:sz w:val="32"/>
          <w:szCs w:val="32"/>
          <w:lang w:val="en-US" w:eastAsia="zh-CN"/>
        </w:rPr>
        <w:t xml:space="preserve">    4.</w:t>
      </w:r>
      <w:r>
        <w:rPr>
          <w:rFonts w:eastAsia="仿宋_GB2312"/>
          <w:bCs/>
          <w:snapToGrid w:val="0"/>
          <w:kern w:val="0"/>
          <w:sz w:val="32"/>
          <w:szCs w:val="32"/>
        </w:rPr>
        <w:t>“</w:t>
      </w:r>
      <w:r>
        <w:rPr>
          <w:rFonts w:hint="eastAsia" w:eastAsia="仿宋_GB2312"/>
          <w:bCs/>
          <w:snapToGrid w:val="0"/>
          <w:kern w:val="0"/>
          <w:sz w:val="32"/>
          <w:szCs w:val="32"/>
          <w:lang w:eastAsia="zh-CN"/>
        </w:rPr>
        <w:t>对外交流与宣传经费</w:t>
      </w:r>
      <w:r>
        <w:rPr>
          <w:rFonts w:eastAsia="仿宋_GB2312"/>
          <w:bCs/>
          <w:snapToGrid w:val="0"/>
          <w:kern w:val="0"/>
          <w:sz w:val="32"/>
          <w:szCs w:val="32"/>
        </w:rPr>
        <w:t>”绩效目标完成情况综述。该项目全年预算数</w:t>
      </w:r>
      <w:r>
        <w:rPr>
          <w:rFonts w:hint="eastAsia" w:eastAsia="仿宋_GB2312"/>
          <w:bCs/>
          <w:snapToGrid w:val="0"/>
          <w:kern w:val="0"/>
          <w:sz w:val="32"/>
          <w:szCs w:val="32"/>
          <w:lang w:val="en-US" w:eastAsia="zh-CN"/>
        </w:rPr>
        <w:t>694.8万元，</w:t>
      </w:r>
      <w:r>
        <w:rPr>
          <w:rFonts w:eastAsia="仿宋_GB2312"/>
          <w:b w:val="0"/>
          <w:bCs/>
          <w:snapToGrid w:val="0"/>
          <w:kern w:val="0"/>
          <w:sz w:val="32"/>
          <w:szCs w:val="32"/>
          <w:highlight w:val="none"/>
        </w:rPr>
        <w:t>执行数为</w:t>
      </w:r>
      <w:r>
        <w:rPr>
          <w:rFonts w:hint="eastAsia" w:eastAsia="仿宋_GB2312"/>
          <w:b w:val="0"/>
          <w:bCs/>
          <w:snapToGrid w:val="0"/>
          <w:kern w:val="0"/>
          <w:sz w:val="32"/>
          <w:szCs w:val="32"/>
          <w:highlight w:val="none"/>
          <w:lang w:val="en-US" w:eastAsia="zh-CN"/>
        </w:rPr>
        <w:t>472</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67.93</w:t>
      </w:r>
      <w:r>
        <w:rPr>
          <w:rFonts w:eastAsia="仿宋_GB2312"/>
          <w:b w:val="0"/>
          <w:bCs/>
          <w:snapToGrid w:val="0"/>
          <w:kern w:val="0"/>
          <w:sz w:val="32"/>
          <w:szCs w:val="32"/>
          <w:highlight w:val="none"/>
        </w:rPr>
        <w:t>%</w:t>
      </w:r>
      <w:r>
        <w:rPr>
          <w:rFonts w:hint="eastAsia" w:eastAsia="仿宋_GB2312"/>
          <w:bCs/>
          <w:snapToGrid w:val="0"/>
          <w:kern w:val="0"/>
          <w:sz w:val="32"/>
          <w:szCs w:val="32"/>
          <w:lang w:eastAsia="zh-CN"/>
        </w:rPr>
        <w:t>。</w:t>
      </w:r>
      <w:r>
        <w:rPr>
          <w:rFonts w:hint="eastAsia" w:eastAsia="仿宋_GB2312"/>
          <w:bCs/>
          <w:snapToGrid w:val="0"/>
          <w:kern w:val="0"/>
          <w:sz w:val="32"/>
          <w:szCs w:val="32"/>
          <w:lang w:val="en-US" w:eastAsia="zh-CN"/>
        </w:rPr>
        <w:t>2020年四川文化产业职业学院（四川省干部函授学院）对外影响提高，对外交流合作机会增加，对外交流合作交流活动的宣传效果良加强学校廉政风险防控工作，党建工作和统战工作有所加强。</w:t>
      </w:r>
    </w:p>
    <w:tbl>
      <w:tblPr>
        <w:tblStyle w:val="12"/>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290"/>
        <w:gridCol w:w="1485"/>
        <w:gridCol w:w="825"/>
        <w:gridCol w:w="840"/>
        <w:gridCol w:w="14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67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32"/>
                <w:szCs w:val="32"/>
                <w:u w:val="none"/>
              </w:rPr>
            </w:pPr>
            <w:r>
              <w:rPr>
                <w:rFonts w:hint="eastAsia" w:ascii="宋体" w:eastAsia="宋体" w:cs="宋体"/>
                <w:b/>
                <w:bCs/>
                <w:i w:val="0"/>
                <w:iCs w:val="0"/>
                <w:color w:val="000000"/>
                <w:kern w:val="0"/>
                <w:sz w:val="32"/>
                <w:szCs w:val="32"/>
                <w:u w:val="none"/>
                <w:lang w:val="en-US" w:eastAsia="zh-CN"/>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7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对外交流与宣传经费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中共四川省委宣传部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四川文化产业职业学院（四川省干部函授学院）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情</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况</w:t>
            </w:r>
          </w:p>
        </w:tc>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大我校对外影响，增加对外交流合作机会，保证对外交流合作交流活动的宣传效果，建立初步合作意向和合作关系，为对外交流项目做好铺垫，扩大学校影响。加强学校廉政风险防控工作，加强学校党建工作和统战工作。</w:t>
            </w:r>
          </w:p>
        </w:tc>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2020年我校对外影响提高，对外交流合作机会增加，对外交流合作交流活动的宣传效果良加强学校廉政风险防控工作，党建工作和统战工作有所加强。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开展文化专题调研体验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开展宣传活动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校报设计制作并印刷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开展校企合作宣传活动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联络走访可合作企业</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年</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提高我校对外宣传及社会影响力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展现我校良好精神风貌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意</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师生满意度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r>
    </w:tbl>
    <w:p>
      <w:pPr>
        <w:widowControl w:val="0"/>
        <w:spacing w:line="580" w:lineRule="exact"/>
        <w:jc w:val="both"/>
        <w:rPr>
          <w:rFonts w:hint="eastAsia" w:eastAsia="仿宋_GB2312"/>
          <w:bCs/>
          <w:snapToGrid w:val="0"/>
          <w:kern w:val="0"/>
          <w:sz w:val="32"/>
          <w:szCs w:val="32"/>
          <w:lang w:val="en-US" w:eastAsia="zh-CN"/>
        </w:rPr>
      </w:pPr>
      <w:r>
        <w:rPr>
          <w:rFonts w:hint="eastAsia" w:eastAsia="仿宋_GB2312"/>
          <w:bCs/>
          <w:snapToGrid w:val="0"/>
          <w:kern w:val="0"/>
          <w:sz w:val="32"/>
          <w:szCs w:val="32"/>
          <w:lang w:val="en-US" w:eastAsia="zh-CN"/>
        </w:rPr>
        <w:t xml:space="preserve">    5.</w:t>
      </w:r>
      <w:r>
        <w:rPr>
          <w:rFonts w:eastAsia="仿宋_GB2312"/>
          <w:bCs/>
          <w:snapToGrid w:val="0"/>
          <w:kern w:val="0"/>
          <w:sz w:val="32"/>
          <w:szCs w:val="32"/>
        </w:rPr>
        <w:t>“</w:t>
      </w:r>
      <w:r>
        <w:rPr>
          <w:rFonts w:hint="eastAsia" w:eastAsia="仿宋_GB2312"/>
          <w:bCs/>
          <w:snapToGrid w:val="0"/>
          <w:kern w:val="0"/>
          <w:sz w:val="32"/>
          <w:szCs w:val="32"/>
          <w:lang w:eastAsia="zh-CN"/>
        </w:rPr>
        <w:t>外宣及其系列纪念活动</w:t>
      </w:r>
      <w:r>
        <w:rPr>
          <w:rFonts w:eastAsia="仿宋_GB2312"/>
          <w:bCs/>
          <w:snapToGrid w:val="0"/>
          <w:kern w:val="0"/>
          <w:sz w:val="32"/>
          <w:szCs w:val="32"/>
        </w:rPr>
        <w:t>”绩效目标完成情况综述。该项目全年预算数</w:t>
      </w:r>
      <w:r>
        <w:rPr>
          <w:rFonts w:hint="eastAsia" w:eastAsia="仿宋_GB2312"/>
          <w:bCs/>
          <w:snapToGrid w:val="0"/>
          <w:kern w:val="0"/>
          <w:sz w:val="32"/>
          <w:szCs w:val="32"/>
          <w:lang w:val="en-US" w:eastAsia="zh-CN"/>
        </w:rPr>
        <w:t>39.64万元，</w:t>
      </w:r>
      <w:r>
        <w:rPr>
          <w:rFonts w:eastAsia="仿宋_GB2312"/>
          <w:b w:val="0"/>
          <w:bCs/>
          <w:snapToGrid w:val="0"/>
          <w:kern w:val="0"/>
          <w:sz w:val="32"/>
          <w:szCs w:val="32"/>
          <w:highlight w:val="none"/>
        </w:rPr>
        <w:t>执行数为</w:t>
      </w:r>
      <w:r>
        <w:rPr>
          <w:rFonts w:hint="eastAsia" w:eastAsia="仿宋_GB2312"/>
          <w:b w:val="0"/>
          <w:bCs/>
          <w:snapToGrid w:val="0"/>
          <w:kern w:val="0"/>
          <w:sz w:val="32"/>
          <w:szCs w:val="32"/>
          <w:highlight w:val="none"/>
          <w:lang w:val="en-US" w:eastAsia="zh-CN"/>
        </w:rPr>
        <w:t>39.64</w:t>
      </w:r>
      <w:r>
        <w:rPr>
          <w:rFonts w:eastAsia="仿宋_GB2312"/>
          <w:b w:val="0"/>
          <w:bCs/>
          <w:snapToGrid w:val="0"/>
          <w:kern w:val="0"/>
          <w:sz w:val="32"/>
          <w:szCs w:val="32"/>
          <w:highlight w:val="none"/>
        </w:rPr>
        <w:t>万元，完成预算的</w:t>
      </w:r>
      <w:r>
        <w:rPr>
          <w:rFonts w:hint="eastAsia" w:eastAsia="仿宋_GB2312"/>
          <w:b w:val="0"/>
          <w:bCs/>
          <w:snapToGrid w:val="0"/>
          <w:kern w:val="0"/>
          <w:sz w:val="32"/>
          <w:szCs w:val="32"/>
          <w:highlight w:val="none"/>
          <w:lang w:val="en-US" w:eastAsia="zh-CN"/>
        </w:rPr>
        <w:t>100</w:t>
      </w:r>
      <w:r>
        <w:rPr>
          <w:rFonts w:eastAsia="仿宋_GB2312"/>
          <w:b w:val="0"/>
          <w:bCs/>
          <w:snapToGrid w:val="0"/>
          <w:kern w:val="0"/>
          <w:sz w:val="32"/>
          <w:szCs w:val="32"/>
          <w:highlight w:val="none"/>
        </w:rPr>
        <w:t>%</w:t>
      </w:r>
      <w:r>
        <w:rPr>
          <w:rFonts w:hint="eastAsia" w:eastAsia="仿宋_GB2312"/>
          <w:bCs/>
          <w:snapToGrid w:val="0"/>
          <w:kern w:val="0"/>
          <w:sz w:val="32"/>
          <w:szCs w:val="32"/>
          <w:lang w:eastAsia="zh-CN"/>
        </w:rPr>
        <w:t>。</w:t>
      </w:r>
      <w:r>
        <w:rPr>
          <w:rFonts w:hint="eastAsia" w:eastAsia="仿宋_GB2312"/>
          <w:bCs/>
          <w:snapToGrid w:val="0"/>
          <w:kern w:val="0"/>
          <w:sz w:val="32"/>
          <w:szCs w:val="32"/>
          <w:lang w:val="en-US" w:eastAsia="zh-CN"/>
        </w:rPr>
        <w:t>在全国两会期间推出省情介绍外宣片、外宣书、外宣品等，配合两会主题宣传和系列对外交流活动，克服新冠肺炎疫情不利影响，积极争取多渠道传播，扩大宣传力度，提高宣传效果。</w:t>
      </w:r>
    </w:p>
    <w:tbl>
      <w:tblPr>
        <w:tblStyle w:val="12"/>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290"/>
        <w:gridCol w:w="1110"/>
        <w:gridCol w:w="540"/>
        <w:gridCol w:w="1500"/>
        <w:gridCol w:w="2205"/>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40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b/>
                <w:bCs/>
                <w:i w:val="0"/>
                <w:iCs w:val="0"/>
                <w:color w:val="000000"/>
                <w:sz w:val="32"/>
                <w:szCs w:val="32"/>
                <w:u w:val="none"/>
              </w:rPr>
            </w:pPr>
            <w:r>
              <w:rPr>
                <w:rFonts w:hint="eastAsia" w:ascii="宋体" w:eastAsia="宋体" w:cs="宋体"/>
                <w:b/>
                <w:bCs/>
                <w:i w:val="0"/>
                <w:iCs w:val="0"/>
                <w:color w:val="000000"/>
                <w:kern w:val="0"/>
                <w:sz w:val="32"/>
                <w:szCs w:val="32"/>
                <w:u w:val="none"/>
                <w:lang w:val="en-US" w:eastAsia="zh-CN"/>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0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2020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外宣及其系列纪念活动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中共四川省委宣传部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中国共产党四川省委员会宣传部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项目预算</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执行情况</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执行数：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情</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况</w:t>
            </w:r>
          </w:p>
        </w:tc>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1366”外宣工作思路，围绕脱贫攻坚、对外开放等大事要事，拟在全国“两会”、全面建成小康社会、全省开放发展大会等时间节点，主打“天府四川”形象标识，制作推出“1+2”多语种外宣片：1部高清省情介绍片，脱贫攻坚和开放发展等两部主题高清短片。展示四川开放包容、崇德尚实、吃苦耐劳、敢为人先、达观友善、巴适安逸的人文精神，展示四川经济社会发展成就、多彩人文之韵、生态自然之美，塑造四川良好形象。</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在全国两会期间推出省情介绍外宣片、外宣书、外宣品等，配合两会主题宣传和系列对外交流活动，克服新冠肺炎疫情不利影响，积极争取多渠道传播，扩大宣传力度，提高宣传效果。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多语种外宣片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部</w:t>
            </w:r>
            <w:r>
              <w:rPr>
                <w:rFonts w:ascii="Arial" w:hAnsi="Arial" w:eastAsia="宋体" w:cs="Arial"/>
                <w:i w:val="0"/>
                <w:iCs w:val="0"/>
                <w:color w:val="000000"/>
                <w:kern w:val="0"/>
                <w:sz w:val="20"/>
                <w:szCs w:val="20"/>
                <w:u w:val="none"/>
                <w:lang w:val="en-US" w:eastAsia="zh-CN" w:bidi="ar"/>
              </w:rPr>
              <w:t>5-10</w:t>
            </w:r>
            <w:r>
              <w:rPr>
                <w:rFonts w:hint="eastAsia" w:ascii="宋体" w:hAnsi="宋体" w:eastAsia="宋体" w:cs="宋体"/>
                <w:i w:val="0"/>
                <w:iCs w:val="0"/>
                <w:color w:val="000000"/>
                <w:kern w:val="0"/>
                <w:sz w:val="20"/>
                <w:szCs w:val="20"/>
                <w:u w:val="none"/>
                <w:lang w:val="en-US" w:eastAsia="zh-CN" w:bidi="ar"/>
              </w:rPr>
              <w:t>分钟中英文对照基础版本，</w:t>
            </w:r>
            <w:r>
              <w:rPr>
                <w:rFonts w:ascii="Arial" w:hAnsi="Arial" w:eastAsia="宋体" w:cs="Arial"/>
                <w:i w:val="0"/>
                <w:iCs w:val="0"/>
                <w:color w:val="000000"/>
                <w:kern w:val="0"/>
                <w:sz w:val="20"/>
                <w:szCs w:val="20"/>
                <w:u w:val="none"/>
                <w:lang w:val="en-US" w:eastAsia="zh-CN" w:bidi="ar"/>
              </w:rPr>
              <w:t>3-5</w:t>
            </w:r>
            <w:r>
              <w:rPr>
                <w:rFonts w:hint="eastAsia" w:ascii="宋体" w:hAnsi="宋体" w:eastAsia="宋体" w:cs="宋体"/>
                <w:i w:val="0"/>
                <w:iCs w:val="0"/>
                <w:color w:val="000000"/>
                <w:kern w:val="0"/>
                <w:sz w:val="20"/>
                <w:szCs w:val="20"/>
                <w:u w:val="none"/>
                <w:lang w:val="en-US" w:eastAsia="zh-CN" w:bidi="ar"/>
              </w:rPr>
              <w:t>个语种延伸版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r>
              <w:rPr>
                <w:rFonts w:ascii="Arial" w:hAnsi="Arial" w:eastAsia="宋体" w:cs="Arial"/>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分钟中英文省情介绍外宣片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境外人士四川行采访采风活动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次左右</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受疫情影响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四川特色外宣品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ascii="Arial" w:hAnsi="Arial" w:eastAsia="宋体" w:cs="Arial"/>
                <w:i w:val="0"/>
                <w:iCs w:val="0"/>
                <w:color w:val="000000"/>
                <w:kern w:val="0"/>
                <w:sz w:val="20"/>
                <w:szCs w:val="20"/>
                <w:u w:val="none"/>
                <w:lang w:val="en-US" w:eastAsia="zh-CN" w:bidi="ar"/>
              </w:rPr>
              <w:t>50-400</w:t>
            </w:r>
            <w:r>
              <w:rPr>
                <w:rFonts w:hint="eastAsia" w:ascii="宋体" w:hAnsi="宋体" w:eastAsia="宋体" w:cs="宋体"/>
                <w:i w:val="0"/>
                <w:iCs w:val="0"/>
                <w:color w:val="000000"/>
                <w:kern w:val="0"/>
                <w:sz w:val="20"/>
                <w:szCs w:val="20"/>
                <w:u w:val="none"/>
                <w:lang w:val="en-US" w:eastAsia="zh-CN" w:bidi="ar"/>
              </w:rPr>
              <w:t>元的外宣品一批</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制作一批笔记本、徽章等，用于境外人士来川采访、对外交流系列活动。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全国两会主题外宣</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在全国两会期间开展主题外宣</w:t>
            </w:r>
            <w:r>
              <w:rPr>
                <w:rFonts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次</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已完成，两会期间同步推出外宣画册、省情介绍外宣片；协调香港商报等媒体报道我省情况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外宣画册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版中英文对照基础画册，印数</w:t>
            </w:r>
            <w:r>
              <w:rPr>
                <w:rFonts w:ascii="Arial" w:hAnsi="Arial" w:eastAsia="宋体" w:cs="Arial"/>
                <w:i w:val="0"/>
                <w:iCs w:val="0"/>
                <w:color w:val="000000"/>
                <w:kern w:val="0"/>
                <w:sz w:val="20"/>
                <w:szCs w:val="20"/>
                <w:u w:val="none"/>
                <w:lang w:val="en-US" w:eastAsia="zh-CN" w:bidi="ar"/>
              </w:rPr>
              <w:t>2000</w:t>
            </w:r>
            <w:r>
              <w:rPr>
                <w:rFonts w:hint="eastAsia" w:ascii="宋体" w:hAnsi="宋体" w:eastAsia="宋体" w:cs="宋体"/>
                <w:i w:val="0"/>
                <w:iCs w:val="0"/>
                <w:color w:val="000000"/>
                <w:kern w:val="0"/>
                <w:sz w:val="20"/>
                <w:szCs w:val="20"/>
                <w:u w:val="none"/>
                <w:lang w:val="en-US" w:eastAsia="zh-CN" w:bidi="ar"/>
              </w:rPr>
              <w:t>册左右，</w:t>
            </w:r>
            <w:r>
              <w:rPr>
                <w:rFonts w:ascii="Arial" w:hAnsi="Arial" w:eastAsia="宋体" w:cs="Arial"/>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个语种延伸版，印数</w:t>
            </w:r>
            <w:r>
              <w:rPr>
                <w:rFonts w:ascii="Arial" w:hAnsi="Arial" w:eastAsia="宋体" w:cs="Arial"/>
                <w:i w:val="0"/>
                <w:iCs w:val="0"/>
                <w:color w:val="000000"/>
                <w:kern w:val="0"/>
                <w:sz w:val="20"/>
                <w:szCs w:val="20"/>
                <w:u w:val="none"/>
                <w:lang w:val="en-US" w:eastAsia="zh-CN" w:bidi="ar"/>
              </w:rPr>
              <w:t>1000</w:t>
            </w:r>
            <w:r>
              <w:rPr>
                <w:rFonts w:hint="eastAsia" w:ascii="宋体" w:hAnsi="宋体" w:eastAsia="宋体" w:cs="宋体"/>
                <w:i w:val="0"/>
                <w:iCs w:val="0"/>
                <w:color w:val="000000"/>
                <w:kern w:val="0"/>
                <w:sz w:val="20"/>
                <w:szCs w:val="20"/>
                <w:u w:val="none"/>
                <w:lang w:val="en-US" w:eastAsia="zh-CN" w:bidi="ar"/>
              </w:rPr>
              <w:t>册左右。</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印制</w:t>
            </w:r>
            <w:r>
              <w:rPr>
                <w:rFonts w:ascii="Arial" w:hAnsi="Arial" w:eastAsia="宋体" w:cs="Arial"/>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册《</w:t>
            </w:r>
            <w:r>
              <w:rPr>
                <w:rFonts w:ascii="Arial" w:hAnsi="Arial" w:eastAsia="宋体" w:cs="Arial"/>
                <w:i w:val="0"/>
                <w:iCs w:val="0"/>
                <w:color w:val="000000"/>
                <w:kern w:val="0"/>
                <w:sz w:val="20"/>
                <w:szCs w:val="20"/>
                <w:u w:val="none"/>
                <w:lang w:val="en-US" w:eastAsia="zh-CN" w:bidi="ar"/>
              </w:rPr>
              <w:t>2020</w:t>
            </w:r>
            <w:r>
              <w:rPr>
                <w:rFonts w:hint="eastAsia" w:ascii="宋体" w:hAnsi="宋体" w:eastAsia="宋体" w:cs="宋体"/>
                <w:i w:val="0"/>
                <w:iCs w:val="0"/>
                <w:color w:val="000000"/>
                <w:kern w:val="0"/>
                <w:sz w:val="20"/>
                <w:szCs w:val="20"/>
                <w:u w:val="none"/>
                <w:lang w:val="en-US" w:eastAsia="zh-CN" w:bidi="ar"/>
              </w:rPr>
              <w:t>天府四川》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外宣品质量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做工精致，有四川特色</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做工精致有特色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高清晰度，事宜多个平台播放</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1920*1080</w:t>
            </w:r>
            <w:r>
              <w:rPr>
                <w:rFonts w:hint="eastAsia" w:ascii="宋体" w:hAnsi="宋体" w:eastAsia="宋体" w:cs="宋体"/>
                <w:i w:val="0"/>
                <w:iCs w:val="0"/>
                <w:color w:val="000000"/>
                <w:kern w:val="0"/>
                <w:sz w:val="20"/>
                <w:szCs w:val="20"/>
                <w:u w:val="none"/>
                <w:lang w:val="en-US" w:eastAsia="zh-CN" w:bidi="ar"/>
              </w:rPr>
              <w:t>，</w:t>
            </w:r>
            <w:r>
              <w:rPr>
                <w:rFonts w:ascii="Arial" w:hAnsi="Arial" w:eastAsia="宋体" w:cs="Arial"/>
                <w:i w:val="0"/>
                <w:iCs w:val="0"/>
                <w:color w:val="000000"/>
                <w:kern w:val="0"/>
                <w:sz w:val="20"/>
                <w:szCs w:val="20"/>
                <w:u w:val="none"/>
                <w:lang w:val="en-US" w:eastAsia="zh-CN" w:bidi="ar"/>
              </w:rPr>
              <w:t>MP4</w:t>
            </w:r>
            <w:r>
              <w:rPr>
                <w:rFonts w:hint="eastAsia" w:ascii="宋体" w:hAnsi="宋体" w:eastAsia="宋体" w:cs="宋体"/>
                <w:i w:val="0"/>
                <w:iCs w:val="0"/>
                <w:color w:val="000000"/>
                <w:kern w:val="0"/>
                <w:sz w:val="20"/>
                <w:szCs w:val="20"/>
                <w:u w:val="none"/>
                <w:lang w:val="en-US" w:eastAsia="zh-CN" w:bidi="ar"/>
              </w:rPr>
              <w:t>版本，已用于境内外多个平台播放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宣传画册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印刷清晰，纸张精美，文字精确</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印刷清晰，纸张精美，文字精确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44166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外宣品成本</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不超出外事赠礼有关规定</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符合外事规定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四川形象宣传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四川知名度和美誉度进一步提升，良好四川形象进一步彰显</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作品质量较高，传播广泛，获得中宣部文件表扬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制作符合环保要求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意</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w:t>
            </w:r>
          </w:p>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中宣部及省委省政府满意度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r>
    </w:tbl>
    <w:p>
      <w:pPr>
        <w:widowControl w:val="0"/>
        <w:spacing w:line="580" w:lineRule="exact"/>
        <w:jc w:val="both"/>
        <w:rPr>
          <w:rFonts w:eastAsia="仿宋_GB2312"/>
          <w:bCs/>
          <w:snapToGrid w:val="0"/>
          <w:kern w:val="0"/>
          <w:sz w:val="32"/>
          <w:szCs w:val="32"/>
        </w:rPr>
      </w:pPr>
    </w:p>
    <w:p>
      <w:pPr>
        <w:pStyle w:val="2"/>
        <w:rPr>
          <w:rFonts w:eastAsia="仿宋_GB2312"/>
          <w:bCs/>
          <w:snapToGrid w:val="0"/>
          <w:kern w:val="0"/>
          <w:sz w:val="32"/>
          <w:szCs w:val="32"/>
        </w:rPr>
      </w:pPr>
    </w:p>
    <w:p>
      <w:pPr>
        <w:pStyle w:val="2"/>
        <w:rPr>
          <w:rFonts w:eastAsia="仿宋_GB2312"/>
          <w:bCs/>
          <w:snapToGrid w:val="0"/>
          <w:kern w:val="0"/>
          <w:sz w:val="32"/>
          <w:szCs w:val="32"/>
        </w:rPr>
      </w:pPr>
    </w:p>
    <w:p>
      <w:pPr>
        <w:pStyle w:val="2"/>
        <w:rPr>
          <w:rFonts w:eastAsia="仿宋_GB2312"/>
          <w:bCs/>
          <w:snapToGrid w:val="0"/>
          <w:kern w:val="0"/>
          <w:sz w:val="32"/>
          <w:szCs w:val="32"/>
        </w:rPr>
      </w:pPr>
    </w:p>
    <w:p>
      <w:pPr>
        <w:pStyle w:val="2"/>
        <w:rPr>
          <w:rFonts w:eastAsia="仿宋_GB2312"/>
          <w:bCs/>
          <w:snapToGrid w:val="0"/>
          <w:kern w:val="0"/>
          <w:sz w:val="32"/>
          <w:szCs w:val="32"/>
        </w:rPr>
      </w:pPr>
    </w:p>
    <w:p>
      <w:pPr>
        <w:spacing w:line="580" w:lineRule="exact"/>
        <w:ind w:left="630"/>
        <w:rPr>
          <w:rFonts w:ascii="仿宋_GB2312" w:eastAsia="仿宋_GB2312" w:cs="仿宋_GB2312"/>
          <w:sz w:val="32"/>
          <w:szCs w:val="32"/>
        </w:rPr>
      </w:pPr>
      <w:r>
        <w:rPr>
          <w:rFonts w:hint="eastAsia" w:ascii="楷体_GB2312" w:eastAsia="楷体_GB2312" w:cs="楷体_GB2312"/>
          <w:sz w:val="32"/>
          <w:szCs w:val="32"/>
          <w:lang w:eastAsia="zh-CN"/>
        </w:rPr>
        <w:t>（</w:t>
      </w:r>
      <w:r>
        <w:rPr>
          <w:rFonts w:hint="eastAsia" w:ascii="楷体_GB2312" w:eastAsia="楷体_GB2312" w:cs="楷体_GB2312"/>
          <w:sz w:val="32"/>
          <w:szCs w:val="32"/>
          <w:lang w:val="en-US" w:eastAsia="zh-CN"/>
        </w:rPr>
        <w:t>2</w:t>
      </w:r>
      <w:r>
        <w:rPr>
          <w:rFonts w:hint="eastAsia" w:ascii="楷体_GB2312" w:eastAsia="楷体_GB2312" w:cs="楷体_GB2312"/>
          <w:sz w:val="32"/>
          <w:szCs w:val="32"/>
          <w:lang w:eastAsia="zh-CN"/>
        </w:rPr>
        <w:t>）</w:t>
      </w:r>
      <w:r>
        <w:rPr>
          <w:rFonts w:hint="eastAsia" w:ascii="楷体_GB2312" w:eastAsia="楷体_GB2312" w:cs="楷体_GB2312"/>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宣传部</w:t>
      </w:r>
      <w:r>
        <w:rPr>
          <w:rFonts w:hint="eastAsia" w:ascii="仿宋_GB2312" w:eastAsia="仿宋_GB2312" w:cs="仿宋_GB2312"/>
          <w:sz w:val="32"/>
          <w:szCs w:val="32"/>
        </w:rPr>
        <w:t>部门20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年部门整体支出绩效评价报告》见附件</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w:t>
      </w:r>
    </w:p>
    <w:p>
      <w:pPr>
        <w:widowControl/>
        <w:ind w:firstLine="161" w:firstLineChars="50"/>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left="0" w:firstLine="660" w:firstLineChars="150"/>
        <w:jc w:val="center"/>
        <w:outlineLvl w:val="0"/>
        <w:rPr>
          <w:rStyle w:val="16"/>
          <w:rFonts w:ascii="黑体" w:eastAsia="黑体"/>
          <w:b w:val="0"/>
        </w:rPr>
      </w:pPr>
      <w:bookmarkStart w:id="53" w:name="_Toc15396613"/>
      <w:bookmarkStart w:id="54" w:name="_Toc15377225"/>
      <w:r>
        <w:rPr>
          <w:rFonts w:hint="eastAsia" w:ascii="黑体" w:eastAsia="黑体"/>
          <w:color w:val="000000"/>
          <w:sz w:val="44"/>
          <w:szCs w:val="44"/>
        </w:rPr>
        <w:t>名</w:t>
      </w:r>
      <w:r>
        <w:rPr>
          <w:rStyle w:val="16"/>
          <w:rFonts w:hint="eastAsia" w:ascii="黑体" w:eastAsia="黑体"/>
          <w:b w:val="0"/>
        </w:rPr>
        <w:t>词解释</w:t>
      </w:r>
      <w:bookmarkEnd w:id="53"/>
      <w:bookmarkEnd w:id="54"/>
    </w:p>
    <w:p>
      <w:pPr>
        <w:spacing w:line="600" w:lineRule="exact"/>
        <w:jc w:val="left"/>
        <w:rPr>
          <w:rFonts w:ascii="宋体"/>
          <w:b/>
          <w:color w:val="000000"/>
          <w:sz w:val="44"/>
          <w:szCs w:val="44"/>
        </w:rPr>
      </w:pPr>
    </w:p>
    <w:p>
      <w:pPr>
        <w:pStyle w:val="21"/>
        <w:spacing w:line="560" w:lineRule="exact"/>
        <w:ind w:firstLine="640" w:firstLineChars="200"/>
        <w:rPr>
          <w:rFonts w:hint="eastAsia" w:ascii="仿宋_GB2312" w:eastAsia="仿宋_GB2312"/>
          <w:sz w:val="32"/>
          <w:szCs w:val="32"/>
        </w:rPr>
      </w:pPr>
      <w:r>
        <w:rPr>
          <w:rFonts w:ascii="Times New Roman" w:hAnsi="Times New Roman" w:eastAsia="楷体_GB2312" w:cs="Times New Roman"/>
          <w:b w:val="0"/>
          <w:bCs/>
          <w:snapToGrid w:val="0"/>
          <w:color w:val="000000"/>
          <w:kern w:val="0"/>
          <w:sz w:val="32"/>
          <w:szCs w:val="32"/>
          <w:lang w:val="en-US" w:eastAsia="zh-CN" w:bidi="ar-SA"/>
        </w:rPr>
        <w:t>1.</w:t>
      </w:r>
      <w:r>
        <w:rPr>
          <w:rFonts w:hint="eastAsia" w:ascii="Times New Roman" w:hAnsi="Times New Roman" w:eastAsia="楷体_GB2312" w:cs="Times New Roman"/>
          <w:b w:val="0"/>
          <w:bCs/>
          <w:snapToGrid w:val="0"/>
          <w:color w:val="000000"/>
          <w:kern w:val="0"/>
          <w:sz w:val="32"/>
          <w:szCs w:val="32"/>
          <w:lang w:val="en-US" w:eastAsia="zh-CN" w:bidi="ar-SA"/>
        </w:rPr>
        <w:t>财政拨款收入：</w:t>
      </w:r>
      <w:r>
        <w:rPr>
          <w:rFonts w:hint="eastAsia" w:ascii="仿宋_GB2312" w:eastAsia="仿宋_GB2312"/>
          <w:sz w:val="32"/>
          <w:szCs w:val="32"/>
        </w:rPr>
        <w:t>指单位从同级财政部门取得的财政预算资金。</w:t>
      </w:r>
    </w:p>
    <w:p>
      <w:pPr>
        <w:pStyle w:val="21"/>
        <w:spacing w:line="560" w:lineRule="exact"/>
        <w:ind w:firstLine="640" w:firstLineChars="200"/>
        <w:rPr>
          <w:rFonts w:hint="eastAsia" w:ascii="仿宋_GB2312" w:eastAsia="仿宋_GB2312"/>
          <w:sz w:val="32"/>
          <w:szCs w:val="32"/>
        </w:rPr>
      </w:pPr>
      <w:r>
        <w:rPr>
          <w:rFonts w:ascii="Times New Roman" w:hAnsi="Times New Roman" w:eastAsia="楷体_GB2312" w:cs="Times New Roman"/>
          <w:b w:val="0"/>
          <w:bCs/>
          <w:snapToGrid w:val="0"/>
          <w:color w:val="000000"/>
          <w:kern w:val="0"/>
          <w:sz w:val="32"/>
          <w:szCs w:val="32"/>
          <w:lang w:val="en-US" w:eastAsia="zh-CN" w:bidi="ar-SA"/>
        </w:rPr>
        <w:t>2.</w:t>
      </w:r>
      <w:r>
        <w:rPr>
          <w:rFonts w:hint="eastAsia" w:ascii="Times New Roman" w:hAnsi="Times New Roman" w:eastAsia="楷体_GB2312" w:cs="Times New Roman"/>
          <w:b w:val="0"/>
          <w:bCs/>
          <w:snapToGrid w:val="0"/>
          <w:color w:val="000000"/>
          <w:kern w:val="0"/>
          <w:sz w:val="32"/>
          <w:szCs w:val="32"/>
          <w:lang w:val="en-US" w:eastAsia="zh-CN" w:bidi="ar-SA"/>
        </w:rPr>
        <w:t>事业收入：</w:t>
      </w:r>
      <w:r>
        <w:rPr>
          <w:rFonts w:hint="eastAsia" w:ascii="仿宋_GB2312" w:eastAsia="仿宋_GB2312"/>
          <w:sz w:val="32"/>
          <w:szCs w:val="32"/>
        </w:rPr>
        <w:t>指事业单位开展专业业务活动及辅助活动取得的收入。</w:t>
      </w:r>
    </w:p>
    <w:p>
      <w:pPr>
        <w:pStyle w:val="21"/>
        <w:spacing w:line="560" w:lineRule="exact"/>
        <w:ind w:firstLine="640" w:firstLineChars="200"/>
        <w:rPr>
          <w:rFonts w:hint="eastAsia" w:ascii="仿宋_GB2312" w:eastAsia="仿宋_GB2312"/>
          <w:sz w:val="32"/>
          <w:szCs w:val="32"/>
        </w:rPr>
      </w:pPr>
      <w:r>
        <w:rPr>
          <w:rFonts w:ascii="Times New Roman" w:hAnsi="Times New Roman" w:eastAsia="楷体_GB2312" w:cs="Times New Roman"/>
          <w:b w:val="0"/>
          <w:bCs/>
          <w:snapToGrid w:val="0"/>
          <w:color w:val="000000"/>
          <w:kern w:val="0"/>
          <w:sz w:val="32"/>
          <w:szCs w:val="32"/>
          <w:lang w:val="en-US" w:eastAsia="zh-CN" w:bidi="ar-SA"/>
        </w:rPr>
        <w:t>3.</w:t>
      </w:r>
      <w:r>
        <w:rPr>
          <w:rFonts w:hint="eastAsia" w:ascii="Times New Roman" w:hAnsi="Times New Roman" w:eastAsia="楷体_GB2312" w:cs="Times New Roman"/>
          <w:b w:val="0"/>
          <w:bCs/>
          <w:snapToGrid w:val="0"/>
          <w:color w:val="000000"/>
          <w:kern w:val="0"/>
          <w:sz w:val="32"/>
          <w:szCs w:val="32"/>
          <w:lang w:val="en-US" w:eastAsia="zh-CN" w:bidi="ar-SA"/>
        </w:rPr>
        <w:t>经营收入：</w:t>
      </w:r>
      <w:r>
        <w:rPr>
          <w:rFonts w:hint="eastAsia" w:ascii="仿宋_GB2312" w:eastAsia="仿宋_GB2312"/>
          <w:sz w:val="32"/>
          <w:szCs w:val="32"/>
        </w:rPr>
        <w:t>指事业单位在专业业务活动及其辅助活动之外开展非独立核算经营活动取得的收入。</w:t>
      </w:r>
    </w:p>
    <w:p>
      <w:pPr>
        <w:pStyle w:val="21"/>
        <w:spacing w:line="560" w:lineRule="exact"/>
        <w:ind w:firstLine="640" w:firstLineChars="200"/>
        <w:rPr>
          <w:rFonts w:hint="eastAsia" w:ascii="仿宋_GB2312" w:eastAsia="仿宋_GB2312"/>
          <w:sz w:val="32"/>
          <w:szCs w:val="32"/>
          <w:lang w:eastAsia="zh-CN"/>
        </w:rPr>
      </w:pPr>
      <w:r>
        <w:rPr>
          <w:rFonts w:ascii="Times New Roman" w:hAnsi="Times New Roman" w:eastAsia="楷体_GB2312" w:cs="Times New Roman"/>
          <w:b w:val="0"/>
          <w:bCs/>
          <w:snapToGrid w:val="0"/>
          <w:color w:val="000000"/>
          <w:kern w:val="0"/>
          <w:sz w:val="32"/>
          <w:szCs w:val="32"/>
          <w:lang w:val="en-US" w:eastAsia="zh-CN" w:bidi="ar-SA"/>
        </w:rPr>
        <w:t>4.</w:t>
      </w:r>
      <w:r>
        <w:rPr>
          <w:rFonts w:hint="eastAsia" w:ascii="Times New Roman" w:hAnsi="Times New Roman" w:eastAsia="楷体_GB2312" w:cs="Times New Roman"/>
          <w:b w:val="0"/>
          <w:bCs/>
          <w:snapToGrid w:val="0"/>
          <w:color w:val="000000"/>
          <w:kern w:val="0"/>
          <w:sz w:val="32"/>
          <w:szCs w:val="32"/>
          <w:lang w:val="en-US" w:eastAsia="zh-CN" w:bidi="ar-SA"/>
        </w:rPr>
        <w:t>其他收入：</w:t>
      </w:r>
      <w:r>
        <w:rPr>
          <w:rFonts w:hint="eastAsia" w:ascii="仿宋_GB2312" w:eastAsia="仿宋_GB2312"/>
          <w:sz w:val="32"/>
          <w:szCs w:val="32"/>
        </w:rPr>
        <w:t>指单位取得的除上述收入以外的各项收入。</w:t>
      </w:r>
    </w:p>
    <w:p>
      <w:pPr>
        <w:pStyle w:val="21"/>
        <w:spacing w:line="560" w:lineRule="exact"/>
        <w:ind w:firstLine="640" w:firstLineChars="200"/>
        <w:rPr>
          <w:rFonts w:hint="eastAsia" w:ascii="仿宋_GB2312" w:eastAsia="仿宋_GB2312"/>
          <w:sz w:val="32"/>
          <w:szCs w:val="32"/>
        </w:rPr>
      </w:pPr>
      <w:r>
        <w:rPr>
          <w:rFonts w:ascii="Times New Roman" w:hAnsi="Times New Roman" w:eastAsia="楷体_GB2312" w:cs="Times New Roman"/>
          <w:b w:val="0"/>
          <w:bCs/>
          <w:snapToGrid w:val="0"/>
          <w:color w:val="000000"/>
          <w:kern w:val="0"/>
          <w:sz w:val="32"/>
          <w:szCs w:val="32"/>
          <w:lang w:val="en-US" w:eastAsia="zh-CN" w:bidi="ar-SA"/>
        </w:rPr>
        <w:t>5.</w:t>
      </w:r>
      <w:r>
        <w:rPr>
          <w:rFonts w:hint="eastAsia" w:ascii="Times New Roman" w:hAnsi="Times New Roman" w:eastAsia="楷体_GB2312" w:cs="Times New Roman"/>
          <w:b w:val="0"/>
          <w:bCs/>
          <w:snapToGrid w:val="0"/>
          <w:color w:val="000000"/>
          <w:kern w:val="0"/>
          <w:sz w:val="32"/>
          <w:szCs w:val="32"/>
          <w:lang w:val="en-US" w:eastAsia="zh-CN" w:bidi="ar-SA"/>
        </w:rPr>
        <w:t>用事业基金弥补收支差额</w:t>
      </w:r>
      <w:r>
        <w:rPr>
          <w:rFonts w:hint="eastAsia" w:ascii="仿宋_GB2312" w:eastAsia="仿宋_GB2312"/>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1"/>
        <w:spacing w:line="560" w:lineRule="exact"/>
        <w:ind w:firstLine="640" w:firstLineChars="200"/>
        <w:rPr>
          <w:rFonts w:hint="eastAsia" w:ascii="仿宋_GB2312" w:eastAsia="仿宋_GB2312"/>
          <w:sz w:val="32"/>
          <w:szCs w:val="32"/>
        </w:rPr>
      </w:pPr>
      <w:r>
        <w:rPr>
          <w:rFonts w:ascii="Times New Roman" w:hAnsi="Times New Roman" w:eastAsia="楷体_GB2312" w:cs="Times New Roman"/>
          <w:b w:val="0"/>
          <w:bCs/>
          <w:snapToGrid w:val="0"/>
          <w:color w:val="000000"/>
          <w:kern w:val="0"/>
          <w:sz w:val="32"/>
          <w:szCs w:val="32"/>
          <w:lang w:val="en-US" w:eastAsia="zh-CN" w:bidi="ar-SA"/>
        </w:rPr>
        <w:t>6.</w:t>
      </w:r>
      <w:r>
        <w:rPr>
          <w:rFonts w:hint="eastAsia" w:ascii="Times New Roman" w:hAnsi="Times New Roman" w:eastAsia="楷体_GB2312" w:cs="Times New Roman"/>
          <w:b w:val="0"/>
          <w:bCs/>
          <w:snapToGrid w:val="0"/>
          <w:color w:val="000000"/>
          <w:kern w:val="0"/>
          <w:sz w:val="32"/>
          <w:szCs w:val="32"/>
          <w:lang w:val="en-US" w:eastAsia="zh-CN" w:bidi="ar-SA"/>
        </w:rPr>
        <w:t>年初结转和结余：</w:t>
      </w:r>
      <w:r>
        <w:rPr>
          <w:rFonts w:hint="eastAsia" w:ascii="仿宋_GB2312" w:eastAsia="仿宋_GB2312"/>
          <w:sz w:val="32"/>
          <w:szCs w:val="32"/>
        </w:rPr>
        <w:t xml:space="preserve">指以前年度尚未完成、结转到本年按有关规定继续使用的资金。 </w:t>
      </w:r>
    </w:p>
    <w:p>
      <w:pPr>
        <w:pStyle w:val="21"/>
        <w:spacing w:line="560" w:lineRule="exact"/>
        <w:ind w:firstLine="640" w:firstLineChars="200"/>
        <w:rPr>
          <w:rFonts w:ascii="仿宋_GB2312" w:eastAsia="仿宋_GB2312"/>
          <w:sz w:val="32"/>
          <w:szCs w:val="32"/>
        </w:rPr>
      </w:pPr>
      <w:r>
        <w:rPr>
          <w:rFonts w:ascii="Times New Roman" w:hAnsi="Times New Roman" w:eastAsia="楷体_GB2312" w:cs="Times New Roman"/>
          <w:b w:val="0"/>
          <w:bCs/>
          <w:snapToGrid w:val="0"/>
          <w:color w:val="000000"/>
          <w:kern w:val="0"/>
          <w:sz w:val="32"/>
          <w:szCs w:val="32"/>
          <w:lang w:val="en-US" w:eastAsia="zh-CN" w:bidi="ar-SA"/>
        </w:rPr>
        <w:t>7.</w:t>
      </w:r>
      <w:r>
        <w:rPr>
          <w:rFonts w:hint="eastAsia" w:ascii="Times New Roman" w:hAnsi="Times New Roman" w:eastAsia="楷体_GB2312" w:cs="Times New Roman"/>
          <w:b w:val="0"/>
          <w:bCs/>
          <w:snapToGrid w:val="0"/>
          <w:color w:val="000000"/>
          <w:kern w:val="0"/>
          <w:sz w:val="32"/>
          <w:szCs w:val="32"/>
          <w:lang w:val="en-US" w:eastAsia="zh-CN" w:bidi="ar-SA"/>
        </w:rPr>
        <w:t>结余分配：</w:t>
      </w:r>
      <w:r>
        <w:rPr>
          <w:rFonts w:hint="eastAsia" w:ascii="仿宋_GB2312" w:eastAsia="仿宋_GB2312"/>
          <w:sz w:val="32"/>
          <w:szCs w:val="32"/>
        </w:rPr>
        <w:t>指事业单位按照事业单位会计制度的规定从非财政补助结余中分配的事业基金和职工福利基金等。</w:t>
      </w:r>
    </w:p>
    <w:p>
      <w:pPr>
        <w:pStyle w:val="21"/>
        <w:spacing w:line="560" w:lineRule="exact"/>
        <w:ind w:firstLine="640" w:firstLineChars="200"/>
        <w:rPr>
          <w:rFonts w:ascii="仿宋_GB2312" w:eastAsia="仿宋_GB2312"/>
          <w:sz w:val="32"/>
          <w:szCs w:val="32"/>
        </w:rPr>
      </w:pPr>
      <w:r>
        <w:rPr>
          <w:rFonts w:ascii="Times New Roman" w:hAnsi="Times New Roman" w:eastAsia="楷体_GB2312" w:cs="Times New Roman"/>
          <w:b w:val="0"/>
          <w:bCs/>
          <w:snapToGrid w:val="0"/>
          <w:color w:val="000000"/>
          <w:kern w:val="0"/>
          <w:sz w:val="32"/>
          <w:szCs w:val="32"/>
          <w:lang w:val="en-US" w:eastAsia="zh-CN" w:bidi="ar-SA"/>
        </w:rPr>
        <w:t>8</w:t>
      </w:r>
      <w:r>
        <w:rPr>
          <w:rFonts w:hint="eastAsia" w:ascii="Times New Roman" w:hAnsi="Times New Roman" w:eastAsia="楷体_GB2312" w:cs="Times New Roman"/>
          <w:b w:val="0"/>
          <w:bCs/>
          <w:snapToGrid w:val="0"/>
          <w:color w:val="000000"/>
          <w:kern w:val="0"/>
          <w:sz w:val="32"/>
          <w:szCs w:val="32"/>
          <w:lang w:val="en-US" w:eastAsia="zh-CN" w:bidi="ar-SA"/>
        </w:rPr>
        <w:t>、年末结转和结余</w:t>
      </w:r>
      <w:r>
        <w:rPr>
          <w:rFonts w:hint="eastAsia" w:ascii="仿宋_GB2312" w:eastAsia="仿宋_GB2312"/>
          <w:sz w:val="32"/>
          <w:szCs w:val="32"/>
        </w:rPr>
        <w:t>：指单位按有关规定结转到下年或以后年度继续使用的资金。</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hint="eastAsia" w:eastAsia="仿宋_GB2312"/>
          <w:b w:val="0"/>
          <w:bCs/>
          <w:snapToGrid w:val="0"/>
          <w:color w:val="000000"/>
          <w:kern w:val="0"/>
          <w:sz w:val="32"/>
          <w:szCs w:val="32"/>
          <w:lang w:val="en-US" w:eastAsia="zh-CN"/>
        </w:rPr>
        <w:t>9</w:t>
      </w:r>
      <w:r>
        <w:rPr>
          <w:rFonts w:eastAsia="仿宋_GB2312"/>
          <w:b w:val="0"/>
          <w:bCs/>
          <w:snapToGrid w:val="0"/>
          <w:color w:val="000000"/>
          <w:kern w:val="0"/>
          <w:sz w:val="32"/>
        </w:rPr>
        <w:t>．</w:t>
      </w:r>
      <w:r>
        <w:rPr>
          <w:rFonts w:eastAsia="楷体_GB2312"/>
          <w:b w:val="0"/>
          <w:bCs/>
          <w:snapToGrid w:val="0"/>
          <w:color w:val="000000"/>
          <w:kern w:val="0"/>
          <w:sz w:val="32"/>
          <w:szCs w:val="32"/>
        </w:rPr>
        <w:t>一般公共服务（类）宣传事务（款）行政运行（项）：</w:t>
      </w:r>
      <w:r>
        <w:rPr>
          <w:rFonts w:eastAsia="仿宋_GB2312"/>
          <w:b w:val="0"/>
          <w:bCs/>
          <w:snapToGrid w:val="0"/>
          <w:color w:val="000000"/>
          <w:kern w:val="0"/>
          <w:sz w:val="32"/>
          <w:szCs w:val="32"/>
        </w:rPr>
        <w:t>指宣传部行政单位和参照公务员法管理的事业单位，用于保障机构正常运行、开展日常工作的基本支出。</w:t>
      </w:r>
    </w:p>
    <w:p>
      <w:pPr>
        <w:overflowPunct w:val="0"/>
        <w:adjustRightInd w:val="0"/>
        <w:snapToGrid w:val="0"/>
        <w:spacing w:line="600" w:lineRule="exact"/>
        <w:ind w:firstLine="640" w:firstLineChars="200"/>
        <w:rPr>
          <w:rStyle w:val="25"/>
          <w:rFonts w:ascii="Times New Roman" w:hAnsi="Times New Roman"/>
          <w:b w:val="0"/>
          <w:bCs/>
          <w:snapToGrid w:val="0"/>
          <w:kern w:val="0"/>
        </w:rPr>
      </w:pPr>
      <w:r>
        <w:rPr>
          <w:rFonts w:hint="eastAsia" w:eastAsia="仿宋_GB2312"/>
          <w:b w:val="0"/>
          <w:bCs/>
          <w:snapToGrid w:val="0"/>
          <w:color w:val="000000"/>
          <w:kern w:val="0"/>
          <w:sz w:val="32"/>
          <w:szCs w:val="32"/>
          <w:lang w:val="en-US" w:eastAsia="zh-CN"/>
        </w:rPr>
        <w:t>10</w:t>
      </w:r>
      <w:r>
        <w:rPr>
          <w:rFonts w:eastAsia="仿宋_GB2312"/>
          <w:b w:val="0"/>
          <w:bCs/>
          <w:snapToGrid w:val="0"/>
          <w:color w:val="000000"/>
          <w:kern w:val="0"/>
          <w:sz w:val="32"/>
        </w:rPr>
        <w:t>．</w:t>
      </w:r>
      <w:r>
        <w:rPr>
          <w:rFonts w:eastAsia="楷体_GB2312"/>
          <w:b w:val="0"/>
          <w:bCs/>
          <w:snapToGrid w:val="0"/>
          <w:color w:val="000000"/>
          <w:kern w:val="0"/>
          <w:sz w:val="32"/>
          <w:szCs w:val="32"/>
        </w:rPr>
        <w:t>一般公共服务（类）宣传事务（款）一般行政管理事务（项）：</w:t>
      </w:r>
      <w:r>
        <w:rPr>
          <w:rStyle w:val="25"/>
          <w:rFonts w:ascii="Times New Roman" w:hAnsi="Times New Roman"/>
          <w:b w:val="0"/>
          <w:bCs/>
          <w:snapToGrid w:val="0"/>
          <w:kern w:val="0"/>
        </w:rPr>
        <w:t>指宣传部行政单位及参照公务员法管理的事业单位未单独设置项级科目的其他项目支出。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1</w:t>
      </w:r>
      <w:r>
        <w:rPr>
          <w:rFonts w:eastAsia="仿宋_GB2312"/>
          <w:b w:val="0"/>
          <w:bCs/>
          <w:snapToGrid w:val="0"/>
          <w:color w:val="000000"/>
          <w:kern w:val="0"/>
          <w:sz w:val="32"/>
        </w:rPr>
        <w:t>．</w:t>
      </w:r>
      <w:r>
        <w:rPr>
          <w:rFonts w:eastAsia="楷体_GB2312"/>
          <w:b w:val="0"/>
          <w:bCs/>
          <w:snapToGrid w:val="0"/>
          <w:color w:val="000000"/>
          <w:kern w:val="0"/>
          <w:sz w:val="32"/>
          <w:szCs w:val="32"/>
        </w:rPr>
        <w:t>一般公共服务（类）宣传事务（款）事业运行（项）</w:t>
      </w:r>
      <w:r>
        <w:rPr>
          <w:rFonts w:hint="eastAsia" w:eastAsia="楷体_GB2312"/>
          <w:b w:val="0"/>
          <w:bCs/>
          <w:snapToGrid w:val="0"/>
          <w:color w:val="000000"/>
          <w:kern w:val="0"/>
          <w:sz w:val="32"/>
          <w:szCs w:val="32"/>
        </w:rPr>
        <w:t>：</w:t>
      </w:r>
      <w:r>
        <w:rPr>
          <w:rFonts w:eastAsia="仿宋_GB2312"/>
          <w:b w:val="0"/>
          <w:bCs/>
          <w:snapToGrid w:val="0"/>
          <w:color w:val="000000"/>
          <w:kern w:val="0"/>
          <w:sz w:val="32"/>
          <w:szCs w:val="32"/>
        </w:rPr>
        <w:t>指</w:t>
      </w:r>
      <w:r>
        <w:rPr>
          <w:rStyle w:val="25"/>
          <w:rFonts w:ascii="Times New Roman" w:hAnsi="Times New Roman"/>
          <w:b w:val="0"/>
          <w:bCs/>
          <w:snapToGrid w:val="0"/>
          <w:kern w:val="0"/>
        </w:rPr>
        <w:t>宣传部下属事业单位用于保障机构正常运行、开展日常工作的基本支出。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2</w:t>
      </w:r>
      <w:r>
        <w:rPr>
          <w:rFonts w:eastAsia="仿宋_GB2312"/>
          <w:b w:val="0"/>
          <w:bCs/>
          <w:snapToGrid w:val="0"/>
          <w:color w:val="000000"/>
          <w:kern w:val="0"/>
          <w:sz w:val="32"/>
        </w:rPr>
        <w:t>．</w:t>
      </w:r>
      <w:r>
        <w:rPr>
          <w:rFonts w:eastAsia="楷体_GB2312"/>
          <w:b w:val="0"/>
          <w:bCs/>
          <w:snapToGrid w:val="0"/>
          <w:color w:val="000000"/>
          <w:kern w:val="0"/>
          <w:sz w:val="32"/>
          <w:szCs w:val="32"/>
        </w:rPr>
        <w:t>教育支出（类）普通教育（款）高等教育（项）：</w:t>
      </w:r>
      <w:r>
        <w:rPr>
          <w:rFonts w:eastAsia="仿宋_GB2312"/>
          <w:b w:val="0"/>
          <w:bCs/>
          <w:snapToGrid w:val="0"/>
          <w:color w:val="000000"/>
          <w:kern w:val="0"/>
          <w:sz w:val="32"/>
          <w:szCs w:val="32"/>
        </w:rPr>
        <w:t>指宣传部下属单位四川省干部函授学院（四川省文化产业学院）日常工作运转的支出。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3</w:t>
      </w:r>
      <w:r>
        <w:rPr>
          <w:rFonts w:eastAsia="仿宋_GB2312"/>
          <w:b w:val="0"/>
          <w:bCs/>
          <w:snapToGrid w:val="0"/>
          <w:color w:val="000000"/>
          <w:kern w:val="0"/>
          <w:sz w:val="32"/>
        </w:rPr>
        <w:t>．</w:t>
      </w:r>
      <w:r>
        <w:rPr>
          <w:rFonts w:eastAsia="楷体_GB2312"/>
          <w:b w:val="0"/>
          <w:bCs/>
          <w:snapToGrid w:val="0"/>
          <w:color w:val="000000"/>
          <w:kern w:val="0"/>
          <w:sz w:val="32"/>
          <w:szCs w:val="32"/>
        </w:rPr>
        <w:t>教育支出（类）职业教育（款）中专教育（项）：</w:t>
      </w:r>
      <w:r>
        <w:rPr>
          <w:rFonts w:eastAsia="仿宋_GB2312"/>
          <w:b w:val="0"/>
          <w:bCs/>
          <w:snapToGrid w:val="0"/>
          <w:color w:val="000000"/>
          <w:kern w:val="0"/>
          <w:sz w:val="32"/>
          <w:szCs w:val="32"/>
        </w:rPr>
        <w:t>指宣传部下属单位四川省干部函授学院（四川省文化产业学院）日常工作运转的支出。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4</w:t>
      </w:r>
      <w:r>
        <w:rPr>
          <w:rFonts w:eastAsia="仿宋_GB2312"/>
          <w:b w:val="0"/>
          <w:bCs/>
          <w:snapToGrid w:val="0"/>
          <w:color w:val="000000"/>
          <w:kern w:val="0"/>
          <w:sz w:val="32"/>
        </w:rPr>
        <w:t>．</w:t>
      </w:r>
      <w:r>
        <w:rPr>
          <w:rFonts w:eastAsia="楷体_GB2312"/>
          <w:b w:val="0"/>
          <w:bCs/>
          <w:snapToGrid w:val="0"/>
          <w:color w:val="000000"/>
          <w:kern w:val="0"/>
          <w:sz w:val="32"/>
          <w:szCs w:val="32"/>
        </w:rPr>
        <w:t>教育支出（类）职业教育（款）高等职业教育（项）：</w:t>
      </w:r>
      <w:r>
        <w:rPr>
          <w:rFonts w:eastAsia="仿宋_GB2312"/>
          <w:b w:val="0"/>
          <w:bCs/>
          <w:snapToGrid w:val="0"/>
          <w:color w:val="000000"/>
          <w:kern w:val="0"/>
          <w:sz w:val="32"/>
          <w:szCs w:val="32"/>
        </w:rPr>
        <w:t>指宣传部下属单位四川省干部函授学院（四川省文化产业学院）日常工作运转的支出。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5</w:t>
      </w:r>
      <w:r>
        <w:rPr>
          <w:rFonts w:eastAsia="仿宋_GB2312"/>
          <w:b w:val="0"/>
          <w:bCs/>
          <w:snapToGrid w:val="0"/>
          <w:color w:val="000000"/>
          <w:kern w:val="0"/>
          <w:sz w:val="32"/>
        </w:rPr>
        <w:t>．</w:t>
      </w:r>
      <w:r>
        <w:rPr>
          <w:rFonts w:eastAsia="楷体_GB2312"/>
          <w:b w:val="0"/>
          <w:bCs/>
          <w:snapToGrid w:val="0"/>
          <w:color w:val="000000"/>
          <w:kern w:val="0"/>
          <w:sz w:val="32"/>
          <w:szCs w:val="32"/>
        </w:rPr>
        <w:t>教育支出（类）进修及培训（款）教师进修（项）：</w:t>
      </w:r>
      <w:r>
        <w:rPr>
          <w:rFonts w:eastAsia="仿宋_GB2312"/>
          <w:b w:val="0"/>
          <w:bCs/>
          <w:snapToGrid w:val="0"/>
          <w:color w:val="000000"/>
          <w:kern w:val="0"/>
          <w:sz w:val="32"/>
          <w:szCs w:val="32"/>
        </w:rPr>
        <w:t>指宣传部下属单位四川省干部函授学院（四川省文化产业学院）用于教师进修的支出。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6</w:t>
      </w:r>
      <w:r>
        <w:rPr>
          <w:rFonts w:eastAsia="仿宋_GB2312"/>
          <w:b w:val="0"/>
          <w:bCs/>
          <w:snapToGrid w:val="0"/>
          <w:color w:val="000000"/>
          <w:kern w:val="0"/>
          <w:sz w:val="32"/>
        </w:rPr>
        <w:t>．</w:t>
      </w:r>
      <w:r>
        <w:rPr>
          <w:rFonts w:eastAsia="楷体_GB2312"/>
          <w:b w:val="0"/>
          <w:bCs/>
          <w:snapToGrid w:val="0"/>
          <w:color w:val="000000"/>
          <w:kern w:val="0"/>
          <w:sz w:val="32"/>
          <w:szCs w:val="32"/>
        </w:rPr>
        <w:t>教育支出（类）进修及培训（款）培训支出（项）：</w:t>
      </w:r>
      <w:r>
        <w:rPr>
          <w:rFonts w:eastAsia="仿宋_GB2312"/>
          <w:b w:val="0"/>
          <w:bCs/>
          <w:snapToGrid w:val="0"/>
          <w:color w:val="000000"/>
          <w:kern w:val="0"/>
          <w:sz w:val="32"/>
          <w:szCs w:val="32"/>
        </w:rPr>
        <w:t>指宣传部下属单位四川省干部函授学院（四川省文化产业学院）用于培训的支出。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7</w:t>
      </w:r>
      <w:r>
        <w:rPr>
          <w:rFonts w:eastAsia="仿宋_GB2312"/>
          <w:b w:val="0"/>
          <w:bCs/>
          <w:snapToGrid w:val="0"/>
          <w:color w:val="000000"/>
          <w:kern w:val="0"/>
          <w:sz w:val="32"/>
        </w:rPr>
        <w:t>．</w:t>
      </w:r>
      <w:r>
        <w:rPr>
          <w:rFonts w:eastAsia="楷体_GB2312"/>
          <w:b w:val="0"/>
          <w:bCs/>
          <w:snapToGrid w:val="0"/>
          <w:color w:val="000000"/>
          <w:kern w:val="0"/>
          <w:sz w:val="32"/>
          <w:szCs w:val="32"/>
        </w:rPr>
        <w:t>文化体育与传媒支出（类）新闻出版广播影视（款）其他新闻出版广播影视支出（项）：</w:t>
      </w:r>
      <w:r>
        <w:rPr>
          <w:rFonts w:eastAsia="仿宋_GB2312"/>
          <w:b w:val="0"/>
          <w:bCs/>
          <w:snapToGrid w:val="0"/>
          <w:color w:val="000000"/>
          <w:kern w:val="0"/>
          <w:sz w:val="32"/>
          <w:szCs w:val="32"/>
        </w:rPr>
        <w:t>指宣传部按照国家有关政策开展其他新闻出版影视工作的专项支出。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8</w:t>
      </w:r>
      <w:r>
        <w:rPr>
          <w:rFonts w:eastAsia="仿宋_GB2312"/>
          <w:b w:val="0"/>
          <w:bCs/>
          <w:snapToGrid w:val="0"/>
          <w:color w:val="000000"/>
          <w:kern w:val="0"/>
          <w:sz w:val="32"/>
        </w:rPr>
        <w:t>．</w:t>
      </w:r>
      <w:r>
        <w:rPr>
          <w:rFonts w:eastAsia="楷体_GB2312"/>
          <w:b w:val="0"/>
          <w:bCs/>
          <w:snapToGrid w:val="0"/>
          <w:color w:val="000000"/>
          <w:kern w:val="0"/>
          <w:sz w:val="32"/>
          <w:szCs w:val="32"/>
        </w:rPr>
        <w:t>文化体育与传媒支出（类）其他文化体育与传媒支出（款）宣传文化发展专项支出（项）：</w:t>
      </w:r>
      <w:r>
        <w:rPr>
          <w:rFonts w:eastAsia="仿宋_GB2312"/>
          <w:b w:val="0"/>
          <w:bCs/>
          <w:snapToGrid w:val="0"/>
          <w:color w:val="000000"/>
          <w:kern w:val="0"/>
          <w:sz w:val="32"/>
          <w:szCs w:val="32"/>
        </w:rPr>
        <w:t>指宣传部按照国家有关政策支持宣传文化单位发展的专项支出。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1</w:t>
      </w:r>
      <w:r>
        <w:rPr>
          <w:rFonts w:hint="eastAsia" w:eastAsia="仿宋_GB2312"/>
          <w:b w:val="0"/>
          <w:bCs/>
          <w:snapToGrid w:val="0"/>
          <w:color w:val="000000"/>
          <w:kern w:val="0"/>
          <w:sz w:val="32"/>
          <w:szCs w:val="32"/>
          <w:lang w:val="en-US" w:eastAsia="zh-CN"/>
        </w:rPr>
        <w:t>9</w:t>
      </w:r>
      <w:r>
        <w:rPr>
          <w:rFonts w:eastAsia="仿宋_GB2312"/>
          <w:b w:val="0"/>
          <w:bCs/>
          <w:snapToGrid w:val="0"/>
          <w:color w:val="000000"/>
          <w:kern w:val="0"/>
          <w:sz w:val="32"/>
        </w:rPr>
        <w:t>．</w:t>
      </w:r>
      <w:r>
        <w:rPr>
          <w:rFonts w:eastAsia="楷体_GB2312"/>
          <w:b w:val="0"/>
          <w:bCs/>
          <w:snapToGrid w:val="0"/>
          <w:color w:val="000000"/>
          <w:kern w:val="0"/>
          <w:sz w:val="32"/>
          <w:szCs w:val="32"/>
        </w:rPr>
        <w:t>文化体育与传媒支出（类）其他文化体育与传媒支出（款）文化产业发展专项支出（项）：</w:t>
      </w:r>
      <w:r>
        <w:rPr>
          <w:rFonts w:eastAsia="仿宋_GB2312"/>
          <w:b w:val="0"/>
          <w:bCs/>
          <w:snapToGrid w:val="0"/>
          <w:color w:val="000000"/>
          <w:kern w:val="0"/>
          <w:sz w:val="32"/>
          <w:szCs w:val="32"/>
        </w:rPr>
        <w:t>指宣传部按照国家有关政策开展文化产业发展工作的专项支出。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hint="eastAsia" w:eastAsia="仿宋_GB2312"/>
          <w:b w:val="0"/>
          <w:bCs/>
          <w:snapToGrid w:val="0"/>
          <w:color w:val="000000"/>
          <w:kern w:val="0"/>
          <w:sz w:val="32"/>
          <w:szCs w:val="32"/>
          <w:lang w:val="en-US" w:eastAsia="zh-CN"/>
        </w:rPr>
        <w:t>20</w:t>
      </w:r>
      <w:r>
        <w:rPr>
          <w:rFonts w:eastAsia="仿宋_GB2312"/>
          <w:b w:val="0"/>
          <w:bCs/>
          <w:snapToGrid w:val="0"/>
          <w:color w:val="000000"/>
          <w:kern w:val="0"/>
          <w:sz w:val="32"/>
        </w:rPr>
        <w:t>．</w:t>
      </w:r>
      <w:r>
        <w:rPr>
          <w:rFonts w:eastAsia="楷体_GB2312"/>
          <w:b w:val="0"/>
          <w:bCs/>
          <w:snapToGrid w:val="0"/>
          <w:color w:val="000000"/>
          <w:kern w:val="0"/>
          <w:sz w:val="32"/>
          <w:szCs w:val="32"/>
        </w:rPr>
        <w:t>文化体育与传媒支出（类）其他文化体育与传媒支出（款）其他文化体育与传媒支出（项）：</w:t>
      </w:r>
      <w:r>
        <w:rPr>
          <w:rFonts w:eastAsia="仿宋_GB2312"/>
          <w:b w:val="0"/>
          <w:bCs/>
          <w:snapToGrid w:val="0"/>
          <w:color w:val="000000"/>
          <w:kern w:val="0"/>
          <w:sz w:val="32"/>
          <w:szCs w:val="32"/>
        </w:rPr>
        <w:t>指宣传部按照国家有关政策开展除宣传文化、文化产业发展以外的文化体育与传媒方面工作的支出。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2</w:t>
      </w:r>
      <w:r>
        <w:rPr>
          <w:rFonts w:hint="eastAsia" w:eastAsia="仿宋_GB2312"/>
          <w:b w:val="0"/>
          <w:bCs/>
          <w:snapToGrid w:val="0"/>
          <w:color w:val="000000"/>
          <w:kern w:val="0"/>
          <w:sz w:val="32"/>
          <w:szCs w:val="32"/>
          <w:lang w:val="en-US" w:eastAsia="zh-CN"/>
        </w:rPr>
        <w:t>1</w:t>
      </w:r>
      <w:r>
        <w:rPr>
          <w:rFonts w:eastAsia="仿宋_GB2312"/>
          <w:b w:val="0"/>
          <w:bCs/>
          <w:snapToGrid w:val="0"/>
          <w:color w:val="000000"/>
          <w:kern w:val="0"/>
          <w:sz w:val="32"/>
        </w:rPr>
        <w:t>．</w:t>
      </w:r>
      <w:r>
        <w:rPr>
          <w:rFonts w:eastAsia="楷体_GB2312"/>
          <w:b w:val="0"/>
          <w:bCs/>
          <w:snapToGrid w:val="0"/>
          <w:color w:val="000000"/>
          <w:kern w:val="0"/>
          <w:sz w:val="32"/>
          <w:szCs w:val="32"/>
        </w:rPr>
        <w:t>社会保障和就业支出（类）行政事业单位离退休（款）事业单位离休费（项）：</w:t>
      </w:r>
      <w:r>
        <w:rPr>
          <w:rFonts w:eastAsia="仿宋_GB2312"/>
          <w:b w:val="0"/>
          <w:bCs/>
          <w:snapToGrid w:val="0"/>
          <w:color w:val="000000"/>
          <w:kern w:val="0"/>
          <w:sz w:val="32"/>
          <w:szCs w:val="32"/>
        </w:rPr>
        <w:t>指实行归口管理的事业单位开支的离退休经费。</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2</w:t>
      </w:r>
      <w:r>
        <w:rPr>
          <w:rFonts w:hint="eastAsia" w:eastAsia="仿宋_GB2312"/>
          <w:b w:val="0"/>
          <w:bCs/>
          <w:snapToGrid w:val="0"/>
          <w:color w:val="000000"/>
          <w:kern w:val="0"/>
          <w:sz w:val="32"/>
          <w:szCs w:val="32"/>
          <w:lang w:val="en-US" w:eastAsia="zh-CN"/>
        </w:rPr>
        <w:t>2</w:t>
      </w:r>
      <w:r>
        <w:rPr>
          <w:rFonts w:eastAsia="仿宋_GB2312"/>
          <w:b w:val="0"/>
          <w:bCs/>
          <w:snapToGrid w:val="0"/>
          <w:color w:val="000000"/>
          <w:kern w:val="0"/>
          <w:sz w:val="32"/>
        </w:rPr>
        <w:t>．</w:t>
      </w:r>
      <w:r>
        <w:rPr>
          <w:rFonts w:eastAsia="楷体_GB2312"/>
          <w:b w:val="0"/>
          <w:bCs/>
          <w:snapToGrid w:val="0"/>
          <w:color w:val="000000"/>
          <w:kern w:val="0"/>
          <w:sz w:val="32"/>
          <w:szCs w:val="32"/>
        </w:rPr>
        <w:t>社会保障和就业支出（类）行政事业单位离退休（款）未归口管理的行政单位离退休（项）：</w:t>
      </w:r>
      <w:r>
        <w:rPr>
          <w:rFonts w:eastAsia="仿宋_GB2312"/>
          <w:b w:val="0"/>
          <w:bCs/>
          <w:snapToGrid w:val="0"/>
          <w:color w:val="000000"/>
          <w:kern w:val="0"/>
          <w:sz w:val="32"/>
          <w:szCs w:val="32"/>
        </w:rPr>
        <w:t>指未实行归口管理的行政事业单位开支的离退休支出。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2</w:t>
      </w:r>
      <w:r>
        <w:rPr>
          <w:rFonts w:hint="eastAsia" w:eastAsia="仿宋_GB2312"/>
          <w:b w:val="0"/>
          <w:bCs/>
          <w:snapToGrid w:val="0"/>
          <w:color w:val="000000"/>
          <w:kern w:val="0"/>
          <w:sz w:val="32"/>
          <w:szCs w:val="32"/>
          <w:lang w:val="en-US" w:eastAsia="zh-CN"/>
        </w:rPr>
        <w:t>3</w:t>
      </w:r>
      <w:r>
        <w:rPr>
          <w:rFonts w:eastAsia="仿宋_GB2312"/>
          <w:b w:val="0"/>
          <w:bCs/>
          <w:snapToGrid w:val="0"/>
          <w:color w:val="000000"/>
          <w:kern w:val="0"/>
          <w:sz w:val="32"/>
        </w:rPr>
        <w:t>．</w:t>
      </w:r>
      <w:r>
        <w:rPr>
          <w:rFonts w:eastAsia="楷体_GB2312"/>
          <w:b w:val="0"/>
          <w:bCs/>
          <w:snapToGrid w:val="0"/>
          <w:color w:val="000000"/>
          <w:kern w:val="0"/>
          <w:sz w:val="32"/>
          <w:szCs w:val="32"/>
        </w:rPr>
        <w:t>社会保障和就业支出（类）行政事业单位离退休（款）机关事业单位基本养老保险缴费支出（项）：</w:t>
      </w:r>
      <w:r>
        <w:rPr>
          <w:rFonts w:eastAsia="仿宋_GB2312"/>
          <w:b w:val="0"/>
          <w:bCs/>
          <w:snapToGrid w:val="0"/>
          <w:color w:val="000000"/>
          <w:kern w:val="0"/>
          <w:sz w:val="32"/>
          <w:szCs w:val="32"/>
        </w:rPr>
        <w:t>指机关事业单位实施养老保险制度由单位缴纳的基本养老保险。</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2</w:t>
      </w:r>
      <w:r>
        <w:rPr>
          <w:rFonts w:hint="eastAsia" w:eastAsia="仿宋_GB2312"/>
          <w:b w:val="0"/>
          <w:bCs/>
          <w:snapToGrid w:val="0"/>
          <w:color w:val="000000"/>
          <w:kern w:val="0"/>
          <w:sz w:val="32"/>
          <w:szCs w:val="32"/>
          <w:lang w:val="en-US" w:eastAsia="zh-CN"/>
        </w:rPr>
        <w:t>4</w:t>
      </w:r>
      <w:r>
        <w:rPr>
          <w:rFonts w:eastAsia="仿宋_GB2312"/>
          <w:b w:val="0"/>
          <w:bCs/>
          <w:snapToGrid w:val="0"/>
          <w:color w:val="000000"/>
          <w:kern w:val="0"/>
          <w:sz w:val="32"/>
        </w:rPr>
        <w:t>．</w:t>
      </w:r>
      <w:r>
        <w:rPr>
          <w:rFonts w:eastAsia="楷体_GB2312"/>
          <w:b w:val="0"/>
          <w:bCs/>
          <w:snapToGrid w:val="0"/>
          <w:color w:val="000000"/>
          <w:kern w:val="0"/>
          <w:sz w:val="32"/>
          <w:szCs w:val="32"/>
        </w:rPr>
        <w:t>社会保障和就业支出（类）行政事业单位离退休（款）机关事业单位职业年金缴费支出（项）：</w:t>
      </w:r>
      <w:r>
        <w:rPr>
          <w:rFonts w:eastAsia="仿宋_GB2312"/>
          <w:b w:val="0"/>
          <w:bCs/>
          <w:snapToGrid w:val="0"/>
          <w:color w:val="000000"/>
          <w:kern w:val="0"/>
          <w:sz w:val="32"/>
          <w:szCs w:val="32"/>
        </w:rPr>
        <w:t>指机关事业单位实施养老保险制度由单位缴纳的职业年金支出。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2</w:t>
      </w:r>
      <w:r>
        <w:rPr>
          <w:rFonts w:hint="eastAsia" w:eastAsia="仿宋_GB2312"/>
          <w:b w:val="0"/>
          <w:bCs/>
          <w:snapToGrid w:val="0"/>
          <w:color w:val="000000"/>
          <w:kern w:val="0"/>
          <w:sz w:val="32"/>
          <w:szCs w:val="32"/>
          <w:lang w:val="en-US" w:eastAsia="zh-CN"/>
        </w:rPr>
        <w:t>5</w:t>
      </w:r>
      <w:r>
        <w:rPr>
          <w:rFonts w:eastAsia="仿宋_GB2312"/>
          <w:b w:val="0"/>
          <w:bCs/>
          <w:snapToGrid w:val="0"/>
          <w:color w:val="000000"/>
          <w:kern w:val="0"/>
          <w:sz w:val="32"/>
        </w:rPr>
        <w:t>．</w:t>
      </w:r>
      <w:r>
        <w:rPr>
          <w:rFonts w:eastAsia="楷体_GB2312"/>
          <w:b w:val="0"/>
          <w:bCs/>
          <w:snapToGrid w:val="0"/>
          <w:color w:val="000000"/>
          <w:kern w:val="0"/>
          <w:sz w:val="32"/>
          <w:szCs w:val="32"/>
        </w:rPr>
        <w:t>社会保障和就业支出（类）抚恤（款）死亡抚恤（项）：</w:t>
      </w:r>
      <w:r>
        <w:rPr>
          <w:rFonts w:eastAsia="仿宋_GB2312"/>
          <w:b w:val="0"/>
          <w:bCs/>
          <w:snapToGrid w:val="0"/>
          <w:color w:val="000000"/>
          <w:kern w:val="0"/>
          <w:sz w:val="32"/>
          <w:szCs w:val="32"/>
        </w:rPr>
        <w:t>指按规定用于病故人员家属的一次性和定期抚恤金以及丧葬补助经费。</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仿宋_GB2312"/>
          <w:b w:val="0"/>
          <w:bCs/>
          <w:snapToGrid w:val="0"/>
          <w:color w:val="000000"/>
          <w:kern w:val="0"/>
          <w:sz w:val="32"/>
          <w:szCs w:val="32"/>
        </w:rPr>
        <w:t>2</w:t>
      </w:r>
      <w:r>
        <w:rPr>
          <w:rFonts w:hint="eastAsia" w:eastAsia="仿宋_GB2312"/>
          <w:b w:val="0"/>
          <w:bCs/>
          <w:snapToGrid w:val="0"/>
          <w:color w:val="000000"/>
          <w:kern w:val="0"/>
          <w:sz w:val="32"/>
          <w:szCs w:val="32"/>
          <w:lang w:val="en-US" w:eastAsia="zh-CN"/>
        </w:rPr>
        <w:t>6</w:t>
      </w:r>
      <w:r>
        <w:rPr>
          <w:rFonts w:eastAsia="仿宋_GB2312"/>
          <w:b w:val="0"/>
          <w:bCs/>
          <w:snapToGrid w:val="0"/>
          <w:color w:val="000000"/>
          <w:kern w:val="0"/>
          <w:sz w:val="32"/>
        </w:rPr>
        <w:t>．</w:t>
      </w:r>
      <w:r>
        <w:rPr>
          <w:rFonts w:eastAsia="楷体_GB2312"/>
          <w:b w:val="0"/>
          <w:bCs/>
          <w:snapToGrid w:val="0"/>
          <w:color w:val="000000"/>
          <w:kern w:val="0"/>
          <w:sz w:val="32"/>
          <w:szCs w:val="32"/>
        </w:rPr>
        <w:t>社会保障和就业支出（类）其他社会保障和就业支出（款）其他社会保障和就业支出（项）：</w:t>
      </w:r>
      <w:r>
        <w:rPr>
          <w:rFonts w:eastAsia="仿宋_GB2312"/>
          <w:b w:val="0"/>
          <w:bCs/>
          <w:snapToGrid w:val="0"/>
          <w:color w:val="000000"/>
          <w:kern w:val="0"/>
          <w:sz w:val="32"/>
          <w:szCs w:val="32"/>
        </w:rPr>
        <w:t>指其他用于社会保障和就业方面的支出。</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2</w:t>
      </w:r>
      <w:r>
        <w:rPr>
          <w:rFonts w:hint="eastAsia" w:eastAsia="仿宋_GB2312"/>
          <w:b w:val="0"/>
          <w:bCs/>
          <w:snapToGrid w:val="0"/>
          <w:kern w:val="0"/>
          <w:sz w:val="32"/>
          <w:szCs w:val="32"/>
          <w:lang w:val="en-US" w:eastAsia="zh-CN"/>
        </w:rPr>
        <w:t>7</w:t>
      </w:r>
      <w:r>
        <w:rPr>
          <w:rStyle w:val="14"/>
          <w:rFonts w:eastAsia="仿宋_GB2312"/>
          <w:b w:val="0"/>
          <w:bCs/>
          <w:snapToGrid w:val="0"/>
          <w:color w:val="000000"/>
          <w:kern w:val="0"/>
          <w:sz w:val="32"/>
          <w:szCs w:val="32"/>
        </w:rPr>
        <w:t>．</w:t>
      </w:r>
      <w:r>
        <w:rPr>
          <w:rStyle w:val="14"/>
          <w:rFonts w:hint="eastAsia" w:eastAsia="仿宋_GB2312"/>
          <w:b w:val="0"/>
          <w:bCs/>
          <w:snapToGrid w:val="0"/>
          <w:color w:val="000000"/>
          <w:kern w:val="0"/>
          <w:sz w:val="32"/>
          <w:szCs w:val="32"/>
          <w:lang w:eastAsia="zh-CN"/>
        </w:rPr>
        <w:t>卫生健康</w:t>
      </w:r>
      <w:r>
        <w:rPr>
          <w:rStyle w:val="14"/>
          <w:rFonts w:eastAsia="仿宋_GB2312"/>
          <w:b w:val="0"/>
          <w:bCs/>
          <w:snapToGrid w:val="0"/>
          <w:color w:val="000000"/>
          <w:kern w:val="0"/>
          <w:sz w:val="32"/>
          <w:szCs w:val="32"/>
        </w:rPr>
        <w:t>支出（类）</w:t>
      </w:r>
      <w:r>
        <w:rPr>
          <w:rStyle w:val="14"/>
          <w:rFonts w:hint="eastAsia" w:eastAsia="仿宋_GB2312"/>
          <w:b w:val="0"/>
          <w:bCs/>
          <w:snapToGrid w:val="0"/>
          <w:color w:val="000000"/>
          <w:kern w:val="0"/>
          <w:sz w:val="32"/>
          <w:szCs w:val="32"/>
          <w:lang w:eastAsia="zh-CN"/>
        </w:rPr>
        <w:t>行政事业单位医疗</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行政单位医疗</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指用于行政单位基本医疗保险缴费经费，未参加医疗保险的行政单位的公费医疗经费，按国家规定享受离休人员、红军老战士待遇人员的医疗经费。</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2</w:t>
      </w:r>
      <w:r>
        <w:rPr>
          <w:rFonts w:hint="eastAsia" w:eastAsia="仿宋_GB2312"/>
          <w:b w:val="0"/>
          <w:bCs/>
          <w:snapToGrid w:val="0"/>
          <w:kern w:val="0"/>
          <w:sz w:val="32"/>
          <w:szCs w:val="32"/>
          <w:lang w:val="en-US" w:eastAsia="zh-CN"/>
        </w:rPr>
        <w:t>8</w:t>
      </w:r>
      <w:r>
        <w:rPr>
          <w:rStyle w:val="14"/>
          <w:rFonts w:eastAsia="仿宋_GB2312"/>
          <w:b w:val="0"/>
          <w:bCs/>
          <w:snapToGrid w:val="0"/>
          <w:color w:val="000000"/>
          <w:kern w:val="0"/>
          <w:sz w:val="32"/>
          <w:szCs w:val="32"/>
        </w:rPr>
        <w:t>．</w:t>
      </w:r>
      <w:r>
        <w:rPr>
          <w:rStyle w:val="14"/>
          <w:rFonts w:hint="eastAsia" w:eastAsia="仿宋_GB2312"/>
          <w:b w:val="0"/>
          <w:bCs/>
          <w:snapToGrid w:val="0"/>
          <w:color w:val="000000"/>
          <w:kern w:val="0"/>
          <w:sz w:val="32"/>
          <w:szCs w:val="32"/>
          <w:lang w:eastAsia="zh-CN"/>
        </w:rPr>
        <w:t>卫生健康</w:t>
      </w:r>
      <w:r>
        <w:rPr>
          <w:rStyle w:val="14"/>
          <w:rFonts w:eastAsia="仿宋_GB2312"/>
          <w:b w:val="0"/>
          <w:bCs/>
          <w:snapToGrid w:val="0"/>
          <w:color w:val="000000"/>
          <w:kern w:val="0"/>
          <w:sz w:val="32"/>
          <w:szCs w:val="32"/>
        </w:rPr>
        <w:t>支出（类）</w:t>
      </w:r>
      <w:r>
        <w:rPr>
          <w:rStyle w:val="14"/>
          <w:rFonts w:hint="eastAsia" w:eastAsia="仿宋_GB2312"/>
          <w:b w:val="0"/>
          <w:bCs/>
          <w:snapToGrid w:val="0"/>
          <w:color w:val="000000"/>
          <w:kern w:val="0"/>
          <w:sz w:val="32"/>
          <w:szCs w:val="32"/>
          <w:lang w:eastAsia="zh-CN"/>
        </w:rPr>
        <w:t>行政事业单位医疗</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事业单位医疗</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指用于事业单位医疗保险缴费经费，未参加医疗保险的事业单位的公费医疗经费，按国家规定享受离休人员待遇的医疗经费。</w:t>
      </w:r>
    </w:p>
    <w:p>
      <w:pPr>
        <w:overflowPunct w:val="0"/>
        <w:adjustRightInd w:val="0"/>
        <w:snapToGrid w:val="0"/>
        <w:spacing w:line="600" w:lineRule="exact"/>
        <w:ind w:firstLine="640" w:firstLineChars="200"/>
        <w:rPr>
          <w:rFonts w:eastAsia="仿宋_GB2312"/>
          <w:b w:val="0"/>
          <w:bCs/>
          <w:snapToGrid w:val="0"/>
          <w:kern w:val="0"/>
          <w:sz w:val="32"/>
          <w:szCs w:val="32"/>
        </w:rPr>
      </w:pPr>
      <w:r>
        <w:rPr>
          <w:rFonts w:eastAsia="仿宋_GB2312"/>
          <w:b w:val="0"/>
          <w:bCs/>
          <w:snapToGrid w:val="0"/>
          <w:kern w:val="0"/>
          <w:sz w:val="32"/>
          <w:szCs w:val="32"/>
        </w:rPr>
        <w:t>2</w:t>
      </w:r>
      <w:r>
        <w:rPr>
          <w:rFonts w:hint="eastAsia" w:eastAsia="仿宋_GB2312"/>
          <w:b w:val="0"/>
          <w:bCs/>
          <w:snapToGrid w:val="0"/>
          <w:kern w:val="0"/>
          <w:sz w:val="32"/>
          <w:szCs w:val="32"/>
          <w:lang w:val="en-US" w:eastAsia="zh-CN"/>
        </w:rPr>
        <w:t>9</w:t>
      </w:r>
      <w:r>
        <w:rPr>
          <w:rStyle w:val="14"/>
          <w:rFonts w:eastAsia="仿宋_GB2312"/>
          <w:b w:val="0"/>
          <w:bCs/>
          <w:snapToGrid w:val="0"/>
          <w:color w:val="000000"/>
          <w:kern w:val="0"/>
          <w:sz w:val="32"/>
          <w:szCs w:val="32"/>
        </w:rPr>
        <w:t>．</w:t>
      </w:r>
      <w:r>
        <w:rPr>
          <w:rStyle w:val="14"/>
          <w:rFonts w:hint="eastAsia" w:eastAsia="仿宋_GB2312"/>
          <w:b w:val="0"/>
          <w:bCs/>
          <w:snapToGrid w:val="0"/>
          <w:color w:val="000000"/>
          <w:kern w:val="0"/>
          <w:sz w:val="32"/>
          <w:szCs w:val="32"/>
          <w:lang w:eastAsia="zh-CN"/>
        </w:rPr>
        <w:t>卫生健康</w:t>
      </w:r>
      <w:r>
        <w:rPr>
          <w:rStyle w:val="14"/>
          <w:rFonts w:eastAsia="仿宋_GB2312"/>
          <w:b w:val="0"/>
          <w:bCs/>
          <w:snapToGrid w:val="0"/>
          <w:color w:val="000000"/>
          <w:kern w:val="0"/>
          <w:sz w:val="32"/>
          <w:szCs w:val="32"/>
        </w:rPr>
        <w:t>支出（类）</w:t>
      </w:r>
      <w:r>
        <w:rPr>
          <w:rStyle w:val="14"/>
          <w:rFonts w:hint="eastAsia" w:eastAsia="仿宋_GB2312"/>
          <w:b w:val="0"/>
          <w:bCs/>
          <w:snapToGrid w:val="0"/>
          <w:color w:val="000000"/>
          <w:kern w:val="0"/>
          <w:sz w:val="32"/>
          <w:szCs w:val="32"/>
          <w:lang w:eastAsia="zh-CN"/>
        </w:rPr>
        <w:t>行政事业单位医疗</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公务员医疗补助</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指用于安排的公务员医疗补助经费。</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hint="eastAsia" w:eastAsia="仿宋_GB2312"/>
          <w:b w:val="0"/>
          <w:bCs/>
          <w:snapToGrid w:val="0"/>
          <w:kern w:val="0"/>
          <w:sz w:val="32"/>
          <w:szCs w:val="32"/>
          <w:lang w:val="en-US" w:eastAsia="zh-CN"/>
        </w:rPr>
        <w:t>30</w:t>
      </w:r>
      <w:r>
        <w:rPr>
          <w:rStyle w:val="14"/>
          <w:rFonts w:eastAsia="仿宋_GB2312"/>
          <w:b w:val="0"/>
          <w:bCs/>
          <w:snapToGrid w:val="0"/>
          <w:color w:val="000000"/>
          <w:kern w:val="0"/>
          <w:sz w:val="32"/>
          <w:szCs w:val="32"/>
        </w:rPr>
        <w:t>．</w:t>
      </w:r>
      <w:r>
        <w:rPr>
          <w:rStyle w:val="14"/>
          <w:rFonts w:hint="eastAsia" w:eastAsia="仿宋_GB2312"/>
          <w:b w:val="0"/>
          <w:bCs/>
          <w:snapToGrid w:val="0"/>
          <w:color w:val="000000"/>
          <w:kern w:val="0"/>
          <w:sz w:val="32"/>
          <w:szCs w:val="32"/>
          <w:lang w:eastAsia="zh-CN"/>
        </w:rPr>
        <w:t>卫生健康</w:t>
      </w:r>
      <w:r>
        <w:rPr>
          <w:rStyle w:val="14"/>
          <w:rFonts w:eastAsia="仿宋_GB2312"/>
          <w:b w:val="0"/>
          <w:bCs/>
          <w:snapToGrid w:val="0"/>
          <w:color w:val="000000"/>
          <w:kern w:val="0"/>
          <w:sz w:val="32"/>
          <w:szCs w:val="32"/>
        </w:rPr>
        <w:t>支出（类）</w:t>
      </w:r>
      <w:r>
        <w:rPr>
          <w:rStyle w:val="14"/>
          <w:rFonts w:hint="eastAsia" w:eastAsia="仿宋_GB2312"/>
          <w:b w:val="0"/>
          <w:bCs/>
          <w:snapToGrid w:val="0"/>
          <w:color w:val="000000"/>
          <w:kern w:val="0"/>
          <w:sz w:val="32"/>
          <w:szCs w:val="32"/>
          <w:lang w:eastAsia="zh-CN"/>
        </w:rPr>
        <w:t>其他卫生健康支出</w:t>
      </w:r>
      <w:r>
        <w:rPr>
          <w:rStyle w:val="14"/>
          <w:rFonts w:eastAsia="仿宋_GB2312"/>
          <w:b w:val="0"/>
          <w:bCs/>
          <w:snapToGrid w:val="0"/>
          <w:color w:val="000000"/>
          <w:kern w:val="0"/>
          <w:sz w:val="32"/>
          <w:szCs w:val="32"/>
        </w:rPr>
        <w:t>（款）</w:t>
      </w:r>
      <w:r>
        <w:rPr>
          <w:rStyle w:val="14"/>
          <w:rFonts w:hint="eastAsia" w:eastAsia="仿宋_GB2312"/>
          <w:b w:val="0"/>
          <w:bCs/>
          <w:snapToGrid w:val="0"/>
          <w:color w:val="000000"/>
          <w:kern w:val="0"/>
          <w:sz w:val="32"/>
          <w:szCs w:val="32"/>
          <w:lang w:eastAsia="zh-CN"/>
        </w:rPr>
        <w:t>其他卫生健康支出</w:t>
      </w:r>
      <w:r>
        <w:rPr>
          <w:rStyle w:val="14"/>
          <w:rFonts w:eastAsia="仿宋_GB2312"/>
          <w:b w:val="0"/>
          <w:bCs/>
          <w:snapToGrid w:val="0"/>
          <w:color w:val="000000"/>
          <w:kern w:val="0"/>
          <w:sz w:val="32"/>
          <w:szCs w:val="32"/>
        </w:rPr>
        <w:t>（项）：</w:t>
      </w:r>
      <w:r>
        <w:rPr>
          <w:rFonts w:eastAsia="仿宋_GB2312"/>
          <w:b w:val="0"/>
          <w:bCs/>
          <w:snapToGrid w:val="0"/>
          <w:color w:val="000000"/>
          <w:kern w:val="0"/>
          <w:sz w:val="32"/>
          <w:szCs w:val="32"/>
        </w:rPr>
        <w:t>指用于安排</w:t>
      </w:r>
      <w:r>
        <w:rPr>
          <w:rFonts w:eastAsia="楷体_GB2312"/>
          <w:b w:val="0"/>
          <w:bCs/>
          <w:snapToGrid w:val="0"/>
          <w:color w:val="000000"/>
          <w:kern w:val="0"/>
          <w:sz w:val="32"/>
          <w:szCs w:val="32"/>
        </w:rPr>
        <w:t>其他医疗卫生与计划生育方面的支出</w:t>
      </w:r>
      <w:r>
        <w:rPr>
          <w:rFonts w:eastAsia="仿宋_GB2312"/>
          <w:b w:val="0"/>
          <w:bCs/>
          <w:snapToGrid w:val="0"/>
          <w:color w:val="000000"/>
          <w:kern w:val="0"/>
          <w:sz w:val="32"/>
          <w:szCs w:val="32"/>
        </w:rPr>
        <w:t>。</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楷体_GB2312"/>
          <w:b w:val="0"/>
          <w:bCs/>
          <w:snapToGrid w:val="0"/>
          <w:color w:val="000000"/>
          <w:kern w:val="0"/>
          <w:sz w:val="32"/>
          <w:szCs w:val="32"/>
        </w:rPr>
        <w:t>3</w:t>
      </w:r>
      <w:r>
        <w:rPr>
          <w:rFonts w:hint="eastAsia" w:eastAsia="楷体_GB2312"/>
          <w:b w:val="0"/>
          <w:bCs/>
          <w:snapToGrid w:val="0"/>
          <w:color w:val="000000"/>
          <w:kern w:val="0"/>
          <w:sz w:val="32"/>
          <w:szCs w:val="32"/>
          <w:lang w:val="en-US" w:eastAsia="zh-CN"/>
        </w:rPr>
        <w:t>1</w:t>
      </w:r>
      <w:r>
        <w:rPr>
          <w:rFonts w:eastAsia="仿宋_GB2312"/>
          <w:b w:val="0"/>
          <w:bCs/>
          <w:snapToGrid w:val="0"/>
          <w:color w:val="000000"/>
          <w:kern w:val="0"/>
          <w:sz w:val="32"/>
        </w:rPr>
        <w:t>．</w:t>
      </w:r>
      <w:r>
        <w:rPr>
          <w:rFonts w:eastAsia="楷体_GB2312"/>
          <w:b w:val="0"/>
          <w:bCs/>
          <w:snapToGrid w:val="0"/>
          <w:color w:val="000000"/>
          <w:kern w:val="0"/>
          <w:sz w:val="32"/>
          <w:szCs w:val="32"/>
        </w:rPr>
        <w:t>住房保障支出（类）住房改革支出（款）住房公积金（项）：</w:t>
      </w:r>
      <w:r>
        <w:rPr>
          <w:rFonts w:eastAsia="仿宋_GB2312"/>
          <w:b w:val="0"/>
          <w:bCs/>
          <w:snapToGrid w:val="0"/>
          <w:color w:val="000000"/>
          <w:kern w:val="0"/>
          <w:sz w:val="32"/>
          <w:szCs w:val="32"/>
        </w:rPr>
        <w:t>指用于行政事业单位按人力资源和社会保障部、财政部规定的基本工资和津贴补贴以及规定比例为职工缴纳的住房公积金。</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楷体_GB2312"/>
          <w:b w:val="0"/>
          <w:bCs/>
          <w:snapToGrid w:val="0"/>
          <w:color w:val="000000"/>
          <w:kern w:val="0"/>
          <w:sz w:val="32"/>
          <w:szCs w:val="32"/>
        </w:rPr>
        <w:t>3</w:t>
      </w:r>
      <w:r>
        <w:rPr>
          <w:rFonts w:hint="eastAsia" w:eastAsia="楷体_GB2312"/>
          <w:b w:val="0"/>
          <w:bCs/>
          <w:snapToGrid w:val="0"/>
          <w:color w:val="000000"/>
          <w:kern w:val="0"/>
          <w:sz w:val="32"/>
          <w:szCs w:val="32"/>
          <w:lang w:val="en-US" w:eastAsia="zh-CN"/>
        </w:rPr>
        <w:t>2</w:t>
      </w:r>
      <w:r>
        <w:rPr>
          <w:rFonts w:eastAsia="仿宋_GB2312"/>
          <w:b w:val="0"/>
          <w:bCs/>
          <w:snapToGrid w:val="0"/>
          <w:color w:val="000000"/>
          <w:kern w:val="0"/>
          <w:sz w:val="32"/>
        </w:rPr>
        <w:t>．</w:t>
      </w:r>
      <w:r>
        <w:rPr>
          <w:rFonts w:eastAsia="楷体_GB2312"/>
          <w:b w:val="0"/>
          <w:bCs/>
          <w:snapToGrid w:val="0"/>
          <w:color w:val="000000"/>
          <w:kern w:val="0"/>
          <w:sz w:val="32"/>
          <w:szCs w:val="32"/>
        </w:rPr>
        <w:t>住房保障支出（类）住房改革支出（款）购房补贴（项）：</w:t>
      </w:r>
      <w:r>
        <w:rPr>
          <w:rFonts w:eastAsia="仿宋_GB2312"/>
          <w:b w:val="0"/>
          <w:bCs/>
          <w:snapToGrid w:val="0"/>
          <w:color w:val="000000"/>
          <w:kern w:val="0"/>
          <w:sz w:val="32"/>
          <w:szCs w:val="32"/>
        </w:rPr>
        <w:t>指用于按房改政策规定，行政事业单位向符合条件职工发放的用于购买住房的补贴。</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楷体_GB2312"/>
          <w:b w:val="0"/>
          <w:bCs/>
          <w:snapToGrid w:val="0"/>
          <w:color w:val="000000"/>
          <w:kern w:val="0"/>
          <w:sz w:val="32"/>
          <w:szCs w:val="32"/>
        </w:rPr>
        <w:t>3</w:t>
      </w:r>
      <w:r>
        <w:rPr>
          <w:rFonts w:hint="eastAsia" w:eastAsia="楷体_GB2312"/>
          <w:b w:val="0"/>
          <w:bCs/>
          <w:snapToGrid w:val="0"/>
          <w:color w:val="000000"/>
          <w:kern w:val="0"/>
          <w:sz w:val="32"/>
          <w:szCs w:val="32"/>
          <w:lang w:val="en-US" w:eastAsia="zh-CN"/>
        </w:rPr>
        <w:t>3</w:t>
      </w:r>
      <w:r>
        <w:rPr>
          <w:rFonts w:eastAsia="仿宋_GB2312"/>
          <w:b w:val="0"/>
          <w:bCs/>
          <w:snapToGrid w:val="0"/>
          <w:color w:val="000000"/>
          <w:kern w:val="0"/>
          <w:sz w:val="32"/>
        </w:rPr>
        <w:t>．</w:t>
      </w:r>
      <w:r>
        <w:rPr>
          <w:rFonts w:eastAsia="楷体_GB2312"/>
          <w:b w:val="0"/>
          <w:bCs/>
          <w:snapToGrid w:val="0"/>
          <w:color w:val="000000"/>
          <w:kern w:val="0"/>
          <w:sz w:val="32"/>
          <w:szCs w:val="32"/>
        </w:rPr>
        <w:t>其他支出（类）其他支出（款）其他支出（项）：</w:t>
      </w:r>
      <w:r>
        <w:rPr>
          <w:rFonts w:eastAsia="仿宋_GB2312"/>
          <w:b w:val="0"/>
          <w:bCs/>
          <w:snapToGrid w:val="0"/>
          <w:color w:val="000000"/>
          <w:kern w:val="0"/>
          <w:sz w:val="32"/>
          <w:szCs w:val="32"/>
        </w:rPr>
        <w:t>指不能划分到具体功能科目中的支出项目。</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楷体_GB2312"/>
          <w:b w:val="0"/>
          <w:bCs/>
          <w:snapToGrid w:val="0"/>
          <w:color w:val="000000"/>
          <w:kern w:val="0"/>
          <w:sz w:val="32"/>
          <w:szCs w:val="32"/>
        </w:rPr>
        <w:t>3</w:t>
      </w:r>
      <w:r>
        <w:rPr>
          <w:rFonts w:hint="eastAsia" w:eastAsia="楷体_GB2312"/>
          <w:b w:val="0"/>
          <w:bCs/>
          <w:snapToGrid w:val="0"/>
          <w:color w:val="000000"/>
          <w:kern w:val="0"/>
          <w:sz w:val="32"/>
          <w:szCs w:val="32"/>
          <w:lang w:val="en-US" w:eastAsia="zh-CN"/>
        </w:rPr>
        <w:t>4</w:t>
      </w:r>
      <w:r>
        <w:rPr>
          <w:rFonts w:eastAsia="仿宋_GB2312"/>
          <w:b w:val="0"/>
          <w:bCs/>
          <w:snapToGrid w:val="0"/>
          <w:color w:val="000000"/>
          <w:kern w:val="0"/>
          <w:sz w:val="32"/>
        </w:rPr>
        <w:t>．</w:t>
      </w:r>
      <w:r>
        <w:rPr>
          <w:rFonts w:eastAsia="楷体_GB2312"/>
          <w:b w:val="0"/>
          <w:bCs/>
          <w:snapToGrid w:val="0"/>
          <w:color w:val="000000"/>
          <w:kern w:val="0"/>
          <w:sz w:val="32"/>
          <w:szCs w:val="32"/>
        </w:rPr>
        <w:t>基本支出：</w:t>
      </w:r>
      <w:r>
        <w:rPr>
          <w:rFonts w:eastAsia="仿宋_GB2312"/>
          <w:b w:val="0"/>
          <w:bCs/>
          <w:snapToGrid w:val="0"/>
          <w:color w:val="000000"/>
          <w:kern w:val="0"/>
          <w:sz w:val="32"/>
          <w:szCs w:val="32"/>
        </w:rPr>
        <w:t>指为保障机构正常运转、完成日常工作任务而发生的人员支出和公用支出。</w:t>
      </w:r>
    </w:p>
    <w:p>
      <w:pPr>
        <w:overflowPunct w:val="0"/>
        <w:adjustRightInd w:val="0"/>
        <w:snapToGrid w:val="0"/>
        <w:spacing w:line="600" w:lineRule="exact"/>
        <w:ind w:firstLine="640" w:firstLineChars="200"/>
        <w:rPr>
          <w:rFonts w:eastAsia="仿宋_GB2312"/>
          <w:b w:val="0"/>
          <w:bCs/>
          <w:snapToGrid w:val="0"/>
          <w:color w:val="000000"/>
          <w:kern w:val="0"/>
          <w:sz w:val="32"/>
          <w:szCs w:val="32"/>
        </w:rPr>
      </w:pPr>
      <w:r>
        <w:rPr>
          <w:rFonts w:eastAsia="楷体_GB2312"/>
          <w:b w:val="0"/>
          <w:bCs/>
          <w:snapToGrid w:val="0"/>
          <w:color w:val="000000"/>
          <w:kern w:val="0"/>
          <w:sz w:val="32"/>
          <w:szCs w:val="32"/>
        </w:rPr>
        <w:t>3</w:t>
      </w:r>
      <w:r>
        <w:rPr>
          <w:rFonts w:hint="eastAsia" w:eastAsia="楷体_GB2312"/>
          <w:b w:val="0"/>
          <w:bCs/>
          <w:snapToGrid w:val="0"/>
          <w:color w:val="000000"/>
          <w:kern w:val="0"/>
          <w:sz w:val="32"/>
          <w:szCs w:val="32"/>
          <w:lang w:val="en-US" w:eastAsia="zh-CN"/>
        </w:rPr>
        <w:t>5</w:t>
      </w:r>
      <w:r>
        <w:rPr>
          <w:rFonts w:eastAsia="仿宋_GB2312"/>
          <w:b w:val="0"/>
          <w:bCs/>
          <w:snapToGrid w:val="0"/>
          <w:color w:val="000000"/>
          <w:kern w:val="0"/>
          <w:sz w:val="32"/>
        </w:rPr>
        <w:t>．</w:t>
      </w:r>
      <w:r>
        <w:rPr>
          <w:rFonts w:eastAsia="楷体_GB2312"/>
          <w:b w:val="0"/>
          <w:bCs/>
          <w:snapToGrid w:val="0"/>
          <w:color w:val="000000"/>
          <w:kern w:val="0"/>
          <w:sz w:val="32"/>
          <w:szCs w:val="32"/>
        </w:rPr>
        <w:t>项目支出：</w:t>
      </w:r>
      <w:r>
        <w:rPr>
          <w:rFonts w:eastAsia="仿宋_GB2312"/>
          <w:b w:val="0"/>
          <w:bCs/>
          <w:snapToGrid w:val="0"/>
          <w:color w:val="000000"/>
          <w:kern w:val="0"/>
          <w:sz w:val="32"/>
          <w:szCs w:val="32"/>
        </w:rPr>
        <w:t>指在基本支出之外为完成特定行政任务和事业发展目标所发生的支出。</w:t>
      </w:r>
    </w:p>
    <w:p>
      <w:pPr>
        <w:pStyle w:val="21"/>
        <w:overflowPunct w:val="0"/>
        <w:autoSpaceDE/>
        <w:autoSpaceDN/>
        <w:adjustRightInd w:val="0"/>
        <w:snapToGrid w:val="0"/>
        <w:spacing w:line="600" w:lineRule="exact"/>
        <w:ind w:firstLine="640" w:firstLineChars="200"/>
        <w:jc w:val="both"/>
        <w:rPr>
          <w:rFonts w:ascii="Times New Roman" w:hAnsi="Times New Roman" w:eastAsia="仿宋_GB2312" w:cs="Times New Roman"/>
          <w:b w:val="0"/>
          <w:bCs/>
          <w:snapToGrid w:val="0"/>
          <w:sz w:val="32"/>
          <w:szCs w:val="32"/>
        </w:rPr>
      </w:pPr>
      <w:r>
        <w:rPr>
          <w:rFonts w:ascii="Times New Roman" w:hAnsi="Times New Roman" w:eastAsia="楷体_GB2312" w:cs="Times New Roman"/>
          <w:b w:val="0"/>
          <w:bCs/>
          <w:snapToGrid w:val="0"/>
          <w:sz w:val="32"/>
          <w:szCs w:val="32"/>
        </w:rPr>
        <w:t>3</w:t>
      </w:r>
      <w:r>
        <w:rPr>
          <w:rFonts w:hint="eastAsia" w:ascii="Times New Roman" w:hAnsi="Times New Roman" w:eastAsia="楷体_GB2312" w:cs="Times New Roman"/>
          <w:b w:val="0"/>
          <w:bCs/>
          <w:snapToGrid w:val="0"/>
          <w:sz w:val="32"/>
          <w:szCs w:val="32"/>
          <w:lang w:val="en-US" w:eastAsia="zh-CN"/>
        </w:rPr>
        <w:t>6</w:t>
      </w:r>
      <w:r>
        <w:rPr>
          <w:rFonts w:ascii="Times New Roman" w:hAnsi="Times New Roman" w:eastAsia="仿宋_GB2312" w:cs="Times New Roman"/>
          <w:b w:val="0"/>
          <w:bCs/>
          <w:snapToGrid w:val="0"/>
          <w:sz w:val="32"/>
        </w:rPr>
        <w:t>．</w:t>
      </w:r>
      <w:r>
        <w:rPr>
          <w:rFonts w:ascii="Times New Roman" w:hAnsi="Times New Roman" w:eastAsia="楷体_GB2312" w:cs="Times New Roman"/>
          <w:b w:val="0"/>
          <w:bCs/>
          <w:snapToGrid w:val="0"/>
          <w:sz w:val="32"/>
          <w:szCs w:val="32"/>
        </w:rPr>
        <w:t>“三公”经费：</w:t>
      </w:r>
      <w:r>
        <w:rPr>
          <w:rFonts w:ascii="Times New Roman" w:hAnsi="Times New Roman" w:eastAsia="仿宋_GB2312" w:cs="Times New Roman"/>
          <w:b w:val="0"/>
          <w:bCs/>
          <w:snapToGrid w:val="0"/>
          <w:sz w:val="32"/>
          <w:szCs w:val="32"/>
        </w:rPr>
        <w:t>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1"/>
        <w:overflowPunct w:val="0"/>
        <w:autoSpaceDE/>
        <w:autoSpaceDN/>
        <w:adjustRightInd w:val="0"/>
        <w:snapToGrid w:val="0"/>
        <w:spacing w:line="600" w:lineRule="exact"/>
        <w:ind w:firstLine="640" w:firstLineChars="200"/>
        <w:jc w:val="both"/>
        <w:rPr>
          <w:rFonts w:ascii="Times New Roman" w:hAnsi="Times New Roman" w:eastAsia="仿宋_GB2312" w:cs="Times New Roman"/>
          <w:b w:val="0"/>
          <w:bCs/>
          <w:snapToGrid w:val="0"/>
          <w:sz w:val="32"/>
          <w:szCs w:val="32"/>
        </w:rPr>
      </w:pPr>
      <w:r>
        <w:rPr>
          <w:rFonts w:ascii="Times New Roman" w:hAnsi="Times New Roman" w:eastAsia="楷体_GB2312" w:cs="Times New Roman"/>
          <w:b w:val="0"/>
          <w:bCs/>
          <w:snapToGrid w:val="0"/>
          <w:sz w:val="32"/>
          <w:szCs w:val="32"/>
        </w:rPr>
        <w:t>3</w:t>
      </w:r>
      <w:r>
        <w:rPr>
          <w:rFonts w:hint="eastAsia" w:ascii="Times New Roman" w:hAnsi="Times New Roman" w:eastAsia="楷体_GB2312" w:cs="Times New Roman"/>
          <w:b w:val="0"/>
          <w:bCs/>
          <w:snapToGrid w:val="0"/>
          <w:sz w:val="32"/>
          <w:szCs w:val="32"/>
          <w:lang w:val="en-US" w:eastAsia="zh-CN"/>
        </w:rPr>
        <w:t>7</w:t>
      </w:r>
      <w:r>
        <w:rPr>
          <w:rFonts w:ascii="Times New Roman" w:hAnsi="Times New Roman" w:eastAsia="仿宋_GB2312" w:cs="Times New Roman"/>
          <w:b w:val="0"/>
          <w:bCs/>
          <w:snapToGrid w:val="0"/>
          <w:sz w:val="32"/>
        </w:rPr>
        <w:t>．</w:t>
      </w:r>
      <w:r>
        <w:rPr>
          <w:rFonts w:ascii="Times New Roman" w:hAnsi="Times New Roman" w:eastAsia="楷体_GB2312" w:cs="Times New Roman"/>
          <w:b w:val="0"/>
          <w:bCs/>
          <w:snapToGrid w:val="0"/>
          <w:sz w:val="32"/>
          <w:szCs w:val="32"/>
        </w:rPr>
        <w:t>机关运行经费：</w:t>
      </w:r>
      <w:r>
        <w:rPr>
          <w:rFonts w:ascii="Times New Roman" w:hAnsi="Times New Roman" w:eastAsia="仿宋_GB2312" w:cs="Times New Roman"/>
          <w:b w:val="0"/>
          <w:bCs/>
          <w:snapToGrid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color w:val="000000"/>
          <w:sz w:val="44"/>
          <w:szCs w:val="44"/>
        </w:rPr>
      </w:pPr>
      <w:bookmarkStart w:id="55" w:name="_Toc15377226"/>
      <w:r>
        <w:rPr>
          <w:rFonts w:ascii="宋体"/>
          <w:b/>
          <w:color w:val="000000"/>
          <w:sz w:val="44"/>
          <w:szCs w:val="44"/>
        </w:rPr>
        <w:br w:type="page"/>
      </w:r>
      <w:bookmarkStart w:id="56" w:name="_Toc15396614"/>
    </w:p>
    <w:p>
      <w:pPr>
        <w:spacing w:line="600" w:lineRule="exact"/>
        <w:jc w:val="center"/>
        <w:outlineLvl w:val="0"/>
        <w:rPr>
          <w:rStyle w:val="16"/>
          <w:rFonts w:ascii="黑体" w:eastAsia="黑体"/>
          <w:b w:val="0"/>
        </w:rPr>
      </w:pPr>
      <w:r>
        <w:rPr>
          <w:rFonts w:hint="eastAsia" w:ascii="黑体" w:eastAsia="黑体"/>
          <w:color w:val="000000"/>
          <w:sz w:val="44"/>
          <w:szCs w:val="44"/>
        </w:rPr>
        <w:t>第</w:t>
      </w:r>
      <w:r>
        <w:rPr>
          <w:rStyle w:val="16"/>
          <w:rFonts w:hint="eastAsia" w:ascii="黑体" w:eastAsia="黑体"/>
          <w:b w:val="0"/>
        </w:rPr>
        <w:t>四部分 附件</w:t>
      </w:r>
      <w:bookmarkEnd w:id="56"/>
    </w:p>
    <w:p>
      <w:pPr>
        <w:widowControl/>
        <w:spacing w:line="600" w:lineRule="exact"/>
        <w:rPr>
          <w:rFonts w:ascii="方正兰亭黑_GBK" w:hAnsi="方正兰亭黑_GBK"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附件1</w:t>
      </w:r>
    </w:p>
    <w:p>
      <w:pPr>
        <w:pStyle w:val="2"/>
        <w:rPr>
          <w:rFonts w:hint="eastAsia"/>
        </w:rPr>
      </w:pPr>
    </w:p>
    <w:p>
      <w:pPr>
        <w:widowControl/>
        <w:spacing w:line="600" w:lineRule="exact"/>
        <w:jc w:val="center"/>
        <w:rPr>
          <w:rFonts w:ascii="方正小标宋简体" w:eastAsia="方正小标宋简体"/>
          <w:b/>
          <w:sz w:val="44"/>
          <w:szCs w:val="44"/>
          <w:shd w:val="clear" w:color="auto" w:fill="FFFFFF"/>
        </w:rPr>
      </w:pPr>
      <w:r>
        <w:rPr>
          <w:rFonts w:hint="eastAsia" w:ascii="方正小标宋简体" w:eastAsia="方正小标宋简体"/>
          <w:b/>
          <w:sz w:val="44"/>
          <w:szCs w:val="44"/>
          <w:shd w:val="clear" w:color="auto" w:fill="FFFFFF"/>
        </w:rPr>
        <w:t>中共四川省委宣传部</w:t>
      </w:r>
    </w:p>
    <w:p>
      <w:pPr>
        <w:widowControl/>
        <w:spacing w:line="600" w:lineRule="exact"/>
        <w:jc w:val="center"/>
        <w:rPr>
          <w:rFonts w:ascii="方正小标宋简体" w:eastAsia="方正小标宋简体"/>
          <w:b/>
          <w:sz w:val="44"/>
          <w:szCs w:val="44"/>
          <w:shd w:val="clear" w:color="auto" w:fill="FFFFFF"/>
        </w:rPr>
      </w:pPr>
      <w:r>
        <w:rPr>
          <w:rFonts w:hint="eastAsia" w:ascii="方正小标宋简体" w:eastAsia="方正小标宋简体"/>
          <w:b/>
          <w:sz w:val="44"/>
          <w:szCs w:val="44"/>
          <w:shd w:val="clear" w:color="auto" w:fill="FFFFFF"/>
        </w:rPr>
        <w:t>2020年度整体支出绩效评价自评报告</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2020年末机构数为8个，其中：行政机关1个，参照公务员法管理的事业单位2个，其他事业单位5个。纳入2020年度部门决算汇编范围的独立核算单位共8个,分别是中共四川省委宣传部机关、中共四川省委讲师团、国防时报社、四川国际文化交流中心、四川省对外文化交流中心、四川文化产业职业学院（四川省干部函授学院）、四川省思想政治工作研究会和四川省新闻中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中共四川省委宣传部是省委主管意识形态方面工作的职能部门。主要职能是：负责拟定全省宣传思想文化工作重大政策和事业产业发展总体规划，统筹协调推进宣传思想文化领域法制建设，按照省委统一部署，协调宣传思想文化系统各部门（单位）之间的工作；统筹协调全省党的意识形态工作；统筹指导协调理论研究、理论学习、理论宣传工作；负责规划组织全局性思想政治工作，组织重大先进典型的学习和推广；统筹指导协调推动精神文化产品的创作和生产，协调组织中华优秀传统文化和巴蜀文化传承发展工作，指导协调推动群众文化建设；统筹组织协调精神文明建设工作；统筹分析和引导社会舆论；统筹协调对外宣传工作，组织指导重大对外宣传活动和对外文化交流工作；宏观上统筹指导协调互联网宣传和信息内容管理；统筹指导舆论信息工作；统筹协调组织开展新闻发布工作；统筹指导推进文化体制改革和文化事业、文化产业及旅游业发展，统筹省属国有文化资产监管工作；负责管理新闻出版行政事务和所涉及的行政审批工作，组织指导协调“扫黄打非”工作；负责管理电影行政事务和所涉及的行政审批工作，指导协调和参与重大电影活动和电影对外合作交流等；负责组织开展宣传思想文化战线干部教育培训和人才工作；完成省委交办的其他任务。</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2020年在职人员</w:t>
      </w:r>
      <w:r>
        <w:rPr>
          <w:rFonts w:hint="eastAsia" w:ascii="仿宋_GB2312" w:eastAsia="仿宋_GB2312" w:cs="宋体"/>
          <w:color w:val="000000"/>
          <w:kern w:val="0"/>
          <w:sz w:val="32"/>
          <w:szCs w:val="32"/>
          <w:highlight w:val="none"/>
          <w:shd w:val="clear" w:color="auto" w:fill="FFFFFF"/>
          <w:lang w:val="zh-CN"/>
        </w:rPr>
        <w:t>为41</w:t>
      </w:r>
      <w:r>
        <w:rPr>
          <w:rFonts w:hint="eastAsia" w:ascii="仿宋_GB2312" w:eastAsia="仿宋_GB2312" w:cs="宋体"/>
          <w:color w:val="000000"/>
          <w:kern w:val="0"/>
          <w:sz w:val="32"/>
          <w:szCs w:val="32"/>
          <w:highlight w:val="none"/>
          <w:shd w:val="clear" w:color="auto" w:fill="FFFFFF"/>
          <w:lang w:val="en-US" w:eastAsia="zh-CN"/>
        </w:rPr>
        <w:t>5</w:t>
      </w:r>
      <w:r>
        <w:rPr>
          <w:rFonts w:hint="eastAsia" w:ascii="仿宋_GB2312" w:eastAsia="仿宋_GB2312" w:cs="宋体"/>
          <w:color w:val="000000"/>
          <w:kern w:val="0"/>
          <w:sz w:val="32"/>
          <w:szCs w:val="32"/>
          <w:highlight w:val="none"/>
          <w:shd w:val="clear" w:color="auto" w:fill="FFFFFF"/>
          <w:lang w:val="zh-CN"/>
        </w:rPr>
        <w:t>人，其中行政人员为148人，参照公务员法管理事业人员11人，非参公事业人员为25</w:t>
      </w:r>
      <w:r>
        <w:rPr>
          <w:rFonts w:hint="eastAsia" w:ascii="仿宋_GB2312" w:eastAsia="仿宋_GB2312" w:cs="宋体"/>
          <w:color w:val="000000"/>
          <w:kern w:val="0"/>
          <w:sz w:val="32"/>
          <w:szCs w:val="32"/>
          <w:highlight w:val="none"/>
          <w:shd w:val="clear" w:color="auto" w:fill="FFFFFF"/>
          <w:lang w:val="en-US" w:eastAsia="zh-CN"/>
        </w:rPr>
        <w:t>0</w:t>
      </w:r>
      <w:r>
        <w:rPr>
          <w:rFonts w:hint="eastAsia" w:ascii="仿宋_GB2312" w:eastAsia="仿宋_GB2312" w:cs="宋体"/>
          <w:color w:val="000000"/>
          <w:kern w:val="0"/>
          <w:sz w:val="32"/>
          <w:szCs w:val="32"/>
          <w:highlight w:val="none"/>
          <w:shd w:val="clear" w:color="auto" w:fill="FFFFFF"/>
          <w:lang w:val="zh-CN"/>
        </w:rPr>
        <w:t>人；离休人员为6人；年末其他人员为65人；年末学生数为99</w:t>
      </w:r>
      <w:r>
        <w:rPr>
          <w:rFonts w:hint="eastAsia" w:ascii="仿宋_GB2312" w:eastAsia="仿宋_GB2312" w:cs="宋体"/>
          <w:color w:val="000000"/>
          <w:kern w:val="0"/>
          <w:sz w:val="32"/>
          <w:szCs w:val="32"/>
          <w:shd w:val="clear" w:color="auto" w:fill="FFFFFF"/>
          <w:lang w:val="zh-CN"/>
        </w:rPr>
        <w:t>50人。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（四）当年取得的主要事业成效</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2020年全省宣传思想文化战线在省委坚强领导下，坚持以习近平新时代中国特色社会主义思想为指导，增强“四个意识”、坚定“四个自信”、做到“两个维护”，举旗帜、聚民心、育新人、兴文化、展形象，在决胜全面小康、决战脱贫攻坚中展现新作为，在抗击疫情和防汛救灾大战大考中焕发新气象，在夯实基层基础、积极践行“四力”中实现新突破，为夺取疫情防控和经济社会发展“双胜利”、推动治蜀兴川再上新台阶提供了坚强思想保证和强大精神力量。</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1．高举思想旗帜，推动习近平新时代中国特色社会主义思想更加深入人心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理论学习走深走实。习近平总书记发表重要讲话和作出指示批示后，省委常委会议第一时间传达贯彻，为各级党委（党组）作出示范。充分发挥党委（党组）理论学习中心组龙头作用，省委理论学习中心组围绕统筹疫情防控和经济社会发展、成渝地区双城经济圈建设等主题开展集体学习研讨10次，各市（州）党委理论学习中心组召开专题学习会180余次。制定理论学习中心组测评细则，提升党委（党组）理论学习中心组学习规范化水平。精心部署发行《习近平谈治国理政》第三卷220万册，广泛组织学习《论党的宣传思想工作》《中国制度面对面》等理论读物，建好用好“学习强国”学习平台，推动习近平新时代中国特色社会主义思想落地生根、入脑入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理论宣讲创新开展。精心组织党的十九届五中全会精神宣讲活动，中央宣讲团成员、省委书记彭清华为全省4万多名干部群众进行首场集中宣讲，并与高校师生代表、企业职工代表等面对面座谈。省领导带头到联系市（州）和分管领域开展宣讲，组建14个省委宣讲分团赴各地开展集中宣讲活动130余场（次），首次组建新时代文明实践青年宣讲分团面向青少年群体开展“面对面”“键对键”宣讲。各地各部门开展宣讲活动6.6万场次，直接受众570万人次。大力开辟理论宣讲新平台新阵地，创办《思想周刊》理论学习报，开设“藏地阳光”汉藏双语理论学习平台、“学习强国”四川学习平台《理论之声》专栏，以“宣讲+文艺”等方式将党的创新理论送进田间地头，积极构建多层次、多渠道、多样式的立体化理论宣传格局，推动全会精神家喻户晓。4个基层理论宣讲项目获中宣部表彰。</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理论研究深入浅出。紧扣习近平新时代中国特色社会主义思想，深入开展重大理论和现实问题研究，省委书记彭清华带头撰写《坚持系统观念谋划推动“十四五”经济社会发展》等4篇理论文章在《人民日报》《求是》等刊发。持续加强马克思主义学院建设，做好“马工程”重大项目研究工作。成立全省哲学社会科学工作办公室进一步强化工作统筹，组织全省社科理论工作者科学谋划一批重点课题，推出一批重大社科理论研究成果。召开学习宣传《习近平谈治国理政》第三卷座谈会，举办学习贯彻党的十九届五中全会精神理论研讨会、首届成渝地区双城经济圈发展论坛，理论研究不断深化。</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2．奏响时代强音，全省人民砥砺奋进坚决打赢两场硬仗、奋力夺取双胜利的信心力量极大凝聚</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抗击疫情重大宣传卓有成效。紧紧围绕打赢疫情防控人民战争、总体战、阻击战，第一时间启动突发事件应急新闻宣传工作机制，统筹各类媒体、各条战线、各个平台同频共振、同向发力，凝聚起全省干部群众克难攻坚、砥砺前行的磅礴力量。中央主要媒体聚焦打赢两场硬仗推出涉川报道1万余篇（条），其中《人民日报》等推出89篇头版稿件，央视《新闻联播》推出63个单条消息。省直媒体推出报道40余万篇（条），一批新媒体产品在全网形成刷屏效应。紧扣社会关注热点，各级举办疫情防控新闻发布活动400余场，县级融媒体中心日均发稿1万余条，创新运用四川手机报、村村响广播等平台全覆盖推送疫情信息、普及抗疫知识。弘扬伟大抗疫精神，举办战“疫”专题展览和大型“亮灯”活动，大力宣传抗疫防汛先进典型，广泛传播“汶川女孩”佘莎、“雨衣妹妹”刘仙等先进事迹，书写了中国抗“疫”故事四川篇章。</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脱贫奔康主题宣传浓墨重彩。精心组织“决胜全面小康  决战脱贫攻坚”重大主题宣传。聚焦我省藏区脱贫摘帽、凉山最大易地扶贫搬迁安置点分房、“最后的通村公路贯通”、我省贫困县全部脱贫摘帽等脱贫攻坚重大胜利，国务院新闻办在川举办首场脱贫攻坚新闻发布会，省委、省政府主要领导围绕“牢记总书记关怀嘱托  打好四川脱贫攻坚战”介绍四川脱贫攻坚情况并回答记者提问。协调中宣部在川举办“督战未摘帽贫困县”“走向我们的小康生活”启动仪式，18家中央媒体专题专栏报道均以四川开篇。组织中外媒体赴川集中采访，推出“悬崖村搬家”等易地扶贫搬迁重头报道，开展脱贫美丽新村全媒体集中宣传展示“晒”村活动，对外展示四川全面小康伟大成就。举办“向祖国汇报”脱贫攻坚主题大型文艺特别节目，建设凉山脱贫攻坚全域实景博物馆，集中宣传报道106位脱贫攻坚先进典型，讲好四川脱贫奔康故事，彰显中国特色社会主义制度巨大优越性。</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经济社会成就宣传有声有色。大力唱响经济光明论，深入解读扎实做好“六稳”工作、全面落实“六保”任务和加快形成以国内大循环为主体、国内国际双循环相互促进的新发展格局等战略决策，充分报道我省“一干多支、五区协同”“四向拓展、全域开放”“农业多贡献、工业挑大梁、投资唱主角、消费促升级”等重大部署，全面反映治蜀兴川新进展新成效。深入开展推动成渝地区双城经济圈建设宣传，与重庆市联合策划“双城记”系列宣传活动。扎实做好凉山西昌森林火灾、防汛救灾、乡镇行政区划和村级建制调整宣传引导，持续做好森林草原防灭火专项整治宣传报道工作，积极有效应对四川信托风险处置等敏感事件引发的舆情，有力维护社会稳定。</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3．弘扬主流价值，全社会文明程度和全省人民文明素养持续提升</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社会主义核心价值观广泛弘扬。坚持德法相济，推动社会主义核心价值观内化于心、外化于行，推进理想信念教育常态化制度化。印发《新时代公民道德建设实施纲要》《新时代爱国主义教育实施纲要》分工方案，开展“倡导国庆新民俗、打造爱国活动周”、社会主义核心价值观微电影（微视频）征集展播等主题活动，新命名9个省级爱国主义教育基地，培养爱国之情、砥砺强国之志。深入学习宣传习近平总书记在纪念中国人民抗日战争暨世界反法西斯战争胜利75周年大会、纪念中国人民志愿军抗美援朝出国作战70周年大会上的重要讲话精神，学习贯彻习近平总书记给省革命伤残军人休养院伤残军人回信重要精神，在巴中川陕革命根据地红军烈士陵园举办向人民英雄敬献花篮仪式。复排大型民族歌剧《同心结》等主题文艺作品。广泛宣传民法典等法律法规，大力弘扬社会主义法治精神。</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群众性精神文明创建成效显著。坚持为民利民惠民，以文明城市创建为龙头，推动群众性精神文明创建活动取得丰硕成果。4个地级市和4个县级城市获评第六届全国文明城市，获评数量超过前五届总和、县级全国文明城市实现零的突破。新创全国文明村镇103个、全国文明单位84个、全国文明家庭23个、全国文明校园27个、未成年人思想道德建设工作先进17个。评选表彰第五届四川省文明城市38个、文明村镇200个、文明单位350个，第二届文明家庭100户、文明校园122所，新一届未成年人思想道德建设工作先进230个。隆重召开全省精神文明建设表彰大会，传达学习省委书记彭清华对我省精神文明建设工作重要批示精神，集中展示全省精神文明建设新进展新成效，表彰一批先进集体和个人代表。</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全社会崇德向善风尚日益浓厚。树立德者受尊、好人好报的鲜明导向，出台《四川省礼遇帮扶道德模范和身边好人实施办法（试行）》，选树“四川好人”和“新时代好少年”220名，其中21人入选“中国好人”。深入宣传全国优秀共产党员周永开、“时代楷模”其美多吉等先进事迹，广泛开展“诚信社区”“诚信之星”评选宣传活动，形成见贤思齐、争当先进的浓厚氛围。加强青少年思想道德教育，深化“扣好人生第一粒扣子”主题教育实践活动，厚植广大青少年爱党爱国情怀。坚持扶贫同扶志扶智相结合，制定《精准扶志扶智决胜脱贫攻坚专项行动实施方案》，深入开展新时代乡风文明建设十大行动和移风易俗主题教育活动，着力破除等靠要思想、陈规陋习和不良风气。广泛开展“厉行节约、反对铺张浪费”光盘行动和“倡导社交文明、加强公共卫生”行动。扎实推进新时代文明实践中心建设，20个全国试点任务顺利完成，全省建成文明实践中心（所、站）8147个。推动志愿服务制度化常态化，全省注册志愿者超过1400万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4．着力培根铸魂，中华优秀传统文化创造性转化创新性发展迈出新步伐</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坚持项目化推动。深入学习贯彻习近平总书记关于考古工作重要论述，三星堆遗址等考古发掘取得重大进展。创建三星堆国家文物保护利用示范区，启动四川名人馆、江口沉银博物馆建设。深入实施历史名人文化传承创新工程和古籍保护研究利用工程，发布第二批10位四川历史名人，9部古籍入选第六批《国家珍贵古籍名录》。保护传承农村生产生活遗产，羌绣等165项传统技艺纳入传承名录。持续推动历史文化名城名镇名村建设，成功创建国家历史文化名城8个、名镇31个、名村6个。</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坚持体系化传承。构建中华优秀传统文化传承发展体系，大力建设重点中华文化研究院，新成立西南民族大学藏羌彝文化研究院、成都体育学院中华国术院、四川音乐学院中华传统音乐研究院，评选四川大学中华文化研究院等6所第一批全省重点中华文化研究院。发布“中华文化基本问题研究”等重大社科规划单列项目15个。编制《长征国家文化公园四川段建设保护规划（建议稿）》《四川省川陕片区红军文化公园保护利用规划（2020—2030年）》，与陕西省、重庆市签署《加强文物保护利用战略合作协议》，加快推进巴中川陕革命根据地红军烈士陵园整体提升工程。</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坚持社会化普及。有序推进中华文化经典读本编纂工作，出版发行《四川历史名人读本》，推出首批四川历史名人丛书41种，举办名人大讲堂8期，组织开展全省中华文化优秀校本课程读本评选推广活动。整理《天回医简》研究成果，推动中医药文化宣传普及。深化“我们的节日”主题活动，举办全省2020年经典诵写讲演和青少年中华优秀传统文化传习系列活动。制作播出大型人文纪录片《蜀道风流》，成功举办“金熊猫”国际传播高峰论坛、“巴蜀文化的现代表达与国际传播”研讨会，推动“李子柒”“丁真”等地域文化符号广泛传播，展现巴蜀文化独特魅力。</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5．聚焦人民期待，文化精品创作生产和文化高质量发展扎实推进</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深化文化体制改革纵深推进。启动编制“十四五”文化发展和改革规划，加强全省文化改革发展顶层设计。深化文化领域行政审批“放管服”改革，加强文化综合执法体系建设，构建省属国有文化资产监督管理框架体系，调整广电系统事业单位管理关系。印发《深化省属国有文化企业（单位）改革方案》，加快推进国有文化资产重组和资源整合，完成四川文化产业投资集团改组组建和四川新华出版发行集团更名，省广电网络公司如期完成参与“全国一网”整合股权出资实缴，四川新闻网（传媒）集团发行上市已获通过进入注册环节，峨眉电影集团改革取得重大进展，四川新华发行集团稳居全国文化企业30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促进公共文化服务提质增效。增强公共文化服务供给力，深入实施公共博物馆、图书馆、文化馆效能提升行动，加快推进天府新区省级文化中心等重大设施、“高清四川、智慧广电”等重点工程建设，创新开展天府书展、乡村阅读季等重点阅读活动，建好用好农家（社区）书屋。制定《四川省乡村文化振兴“百千万”工程实施方案》，在全省25个乡镇创新开展公共文化服务效能提升试点工作。广泛开展“我们的中国梦”——文化进万家系列文化惠民活动，组织红色文艺轻骑兵送文艺下乡2000余场，放映农村公益电影58万余场次。全面完成文化扶贫任务，11501个贫困村全覆盖建成综合文化服务中心（文化院坝）、应急广播系统、文化室，贫困地区文化设施“短板”明显改善。15家单位获评第八届全国服务农民、服务基层文化建设先进集体。</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加快优质文化产品创作生产。围绕全面建成小康社会、建党100周年和全民战“疫”开展主题文艺精品创作生产，制定《四川省主题文艺精品创作生产推进方案（2020—2025年）》。报告文学《悬崖村》、散文集《檐上的月亮》荣获第十二届全国少数民族文学创作骏马奖，舞剧《努力餐》荣获第十二届中国舞蹈“荷花奖”，长篇小说《桑田日暖》、舞剧《英雄》等8部作品入选庆祝中国共产党成立100周年重点扶持作品，电影《随风飘散》入围2020年韩国釜山国际A类电影节，电视剧《金色索玛花》登陆央视一套黄金档、《四川省优秀战疫歌曲集》入选第十届中国数字出版博览会出版战“疫”数字内容精品展。振兴四川出版再上新台阶，召开振兴四川出版工作推进会，省委办公厅、省政府办公厅印发《关于加强和改进出版工作推动四川出版高质量发展的指导意见》，组织出版《小康中国》《大道兴川》等主题出版物50种，《古路之路》入选中宣部主题出版重点出版物选题，56个项目入选2020年各类国家出版资助项目和推荐计划，编纂四川战“疫”丛书和脱贫攻坚书系。开展“版权社会服务质量提升年”活动，完成作品著作权登记近16万件。</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推动文化旅游产业逆势发展。加快文化强省旅游强省建设步伐，召开全省文化和旅游发展大会，命名第二批天府旅游名县。积极应对疫情影响，安排专项资金对影院、书店、景区、文旅企业等给予纾困支持，开展“惠文化·乐生活”文化消费提振行动。推动文化和科技、金融深度融合，试点“天府文产贷”。优化文旅经济布局，成都大熊猫国际旅游度假区、德阳三星堆文化产业园、自贡中华彩灯大世界等项目稳步推进，绵阳方特东方神画、都江堰融创文旅城投入运营。举办第八届中国网络视听大会、第六届中国（四川）国际旅游投资大会。国庆中秋假期，全省共接待各类游客5969.36万人次，同口径相比恢复77%，接待规模位居全国第二，实现国内旅游收入479.54亿元，同口径相比恢复79.1%。制定全省文化旅游发展重点项目清单，启动推进文旅重点项目803个，累计完成投资约3000亿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6．推进从严治党，全省宣传思想文化战线党的建设和自身建设全面加强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加强党的领导落实有力。旗帜鲜明坚持党管宣传、党管意识形态、党管媒体，把政治家办报、办刊、办台、办新媒体的要求不折不扣落实到工作全过程和各方面。以贯彻《中国共产党宣传工作条例》《党委（党组）意识形态工作责任制实施办法》为重要抓手，推动各级各部门党委（党组）抓宣传思想工作主体责任意识不断增强。统筹推进四川新华出版发行集团、峨眉电影集团、省四川文化产业职业学院（四川省干部函授学院）（四川文化产业职业学院）党委换届工作。</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加强队伍建设积极有为。突出政治标准，鲜明用人导向，强化归口领导管理，大力推进宣传文化系统领导班子和干部队伍建设，修订省直宣传文化单位重要宣传舆论阵地和重要岗位领导干部职务名称。统筹推进宣传思想文化领域人才队伍建设，培养选拔优秀青年人才，加强对非公领域文化人才的政治引领、教育引导和联系服务，11人获评“天府万人计划”天府文化领军人才称号。加快建设四川宣传干部学院，建好用好网信人才培养基地。以乡镇行政区划调整改革为契机，配齐配强宣传委员队伍，夯实基层宣传工作力量。深入开展增强“四力”教育实践，突出实用性操作性，不断提升干部教育培训工作正规化专业化精品化水平，培训各类干部人才1.2万余人次，努力打造政治过硬、本领高强、求实创新、能打胜仗的宣传思想工作队伍。</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根据预算批复，省委宣传部20</w:t>
      </w:r>
      <w:r>
        <w:rPr>
          <w:rFonts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zh-CN"/>
        </w:rPr>
        <w:t>年度部门年初预算收入</w:t>
      </w:r>
      <w:r>
        <w:rPr>
          <w:rFonts w:ascii="仿宋_GB2312" w:eastAsia="仿宋_GB2312" w:cs="宋体"/>
          <w:color w:val="000000"/>
          <w:kern w:val="0"/>
          <w:sz w:val="32"/>
          <w:szCs w:val="32"/>
          <w:shd w:val="clear" w:color="auto" w:fill="FFFFFF"/>
          <w:lang w:val="zh-CN"/>
        </w:rPr>
        <w:t>31</w:t>
      </w:r>
      <w:r>
        <w:rPr>
          <w:rFonts w:hint="eastAsia" w:ascii="仿宋_GB2312" w:eastAsia="仿宋_GB2312" w:cs="宋体"/>
          <w:color w:val="000000"/>
          <w:kern w:val="0"/>
          <w:sz w:val="32"/>
          <w:szCs w:val="32"/>
          <w:shd w:val="clear" w:color="auto" w:fill="FFFFFF"/>
          <w:lang w:val="zh-CN"/>
        </w:rPr>
        <w:t>,</w:t>
      </w:r>
      <w:r>
        <w:rPr>
          <w:rFonts w:ascii="仿宋_GB2312" w:eastAsia="仿宋_GB2312" w:cs="宋体"/>
          <w:color w:val="000000"/>
          <w:kern w:val="0"/>
          <w:sz w:val="32"/>
          <w:szCs w:val="32"/>
          <w:shd w:val="clear" w:color="auto" w:fill="FFFFFF"/>
          <w:lang w:val="zh-CN"/>
        </w:rPr>
        <w:t>710.69</w:t>
      </w:r>
      <w:r>
        <w:rPr>
          <w:rFonts w:hint="eastAsia" w:ascii="仿宋_GB2312" w:eastAsia="仿宋_GB2312" w:cs="宋体"/>
          <w:color w:val="000000"/>
          <w:kern w:val="0"/>
          <w:sz w:val="32"/>
          <w:szCs w:val="32"/>
          <w:shd w:val="clear" w:color="auto" w:fill="FFFFFF"/>
          <w:lang w:val="zh-CN"/>
        </w:rPr>
        <w:t>万元，调整预算收入</w:t>
      </w:r>
      <w:r>
        <w:rPr>
          <w:rFonts w:ascii="仿宋_GB2312" w:eastAsia="仿宋_GB2312" w:cs="宋体"/>
          <w:color w:val="000000"/>
          <w:kern w:val="0"/>
          <w:sz w:val="32"/>
          <w:szCs w:val="32"/>
          <w:shd w:val="clear" w:color="auto" w:fill="FFFFFF"/>
          <w:lang w:val="zh-CN"/>
        </w:rPr>
        <w:t>34,804</w:t>
      </w:r>
      <w:r>
        <w:rPr>
          <w:rFonts w:hint="eastAsia" w:ascii="仿宋_GB2312" w:eastAsia="仿宋_GB2312" w:cs="宋体"/>
          <w:color w:val="000000"/>
          <w:kern w:val="0"/>
          <w:sz w:val="32"/>
          <w:szCs w:val="32"/>
          <w:shd w:val="clear" w:color="auto" w:fill="FFFFFF"/>
          <w:lang w:val="zh-CN"/>
        </w:rPr>
        <w:t>.</w:t>
      </w:r>
      <w:r>
        <w:rPr>
          <w:rFonts w:ascii="仿宋_GB2312" w:eastAsia="仿宋_GB2312" w:cs="宋体"/>
          <w:color w:val="000000"/>
          <w:kern w:val="0"/>
          <w:sz w:val="32"/>
          <w:szCs w:val="32"/>
          <w:shd w:val="clear" w:color="auto" w:fill="FFFFFF"/>
          <w:lang w:val="zh-CN"/>
        </w:rPr>
        <w:t>33</w:t>
      </w:r>
      <w:r>
        <w:rPr>
          <w:rFonts w:hint="eastAsia" w:ascii="仿宋_GB2312" w:eastAsia="仿宋_GB2312" w:cs="宋体"/>
          <w:color w:val="000000"/>
          <w:kern w:val="0"/>
          <w:sz w:val="32"/>
          <w:szCs w:val="32"/>
          <w:shd w:val="clear" w:color="auto" w:fill="FFFFFF"/>
          <w:lang w:val="zh-CN"/>
        </w:rPr>
        <w:t>万元。其中一般公共预算财政拨款收入</w:t>
      </w:r>
      <w:r>
        <w:rPr>
          <w:rFonts w:ascii="仿宋_GB2312" w:eastAsia="仿宋_GB2312" w:cs="宋体"/>
          <w:color w:val="000000"/>
          <w:kern w:val="0"/>
          <w:sz w:val="32"/>
          <w:szCs w:val="32"/>
          <w:shd w:val="clear" w:color="auto" w:fill="FFFFFF"/>
          <w:lang w:val="zh-CN"/>
        </w:rPr>
        <w:t>29,151.19</w:t>
      </w:r>
      <w:r>
        <w:rPr>
          <w:rFonts w:hint="eastAsia" w:ascii="仿宋_GB2312" w:eastAsia="仿宋_GB2312" w:cs="宋体"/>
          <w:color w:val="000000"/>
          <w:kern w:val="0"/>
          <w:sz w:val="32"/>
          <w:szCs w:val="32"/>
          <w:shd w:val="clear" w:color="auto" w:fill="FFFFFF"/>
          <w:lang w:val="zh-CN"/>
        </w:rPr>
        <w:t>万元，政府性基金预算财政拨款收入85</w:t>
      </w:r>
      <w:r>
        <w:rPr>
          <w:rFonts w:ascii="仿宋_GB2312" w:eastAsia="仿宋_GB2312" w:cs="宋体"/>
          <w:color w:val="000000"/>
          <w:kern w:val="0"/>
          <w:sz w:val="32"/>
          <w:szCs w:val="32"/>
          <w:shd w:val="clear" w:color="auto" w:fill="FFFFFF"/>
          <w:lang w:val="zh-CN"/>
        </w:rPr>
        <w:t>3</w:t>
      </w:r>
      <w:r>
        <w:rPr>
          <w:rFonts w:hint="eastAsia" w:ascii="仿宋_GB2312" w:eastAsia="仿宋_GB2312" w:cs="宋体"/>
          <w:color w:val="000000"/>
          <w:kern w:val="0"/>
          <w:sz w:val="32"/>
          <w:szCs w:val="32"/>
          <w:shd w:val="clear" w:color="auto" w:fill="FFFFFF"/>
          <w:lang w:val="zh-CN"/>
        </w:rPr>
        <w:t>.9</w:t>
      </w:r>
      <w:r>
        <w:rPr>
          <w:rFonts w:ascii="仿宋_GB2312" w:eastAsia="仿宋_GB2312" w:cs="宋体"/>
          <w:color w:val="000000"/>
          <w:kern w:val="0"/>
          <w:sz w:val="32"/>
          <w:szCs w:val="32"/>
          <w:shd w:val="clear" w:color="auto" w:fill="FFFFFF"/>
          <w:lang w:val="zh-CN"/>
        </w:rPr>
        <w:t>5</w:t>
      </w:r>
      <w:r>
        <w:rPr>
          <w:rFonts w:hint="eastAsia" w:ascii="仿宋_GB2312" w:eastAsia="仿宋_GB2312" w:cs="宋体"/>
          <w:color w:val="000000"/>
          <w:kern w:val="0"/>
          <w:sz w:val="32"/>
          <w:szCs w:val="32"/>
          <w:shd w:val="clear" w:color="auto" w:fill="FFFFFF"/>
          <w:lang w:val="zh-CN"/>
        </w:rPr>
        <w:t>万元，上级补助收入1</w:t>
      </w:r>
      <w:r>
        <w:rPr>
          <w:rFonts w:ascii="仿宋_GB2312" w:eastAsia="仿宋_GB2312" w:cs="宋体"/>
          <w:color w:val="000000"/>
          <w:kern w:val="0"/>
          <w:sz w:val="32"/>
          <w:szCs w:val="32"/>
          <w:shd w:val="clear" w:color="auto" w:fill="FFFFFF"/>
          <w:lang w:val="zh-CN"/>
        </w:rPr>
        <w:t>4</w:t>
      </w:r>
      <w:r>
        <w:rPr>
          <w:rFonts w:hint="eastAsia" w:ascii="仿宋_GB2312" w:eastAsia="仿宋_GB2312" w:cs="宋体"/>
          <w:color w:val="000000"/>
          <w:kern w:val="0"/>
          <w:sz w:val="32"/>
          <w:szCs w:val="32"/>
          <w:shd w:val="clear" w:color="auto" w:fill="FFFFFF"/>
          <w:lang w:val="zh-CN"/>
        </w:rPr>
        <w:t>万元，事业收入</w:t>
      </w:r>
      <w:r>
        <w:rPr>
          <w:rFonts w:ascii="仿宋_GB2312" w:eastAsia="仿宋_GB2312" w:cs="宋体"/>
          <w:color w:val="000000"/>
          <w:kern w:val="0"/>
          <w:sz w:val="32"/>
          <w:szCs w:val="32"/>
          <w:shd w:val="clear" w:color="auto" w:fill="FFFFFF"/>
          <w:lang w:val="zh-CN"/>
        </w:rPr>
        <w:t>4,781.81</w:t>
      </w:r>
      <w:r>
        <w:rPr>
          <w:rFonts w:hint="eastAsia" w:ascii="仿宋_GB2312" w:eastAsia="仿宋_GB2312" w:cs="宋体"/>
          <w:color w:val="000000"/>
          <w:kern w:val="0"/>
          <w:sz w:val="32"/>
          <w:szCs w:val="32"/>
          <w:shd w:val="clear" w:color="auto" w:fill="FFFFFF"/>
          <w:lang w:val="zh-CN"/>
        </w:rPr>
        <w:t>万元，其他收入3</w:t>
      </w:r>
      <w:r>
        <w:rPr>
          <w:rFonts w:ascii="仿宋_GB2312" w:eastAsia="仿宋_GB2312" w:cs="宋体"/>
          <w:color w:val="000000"/>
          <w:kern w:val="0"/>
          <w:sz w:val="32"/>
          <w:szCs w:val="32"/>
          <w:shd w:val="clear" w:color="auto" w:fill="FFFFFF"/>
          <w:lang w:val="zh-CN"/>
        </w:rPr>
        <w:t>.38</w:t>
      </w:r>
      <w:r>
        <w:rPr>
          <w:rFonts w:hint="eastAsia" w:ascii="仿宋_GB2312" w:eastAsia="仿宋_GB2312" w:cs="宋体"/>
          <w:color w:val="000000"/>
          <w:kern w:val="0"/>
          <w:sz w:val="32"/>
          <w:szCs w:val="32"/>
          <w:shd w:val="clear" w:color="auto" w:fill="FFFFFF"/>
          <w:lang w:val="zh-CN"/>
        </w:rPr>
        <w:t>万元。使用非财政拨款结余0</w:t>
      </w:r>
      <w:r>
        <w:rPr>
          <w:rFonts w:ascii="仿宋_GB2312" w:eastAsia="仿宋_GB2312" w:cs="宋体"/>
          <w:color w:val="000000"/>
          <w:kern w:val="0"/>
          <w:sz w:val="32"/>
          <w:szCs w:val="32"/>
          <w:shd w:val="clear" w:color="auto" w:fill="FFFFFF"/>
          <w:lang w:val="zh-CN"/>
        </w:rPr>
        <w:t>.03</w:t>
      </w:r>
      <w:r>
        <w:rPr>
          <w:rFonts w:hint="eastAsia" w:ascii="仿宋_GB2312" w:eastAsia="仿宋_GB2312" w:cs="宋体"/>
          <w:color w:val="000000"/>
          <w:kern w:val="0"/>
          <w:sz w:val="32"/>
          <w:szCs w:val="32"/>
          <w:shd w:val="clear" w:color="auto" w:fill="FFFFFF"/>
          <w:lang w:val="zh-CN"/>
        </w:rPr>
        <w:t>万元，年初结转和结余</w:t>
      </w:r>
      <w:r>
        <w:rPr>
          <w:rFonts w:ascii="仿宋_GB2312" w:eastAsia="仿宋_GB2312" w:cs="宋体"/>
          <w:color w:val="000000"/>
          <w:kern w:val="0"/>
          <w:sz w:val="32"/>
          <w:szCs w:val="32"/>
          <w:shd w:val="clear" w:color="auto" w:fill="FFFFFF"/>
          <w:lang w:val="zh-CN"/>
        </w:rPr>
        <w:t>0.02</w:t>
      </w:r>
      <w:r>
        <w:rPr>
          <w:rFonts w:hint="eastAsia" w:ascii="仿宋_GB2312"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根据决算报表，20</w:t>
      </w:r>
      <w:r>
        <w:rPr>
          <w:rFonts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zh-CN"/>
        </w:rPr>
        <w:t>年度部门决算收入</w:t>
      </w:r>
      <w:r>
        <w:rPr>
          <w:rFonts w:ascii="仿宋_GB2312" w:eastAsia="仿宋_GB2312" w:cs="宋体"/>
          <w:color w:val="000000"/>
          <w:kern w:val="0"/>
          <w:sz w:val="32"/>
          <w:szCs w:val="32"/>
          <w:shd w:val="clear" w:color="auto" w:fill="FFFFFF"/>
          <w:lang w:val="zh-CN"/>
        </w:rPr>
        <w:t>34,804</w:t>
      </w:r>
      <w:r>
        <w:rPr>
          <w:rFonts w:hint="eastAsia" w:ascii="仿宋_GB2312" w:eastAsia="仿宋_GB2312" w:cs="宋体"/>
          <w:color w:val="000000"/>
          <w:kern w:val="0"/>
          <w:sz w:val="32"/>
          <w:szCs w:val="32"/>
          <w:shd w:val="clear" w:color="auto" w:fill="FFFFFF"/>
          <w:lang w:val="zh-CN"/>
        </w:rPr>
        <w:t>.</w:t>
      </w:r>
      <w:r>
        <w:rPr>
          <w:rFonts w:ascii="仿宋_GB2312" w:eastAsia="仿宋_GB2312" w:cs="宋体"/>
          <w:color w:val="000000"/>
          <w:kern w:val="0"/>
          <w:sz w:val="32"/>
          <w:szCs w:val="32"/>
          <w:shd w:val="clear" w:color="auto" w:fill="FFFFFF"/>
          <w:lang w:val="zh-CN"/>
        </w:rPr>
        <w:t>38</w:t>
      </w:r>
      <w:r>
        <w:rPr>
          <w:rFonts w:hint="eastAsia" w:ascii="仿宋_GB2312" w:eastAsia="仿宋_GB2312" w:cs="宋体"/>
          <w:color w:val="000000"/>
          <w:kern w:val="0"/>
          <w:sz w:val="32"/>
          <w:szCs w:val="32"/>
          <w:shd w:val="clear" w:color="auto" w:fill="FFFFFF"/>
          <w:lang w:val="zh-CN"/>
        </w:rPr>
        <w:t>万元与调整预算数一致。</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根据预算批复，20</w:t>
      </w:r>
      <w:r>
        <w:rPr>
          <w:rFonts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zh-CN"/>
        </w:rPr>
        <w:t>年度部门年初预算支出</w:t>
      </w:r>
      <w:r>
        <w:rPr>
          <w:rFonts w:ascii="仿宋_GB2312" w:eastAsia="仿宋_GB2312" w:cs="宋体"/>
          <w:color w:val="000000"/>
          <w:kern w:val="0"/>
          <w:sz w:val="32"/>
          <w:szCs w:val="32"/>
          <w:shd w:val="clear" w:color="auto" w:fill="FFFFFF"/>
          <w:lang w:val="zh-CN"/>
        </w:rPr>
        <w:t>31,710.69</w:t>
      </w:r>
      <w:r>
        <w:rPr>
          <w:rFonts w:hint="eastAsia" w:ascii="仿宋_GB2312" w:eastAsia="仿宋_GB2312" w:cs="宋体"/>
          <w:color w:val="000000"/>
          <w:kern w:val="0"/>
          <w:sz w:val="32"/>
          <w:szCs w:val="32"/>
          <w:shd w:val="clear" w:color="auto" w:fill="FFFFFF"/>
          <w:lang w:val="zh-CN"/>
        </w:rPr>
        <w:t>万元，调整预算支出</w:t>
      </w:r>
      <w:r>
        <w:rPr>
          <w:rFonts w:ascii="仿宋_GB2312" w:eastAsia="仿宋_GB2312" w:cs="宋体"/>
          <w:color w:val="000000"/>
          <w:kern w:val="0"/>
          <w:sz w:val="32"/>
          <w:szCs w:val="32"/>
          <w:shd w:val="clear" w:color="auto" w:fill="FFFFFF"/>
          <w:lang w:val="zh-CN"/>
        </w:rPr>
        <w:t>34,804</w:t>
      </w:r>
      <w:r>
        <w:rPr>
          <w:rFonts w:hint="eastAsia" w:ascii="仿宋_GB2312" w:eastAsia="仿宋_GB2312" w:cs="宋体"/>
          <w:color w:val="000000"/>
          <w:kern w:val="0"/>
          <w:sz w:val="32"/>
          <w:szCs w:val="32"/>
          <w:shd w:val="clear" w:color="auto" w:fill="FFFFFF"/>
          <w:lang w:val="zh-CN"/>
        </w:rPr>
        <w:t>.</w:t>
      </w:r>
      <w:r>
        <w:rPr>
          <w:rFonts w:ascii="仿宋_GB2312" w:eastAsia="仿宋_GB2312" w:cs="宋体"/>
          <w:color w:val="000000"/>
          <w:kern w:val="0"/>
          <w:sz w:val="32"/>
          <w:szCs w:val="32"/>
          <w:shd w:val="clear" w:color="auto" w:fill="FFFFFF"/>
          <w:lang w:val="zh-CN"/>
        </w:rPr>
        <w:t>38</w:t>
      </w:r>
      <w:r>
        <w:rPr>
          <w:rFonts w:hint="eastAsia" w:ascii="仿宋_GB2312" w:eastAsia="仿宋_GB2312" w:cs="宋体"/>
          <w:color w:val="000000"/>
          <w:kern w:val="0"/>
          <w:sz w:val="32"/>
          <w:szCs w:val="32"/>
          <w:shd w:val="clear" w:color="auto" w:fill="FFFFFF"/>
          <w:lang w:val="zh-CN"/>
        </w:rPr>
        <w:t>万元，其中基本支出1</w:t>
      </w:r>
      <w:r>
        <w:rPr>
          <w:rFonts w:ascii="仿宋_GB2312" w:eastAsia="仿宋_GB2312" w:cs="宋体"/>
          <w:color w:val="000000"/>
          <w:kern w:val="0"/>
          <w:sz w:val="32"/>
          <w:szCs w:val="32"/>
          <w:shd w:val="clear" w:color="auto" w:fill="FFFFFF"/>
          <w:lang w:val="zh-CN"/>
        </w:rPr>
        <w:t>6,820.30</w:t>
      </w:r>
      <w:r>
        <w:rPr>
          <w:rFonts w:hint="eastAsia" w:ascii="仿宋_GB2312" w:eastAsia="仿宋_GB2312" w:cs="宋体"/>
          <w:color w:val="000000"/>
          <w:kern w:val="0"/>
          <w:sz w:val="32"/>
          <w:szCs w:val="32"/>
          <w:shd w:val="clear" w:color="auto" w:fill="FFFFFF"/>
          <w:lang w:val="zh-CN"/>
        </w:rPr>
        <w:t>万元，项目支出1</w:t>
      </w:r>
      <w:r>
        <w:rPr>
          <w:rFonts w:ascii="仿宋_GB2312" w:eastAsia="仿宋_GB2312" w:cs="宋体"/>
          <w:color w:val="000000"/>
          <w:kern w:val="0"/>
          <w:sz w:val="32"/>
          <w:szCs w:val="32"/>
          <w:shd w:val="clear" w:color="auto" w:fill="FFFFFF"/>
          <w:lang w:val="zh-CN"/>
        </w:rPr>
        <w:t>7,984.08</w:t>
      </w:r>
      <w:r>
        <w:rPr>
          <w:rFonts w:hint="eastAsia" w:ascii="仿宋_GB2312" w:eastAsia="仿宋_GB2312"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根据决算报表，20</w:t>
      </w:r>
      <w:r>
        <w:rPr>
          <w:rFonts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zh-CN"/>
        </w:rPr>
        <w:t>年部门决算支出</w:t>
      </w:r>
      <w:r>
        <w:rPr>
          <w:rFonts w:hint="eastAsia" w:ascii="仿宋_GB2312" w:eastAsia="仿宋_GB2312"/>
          <w:sz w:val="32"/>
          <w:szCs w:val="32"/>
        </w:rPr>
        <w:t>34</w:t>
      </w:r>
      <w:r>
        <w:rPr>
          <w:rFonts w:ascii="仿宋_GB2312" w:eastAsia="仿宋_GB2312"/>
          <w:sz w:val="32"/>
          <w:szCs w:val="32"/>
        </w:rPr>
        <w:t>,</w:t>
      </w:r>
      <w:r>
        <w:rPr>
          <w:rFonts w:hint="eastAsia" w:ascii="仿宋_GB2312" w:eastAsia="仿宋_GB2312"/>
          <w:sz w:val="32"/>
          <w:szCs w:val="32"/>
        </w:rPr>
        <w:t>631.14</w:t>
      </w:r>
      <w:r>
        <w:rPr>
          <w:rFonts w:hint="eastAsia" w:ascii="仿宋_GB2312" w:eastAsia="仿宋_GB2312" w:cs="宋体"/>
          <w:color w:val="000000"/>
          <w:kern w:val="0"/>
          <w:sz w:val="32"/>
          <w:szCs w:val="32"/>
          <w:shd w:val="clear" w:color="auto" w:fill="FFFFFF"/>
          <w:lang w:val="zh-CN"/>
        </w:rPr>
        <w:t>万元，结余分配</w:t>
      </w:r>
      <w:r>
        <w:rPr>
          <w:rFonts w:ascii="仿宋_GB2312" w:eastAsia="仿宋_GB2312" w:cs="宋体"/>
          <w:color w:val="000000"/>
          <w:kern w:val="0"/>
          <w:sz w:val="32"/>
          <w:szCs w:val="32"/>
          <w:shd w:val="clear" w:color="auto" w:fill="FFFFFF"/>
          <w:lang w:val="zh-CN"/>
        </w:rPr>
        <w:t>173.24</w:t>
      </w:r>
      <w:r>
        <w:rPr>
          <w:rFonts w:hint="eastAsia" w:ascii="仿宋_GB2312" w:eastAsia="仿宋_GB2312" w:cs="宋体"/>
          <w:color w:val="000000"/>
          <w:kern w:val="0"/>
          <w:sz w:val="32"/>
          <w:szCs w:val="32"/>
          <w:shd w:val="clear" w:color="auto" w:fill="FFFFFF"/>
          <w:lang w:val="zh-CN"/>
        </w:rPr>
        <w:t>万元。支出情况见下表：</w:t>
      </w:r>
    </w:p>
    <w:p>
      <w:pPr>
        <w:spacing w:line="520" w:lineRule="exact"/>
        <w:ind w:firstLine="7200" w:firstLineChars="3000"/>
        <w:rPr>
          <w:rFonts w:ascii="仿宋_GB2312" w:eastAsia="仿宋_GB2312"/>
          <w:sz w:val="24"/>
          <w:szCs w:val="32"/>
        </w:rPr>
      </w:pPr>
      <w:r>
        <w:rPr>
          <w:rFonts w:hint="eastAsia" w:ascii="仿宋_GB2312" w:eastAsia="仿宋_GB2312"/>
          <w:sz w:val="24"/>
          <w:szCs w:val="32"/>
        </w:rPr>
        <w:t>单位：万元</w:t>
      </w:r>
    </w:p>
    <w:tbl>
      <w:tblPr>
        <w:tblStyle w:val="12"/>
        <w:tblW w:w="841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44"/>
        <w:gridCol w:w="1984"/>
        <w:gridCol w:w="1843"/>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right"/>
        </w:trPr>
        <w:tc>
          <w:tcPr>
            <w:tcW w:w="2744" w:type="dxa"/>
            <w:tcBorders>
              <w:top w:val="single" w:color="auto" w:sz="12" w:space="0"/>
              <w:left w:val="nil"/>
              <w:bottom w:val="dotted" w:color="auto" w:sz="4" w:space="0"/>
              <w:right w:val="dotted" w:color="auto" w:sz="4" w:space="0"/>
            </w:tcBorders>
            <w:shd w:val="clear" w:color="auto" w:fill="auto"/>
            <w:noWrap/>
            <w:vAlign w:val="bottom"/>
          </w:tcPr>
          <w:p>
            <w:pPr>
              <w:widowControl/>
              <w:jc w:val="center"/>
              <w:rPr>
                <w:rFonts w:ascii="仿宋_GB2312" w:eastAsia="仿宋_GB2312" w:cs="宋体"/>
                <w:color w:val="000000"/>
                <w:kern w:val="0"/>
                <w:sz w:val="22"/>
                <w:szCs w:val="22"/>
              </w:rPr>
            </w:pPr>
            <w:r>
              <w:rPr>
                <w:rFonts w:hint="eastAsia" w:ascii="仿宋_GB2312" w:eastAsia="仿宋_GB2312" w:cs="宋体"/>
                <w:color w:val="000000"/>
                <w:kern w:val="0"/>
                <w:sz w:val="22"/>
                <w:szCs w:val="22"/>
              </w:rPr>
              <w:t>项目</w:t>
            </w:r>
          </w:p>
        </w:tc>
        <w:tc>
          <w:tcPr>
            <w:tcW w:w="1984" w:type="dxa"/>
            <w:tcBorders>
              <w:top w:val="single" w:color="auto" w:sz="12" w:space="0"/>
              <w:left w:val="nil"/>
              <w:bottom w:val="dotted" w:color="auto" w:sz="4" w:space="0"/>
              <w:right w:val="dotted" w:color="auto" w:sz="4" w:space="0"/>
            </w:tcBorders>
            <w:shd w:val="clear" w:color="auto" w:fill="auto"/>
            <w:noWrap/>
            <w:vAlign w:val="bottom"/>
          </w:tcPr>
          <w:p>
            <w:pPr>
              <w:widowControl/>
              <w:jc w:val="center"/>
              <w:rPr>
                <w:rFonts w:ascii="仿宋_GB2312" w:eastAsia="仿宋_GB2312" w:cs="宋体"/>
                <w:color w:val="000000"/>
                <w:kern w:val="0"/>
                <w:sz w:val="22"/>
                <w:szCs w:val="22"/>
              </w:rPr>
            </w:pPr>
            <w:r>
              <w:rPr>
                <w:rFonts w:hint="eastAsia" w:ascii="仿宋_GB2312" w:eastAsia="仿宋_GB2312" w:cs="宋体"/>
                <w:color w:val="000000"/>
                <w:kern w:val="0"/>
                <w:sz w:val="22"/>
                <w:szCs w:val="22"/>
              </w:rPr>
              <w:t>年初预算数</w:t>
            </w:r>
          </w:p>
        </w:tc>
        <w:tc>
          <w:tcPr>
            <w:tcW w:w="1843" w:type="dxa"/>
            <w:tcBorders>
              <w:top w:val="single" w:color="auto" w:sz="12" w:space="0"/>
              <w:left w:val="nil"/>
              <w:bottom w:val="dotted" w:color="auto" w:sz="4" w:space="0"/>
              <w:right w:val="dotted" w:color="auto" w:sz="4" w:space="0"/>
            </w:tcBorders>
            <w:shd w:val="clear" w:color="auto" w:fill="auto"/>
            <w:noWrap/>
            <w:vAlign w:val="bottom"/>
          </w:tcPr>
          <w:p>
            <w:pPr>
              <w:widowControl/>
              <w:jc w:val="center"/>
              <w:rPr>
                <w:rFonts w:ascii="仿宋_GB2312" w:eastAsia="仿宋_GB2312" w:cs="宋体"/>
                <w:color w:val="000000"/>
                <w:kern w:val="0"/>
                <w:sz w:val="22"/>
                <w:szCs w:val="22"/>
              </w:rPr>
            </w:pPr>
            <w:r>
              <w:rPr>
                <w:rFonts w:hint="eastAsia" w:ascii="仿宋_GB2312" w:eastAsia="仿宋_GB2312" w:cs="宋体"/>
                <w:color w:val="000000"/>
                <w:kern w:val="0"/>
                <w:sz w:val="22"/>
                <w:szCs w:val="22"/>
              </w:rPr>
              <w:t>调整预算数</w:t>
            </w:r>
          </w:p>
        </w:tc>
        <w:tc>
          <w:tcPr>
            <w:tcW w:w="1843" w:type="dxa"/>
            <w:tcBorders>
              <w:top w:val="single" w:color="auto" w:sz="12" w:space="0"/>
              <w:left w:val="nil"/>
              <w:bottom w:val="dotted" w:color="auto" w:sz="4" w:space="0"/>
              <w:right w:val="nil"/>
            </w:tcBorders>
            <w:shd w:val="clear" w:color="auto" w:fill="auto"/>
            <w:noWrap/>
            <w:vAlign w:val="bottom"/>
          </w:tcPr>
          <w:p>
            <w:pPr>
              <w:widowControl/>
              <w:jc w:val="center"/>
              <w:rPr>
                <w:rFonts w:ascii="仿宋_GB2312" w:eastAsia="仿宋_GB2312" w:cs="宋体"/>
                <w:color w:val="000000"/>
                <w:kern w:val="0"/>
                <w:sz w:val="22"/>
                <w:szCs w:val="22"/>
              </w:rPr>
            </w:pPr>
            <w:r>
              <w:rPr>
                <w:rFonts w:hint="eastAsia" w:ascii="仿宋_GB2312" w:eastAsia="仿宋_GB2312" w:cs="宋体"/>
                <w:color w:val="000000"/>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right"/>
        </w:trPr>
        <w:tc>
          <w:tcPr>
            <w:tcW w:w="2744" w:type="dxa"/>
            <w:tcBorders>
              <w:top w:val="nil"/>
              <w:left w:val="nil"/>
              <w:bottom w:val="dotted" w:color="auto" w:sz="4" w:space="0"/>
              <w:right w:val="dotted" w:color="auto" w:sz="4" w:space="0"/>
            </w:tcBorders>
            <w:shd w:val="clear" w:color="auto" w:fill="auto"/>
            <w:noWrap/>
            <w:vAlign w:val="bottom"/>
          </w:tcPr>
          <w:p>
            <w:pPr>
              <w:widowControl/>
              <w:jc w:val="left"/>
              <w:rPr>
                <w:rFonts w:ascii="仿宋_GB2312" w:eastAsia="仿宋_GB2312" w:cs="宋体"/>
                <w:color w:val="000000"/>
                <w:kern w:val="0"/>
                <w:sz w:val="22"/>
                <w:szCs w:val="22"/>
              </w:rPr>
            </w:pPr>
            <w:r>
              <w:rPr>
                <w:rFonts w:hint="eastAsia" w:ascii="仿宋_GB2312" w:eastAsia="仿宋_GB2312" w:cs="宋体"/>
                <w:color w:val="000000"/>
                <w:kern w:val="0"/>
                <w:sz w:val="22"/>
                <w:szCs w:val="22"/>
              </w:rPr>
              <w:t>一、基本支出</w:t>
            </w:r>
          </w:p>
        </w:tc>
        <w:tc>
          <w:tcPr>
            <w:tcW w:w="1984" w:type="dxa"/>
            <w:tcBorders>
              <w:top w:val="nil"/>
              <w:left w:val="nil"/>
              <w:bottom w:val="dotted" w:color="auto" w:sz="4" w:space="0"/>
              <w:right w:val="dotted" w:color="auto" w:sz="4" w:space="0"/>
            </w:tcBorders>
            <w:shd w:val="clear" w:color="auto" w:fill="auto"/>
            <w:noWrap/>
            <w:vAlign w:val="center"/>
          </w:tcPr>
          <w:p>
            <w:pPr>
              <w:jc w:val="right"/>
              <w:rPr>
                <w:rFonts w:ascii="仿宋_GB2312" w:eastAsia="仿宋_GB2312" w:cs="宋体"/>
                <w:b/>
                <w:color w:val="000000"/>
                <w:sz w:val="22"/>
                <w:szCs w:val="22"/>
              </w:rPr>
            </w:pPr>
            <w:r>
              <w:rPr>
                <w:rFonts w:hint="eastAsia" w:ascii="仿宋_GB2312" w:eastAsia="仿宋_GB2312"/>
                <w:b/>
                <w:color w:val="000000"/>
                <w:sz w:val="22"/>
                <w:szCs w:val="22"/>
              </w:rPr>
              <w:t>14</w:t>
            </w:r>
            <w:r>
              <w:rPr>
                <w:rFonts w:ascii="仿宋_GB2312" w:eastAsia="仿宋_GB2312"/>
                <w:b/>
                <w:color w:val="000000"/>
                <w:sz w:val="22"/>
                <w:szCs w:val="22"/>
              </w:rPr>
              <w:t>,</w:t>
            </w:r>
            <w:r>
              <w:rPr>
                <w:rFonts w:hint="eastAsia" w:ascii="仿宋_GB2312" w:eastAsia="仿宋_GB2312"/>
                <w:b/>
                <w:color w:val="000000"/>
                <w:sz w:val="22"/>
                <w:szCs w:val="22"/>
              </w:rPr>
              <w:t xml:space="preserve">887.10 </w:t>
            </w:r>
          </w:p>
        </w:tc>
        <w:tc>
          <w:tcPr>
            <w:tcW w:w="1843" w:type="dxa"/>
            <w:tcBorders>
              <w:top w:val="nil"/>
              <w:left w:val="nil"/>
              <w:bottom w:val="dotted" w:color="auto" w:sz="4" w:space="0"/>
              <w:right w:val="dotted" w:color="auto" w:sz="4" w:space="0"/>
            </w:tcBorders>
            <w:shd w:val="clear" w:color="auto" w:fill="auto"/>
            <w:noWrap/>
            <w:vAlign w:val="center"/>
          </w:tcPr>
          <w:p>
            <w:pPr>
              <w:jc w:val="right"/>
              <w:rPr>
                <w:rFonts w:ascii="仿宋_GB2312" w:eastAsia="仿宋_GB2312"/>
                <w:b/>
                <w:color w:val="000000"/>
                <w:sz w:val="22"/>
                <w:szCs w:val="22"/>
              </w:rPr>
            </w:pPr>
            <w:r>
              <w:rPr>
                <w:rFonts w:hint="eastAsia" w:ascii="仿宋_GB2312" w:eastAsia="仿宋_GB2312"/>
                <w:b/>
                <w:color w:val="000000"/>
                <w:sz w:val="22"/>
                <w:szCs w:val="22"/>
              </w:rPr>
              <w:t>16</w:t>
            </w:r>
            <w:r>
              <w:rPr>
                <w:rFonts w:ascii="仿宋_GB2312" w:eastAsia="仿宋_GB2312"/>
                <w:b/>
                <w:color w:val="000000"/>
                <w:sz w:val="22"/>
                <w:szCs w:val="22"/>
              </w:rPr>
              <w:t>,</w:t>
            </w:r>
            <w:r>
              <w:rPr>
                <w:rFonts w:hint="eastAsia" w:ascii="仿宋_GB2312" w:eastAsia="仿宋_GB2312"/>
                <w:b/>
                <w:color w:val="000000"/>
                <w:sz w:val="22"/>
                <w:szCs w:val="22"/>
              </w:rPr>
              <w:t>820</w:t>
            </w:r>
            <w:r>
              <w:rPr>
                <w:rFonts w:ascii="仿宋_GB2312" w:eastAsia="仿宋_GB2312"/>
                <w:b/>
                <w:color w:val="000000"/>
                <w:sz w:val="22"/>
                <w:szCs w:val="22"/>
              </w:rPr>
              <w:t>.30</w:t>
            </w:r>
          </w:p>
        </w:tc>
        <w:tc>
          <w:tcPr>
            <w:tcW w:w="1843" w:type="dxa"/>
            <w:tcBorders>
              <w:top w:val="nil"/>
              <w:left w:val="nil"/>
              <w:bottom w:val="dotted" w:color="auto" w:sz="4" w:space="0"/>
              <w:right w:val="nil"/>
            </w:tcBorders>
            <w:shd w:val="clear" w:color="auto" w:fill="auto"/>
            <w:noWrap/>
            <w:vAlign w:val="center"/>
          </w:tcPr>
          <w:p>
            <w:pPr>
              <w:jc w:val="right"/>
              <w:rPr>
                <w:rFonts w:ascii="仿宋_GB2312" w:eastAsia="仿宋_GB2312" w:cs="宋体"/>
                <w:b/>
                <w:color w:val="000000"/>
                <w:sz w:val="22"/>
                <w:szCs w:val="22"/>
              </w:rPr>
            </w:pPr>
            <w:r>
              <w:rPr>
                <w:rFonts w:hint="eastAsia" w:ascii="仿宋_GB2312" w:eastAsia="仿宋_GB2312"/>
                <w:b/>
                <w:color w:val="000000"/>
                <w:sz w:val="22"/>
                <w:szCs w:val="22"/>
              </w:rPr>
              <w:t>16</w:t>
            </w:r>
            <w:r>
              <w:rPr>
                <w:rFonts w:ascii="仿宋_GB2312" w:eastAsia="仿宋_GB2312"/>
                <w:b/>
                <w:color w:val="000000"/>
                <w:sz w:val="22"/>
                <w:szCs w:val="22"/>
              </w:rPr>
              <w:t>,</w:t>
            </w:r>
            <w:r>
              <w:rPr>
                <w:rFonts w:hint="eastAsia" w:ascii="仿宋_GB2312" w:eastAsia="仿宋_GB2312"/>
                <w:b/>
                <w:color w:val="000000"/>
                <w:sz w:val="22"/>
                <w:szCs w:val="22"/>
              </w:rPr>
              <w:t xml:space="preserve">647.06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right"/>
        </w:trPr>
        <w:tc>
          <w:tcPr>
            <w:tcW w:w="2744" w:type="dxa"/>
            <w:tcBorders>
              <w:top w:val="nil"/>
              <w:left w:val="nil"/>
              <w:bottom w:val="dotted" w:color="auto" w:sz="4" w:space="0"/>
              <w:right w:val="dotted" w:color="auto" w:sz="4" w:space="0"/>
            </w:tcBorders>
            <w:shd w:val="clear" w:color="auto" w:fill="auto"/>
            <w:noWrap/>
            <w:vAlign w:val="bottom"/>
          </w:tcPr>
          <w:p>
            <w:pPr>
              <w:widowControl/>
              <w:ind w:firstLine="440" w:firstLineChars="200"/>
              <w:jc w:val="left"/>
              <w:rPr>
                <w:rFonts w:ascii="仿宋_GB2312" w:eastAsia="仿宋_GB2312" w:cs="宋体"/>
                <w:color w:val="000000"/>
                <w:kern w:val="0"/>
                <w:sz w:val="22"/>
                <w:szCs w:val="22"/>
              </w:rPr>
            </w:pPr>
            <w:r>
              <w:rPr>
                <w:rFonts w:hint="eastAsia" w:ascii="仿宋_GB2312" w:eastAsia="仿宋_GB2312" w:cs="宋体"/>
                <w:color w:val="000000"/>
                <w:kern w:val="0"/>
                <w:sz w:val="22"/>
                <w:szCs w:val="22"/>
              </w:rPr>
              <w:t>人员经费</w:t>
            </w:r>
          </w:p>
        </w:tc>
        <w:tc>
          <w:tcPr>
            <w:tcW w:w="1984" w:type="dxa"/>
            <w:tcBorders>
              <w:top w:val="nil"/>
              <w:left w:val="nil"/>
              <w:bottom w:val="dotted" w:color="auto" w:sz="4" w:space="0"/>
              <w:right w:val="dotted" w:color="auto" w:sz="4" w:space="0"/>
            </w:tcBorders>
            <w:shd w:val="clear" w:color="auto" w:fill="auto"/>
            <w:noWrap/>
            <w:vAlign w:val="center"/>
          </w:tcPr>
          <w:p>
            <w:pPr>
              <w:jc w:val="right"/>
              <w:rPr>
                <w:rFonts w:ascii="仿宋_GB2312" w:eastAsia="仿宋_GB2312" w:cs="宋体"/>
                <w:color w:val="000000"/>
                <w:sz w:val="22"/>
                <w:szCs w:val="22"/>
              </w:rPr>
            </w:pPr>
            <w:r>
              <w:rPr>
                <w:rFonts w:hint="eastAsia" w:ascii="仿宋_GB2312" w:eastAsia="仿宋_GB2312"/>
                <w:color w:val="000000"/>
                <w:sz w:val="22"/>
                <w:szCs w:val="22"/>
              </w:rPr>
              <w:t>9</w:t>
            </w:r>
            <w:r>
              <w:rPr>
                <w:rFonts w:ascii="仿宋_GB2312" w:eastAsia="仿宋_GB2312"/>
                <w:color w:val="000000"/>
                <w:sz w:val="22"/>
                <w:szCs w:val="22"/>
              </w:rPr>
              <w:t>,</w:t>
            </w:r>
            <w:r>
              <w:rPr>
                <w:rFonts w:hint="eastAsia" w:ascii="仿宋_GB2312" w:eastAsia="仿宋_GB2312"/>
                <w:color w:val="000000"/>
                <w:sz w:val="22"/>
                <w:szCs w:val="22"/>
              </w:rPr>
              <w:t xml:space="preserve">747.74 </w:t>
            </w:r>
          </w:p>
        </w:tc>
        <w:tc>
          <w:tcPr>
            <w:tcW w:w="1843" w:type="dxa"/>
            <w:tcBorders>
              <w:top w:val="nil"/>
              <w:left w:val="nil"/>
              <w:bottom w:val="dotted" w:color="auto" w:sz="4" w:space="0"/>
              <w:right w:val="dotted" w:color="auto" w:sz="4" w:space="0"/>
            </w:tcBorders>
            <w:shd w:val="clear" w:color="auto" w:fill="auto"/>
            <w:noWrap/>
            <w:vAlign w:val="center"/>
          </w:tcPr>
          <w:p>
            <w:pPr>
              <w:jc w:val="right"/>
              <w:rPr>
                <w:rFonts w:ascii="仿宋_GB2312" w:eastAsia="仿宋_GB2312"/>
                <w:color w:val="000000"/>
                <w:sz w:val="22"/>
                <w:szCs w:val="22"/>
              </w:rPr>
            </w:pPr>
            <w:r>
              <w:rPr>
                <w:rFonts w:hint="eastAsia" w:ascii="仿宋_GB2312" w:eastAsia="仿宋_GB2312"/>
                <w:color w:val="000000"/>
                <w:sz w:val="22"/>
                <w:szCs w:val="22"/>
              </w:rPr>
              <w:t>12</w:t>
            </w:r>
            <w:r>
              <w:rPr>
                <w:rFonts w:ascii="仿宋_GB2312" w:eastAsia="仿宋_GB2312"/>
                <w:color w:val="000000"/>
                <w:sz w:val="22"/>
                <w:szCs w:val="22"/>
              </w:rPr>
              <w:t>,</w:t>
            </w:r>
            <w:r>
              <w:rPr>
                <w:rFonts w:hint="eastAsia" w:ascii="仿宋_GB2312" w:eastAsia="仿宋_GB2312"/>
                <w:color w:val="000000"/>
                <w:sz w:val="22"/>
                <w:szCs w:val="22"/>
              </w:rPr>
              <w:t>636</w:t>
            </w:r>
            <w:r>
              <w:rPr>
                <w:rFonts w:ascii="仿宋_GB2312" w:eastAsia="仿宋_GB2312"/>
                <w:color w:val="000000"/>
                <w:sz w:val="22"/>
                <w:szCs w:val="22"/>
              </w:rPr>
              <w:t>.</w:t>
            </w:r>
            <w:r>
              <w:rPr>
                <w:rFonts w:hint="eastAsia" w:ascii="仿宋_GB2312" w:eastAsia="仿宋_GB2312"/>
                <w:color w:val="000000"/>
                <w:sz w:val="22"/>
                <w:szCs w:val="22"/>
              </w:rPr>
              <w:t>0</w:t>
            </w:r>
            <w:r>
              <w:rPr>
                <w:rFonts w:ascii="仿宋_GB2312" w:eastAsia="仿宋_GB2312"/>
                <w:color w:val="000000"/>
                <w:sz w:val="22"/>
                <w:szCs w:val="22"/>
              </w:rPr>
              <w:t>6</w:t>
            </w:r>
          </w:p>
        </w:tc>
        <w:tc>
          <w:tcPr>
            <w:tcW w:w="1843" w:type="dxa"/>
            <w:tcBorders>
              <w:top w:val="nil"/>
              <w:left w:val="nil"/>
              <w:bottom w:val="dotted" w:color="auto" w:sz="4" w:space="0"/>
              <w:right w:val="nil"/>
            </w:tcBorders>
            <w:shd w:val="clear" w:color="auto" w:fill="auto"/>
            <w:noWrap/>
            <w:vAlign w:val="center"/>
          </w:tcPr>
          <w:p>
            <w:pPr>
              <w:jc w:val="right"/>
              <w:rPr>
                <w:rFonts w:ascii="仿宋_GB2312" w:eastAsia="仿宋_GB2312" w:cs="宋体"/>
                <w:color w:val="000000"/>
                <w:sz w:val="22"/>
                <w:szCs w:val="22"/>
              </w:rPr>
            </w:pPr>
            <w:r>
              <w:rPr>
                <w:rFonts w:hint="eastAsia" w:ascii="仿宋_GB2312" w:eastAsia="仿宋_GB2312"/>
                <w:color w:val="000000"/>
                <w:sz w:val="22"/>
                <w:szCs w:val="22"/>
              </w:rPr>
              <w:t>12</w:t>
            </w:r>
            <w:r>
              <w:rPr>
                <w:rFonts w:ascii="仿宋_GB2312" w:eastAsia="仿宋_GB2312"/>
                <w:color w:val="000000"/>
                <w:sz w:val="22"/>
                <w:szCs w:val="22"/>
              </w:rPr>
              <w:t>,</w:t>
            </w:r>
            <w:r>
              <w:rPr>
                <w:rFonts w:hint="eastAsia" w:ascii="仿宋_GB2312" w:eastAsia="仿宋_GB2312"/>
                <w:color w:val="000000"/>
                <w:sz w:val="22"/>
                <w:szCs w:val="22"/>
              </w:rPr>
              <w:t xml:space="preserve">636.06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right"/>
        </w:trPr>
        <w:tc>
          <w:tcPr>
            <w:tcW w:w="2744" w:type="dxa"/>
            <w:tcBorders>
              <w:top w:val="nil"/>
              <w:left w:val="nil"/>
              <w:bottom w:val="dotted" w:color="auto" w:sz="4" w:space="0"/>
              <w:right w:val="dotted" w:color="auto" w:sz="4" w:space="0"/>
            </w:tcBorders>
            <w:shd w:val="clear" w:color="auto" w:fill="auto"/>
            <w:noWrap/>
            <w:vAlign w:val="bottom"/>
          </w:tcPr>
          <w:p>
            <w:pPr>
              <w:widowControl/>
              <w:ind w:firstLine="440" w:firstLineChars="200"/>
              <w:jc w:val="left"/>
              <w:rPr>
                <w:rFonts w:ascii="仿宋_GB2312" w:eastAsia="仿宋_GB2312" w:cs="宋体"/>
                <w:color w:val="000000"/>
                <w:kern w:val="0"/>
                <w:sz w:val="22"/>
                <w:szCs w:val="22"/>
              </w:rPr>
            </w:pPr>
            <w:r>
              <w:rPr>
                <w:rFonts w:hint="eastAsia" w:ascii="仿宋_GB2312" w:eastAsia="仿宋_GB2312" w:cs="宋体"/>
                <w:color w:val="000000"/>
                <w:kern w:val="0"/>
                <w:sz w:val="22"/>
                <w:szCs w:val="22"/>
              </w:rPr>
              <w:t>日常公用经费</w:t>
            </w:r>
          </w:p>
        </w:tc>
        <w:tc>
          <w:tcPr>
            <w:tcW w:w="1984" w:type="dxa"/>
            <w:tcBorders>
              <w:top w:val="nil"/>
              <w:left w:val="nil"/>
              <w:bottom w:val="dotted" w:color="auto" w:sz="4" w:space="0"/>
              <w:right w:val="dotted" w:color="auto" w:sz="4" w:space="0"/>
            </w:tcBorders>
            <w:shd w:val="clear" w:color="auto" w:fill="auto"/>
            <w:noWrap/>
            <w:vAlign w:val="center"/>
          </w:tcPr>
          <w:p>
            <w:pPr>
              <w:jc w:val="right"/>
              <w:rPr>
                <w:rFonts w:ascii="仿宋_GB2312" w:eastAsia="仿宋_GB2312" w:cs="宋体"/>
                <w:color w:val="000000"/>
                <w:sz w:val="22"/>
                <w:szCs w:val="22"/>
              </w:rPr>
            </w:pPr>
            <w:r>
              <w:rPr>
                <w:rFonts w:hint="eastAsia" w:ascii="仿宋_GB2312" w:eastAsia="仿宋_GB2312"/>
                <w:color w:val="000000"/>
                <w:sz w:val="22"/>
                <w:szCs w:val="22"/>
              </w:rPr>
              <w:t>5</w:t>
            </w:r>
            <w:r>
              <w:rPr>
                <w:rFonts w:ascii="仿宋_GB2312" w:eastAsia="仿宋_GB2312"/>
                <w:color w:val="000000"/>
                <w:sz w:val="22"/>
                <w:szCs w:val="22"/>
              </w:rPr>
              <w:t>,</w:t>
            </w:r>
            <w:r>
              <w:rPr>
                <w:rFonts w:hint="eastAsia" w:ascii="仿宋_GB2312" w:eastAsia="仿宋_GB2312"/>
                <w:color w:val="000000"/>
                <w:sz w:val="22"/>
                <w:szCs w:val="22"/>
              </w:rPr>
              <w:t xml:space="preserve">139.36 </w:t>
            </w:r>
          </w:p>
        </w:tc>
        <w:tc>
          <w:tcPr>
            <w:tcW w:w="1843" w:type="dxa"/>
            <w:tcBorders>
              <w:top w:val="nil"/>
              <w:left w:val="nil"/>
              <w:bottom w:val="dotted" w:color="auto" w:sz="4" w:space="0"/>
              <w:right w:val="dotted" w:color="auto" w:sz="4" w:space="0"/>
            </w:tcBorders>
            <w:shd w:val="clear" w:color="auto" w:fill="auto"/>
            <w:noWrap/>
            <w:vAlign w:val="center"/>
          </w:tcPr>
          <w:p>
            <w:pPr>
              <w:jc w:val="right"/>
              <w:rPr>
                <w:rFonts w:ascii="仿宋_GB2312" w:eastAsia="仿宋_GB2312"/>
                <w:color w:val="000000"/>
                <w:sz w:val="22"/>
                <w:szCs w:val="22"/>
              </w:rPr>
            </w:pPr>
            <w:r>
              <w:rPr>
                <w:rFonts w:hint="eastAsia" w:ascii="仿宋_GB2312" w:eastAsia="仿宋_GB2312"/>
                <w:color w:val="000000"/>
                <w:sz w:val="22"/>
                <w:szCs w:val="22"/>
              </w:rPr>
              <w:t>4</w:t>
            </w:r>
            <w:r>
              <w:rPr>
                <w:rFonts w:ascii="仿宋_GB2312" w:eastAsia="仿宋_GB2312"/>
                <w:color w:val="000000"/>
                <w:sz w:val="22"/>
                <w:szCs w:val="22"/>
              </w:rPr>
              <w:t>,</w:t>
            </w:r>
            <w:r>
              <w:rPr>
                <w:rFonts w:hint="eastAsia" w:ascii="仿宋_GB2312" w:eastAsia="仿宋_GB2312"/>
                <w:color w:val="000000"/>
                <w:sz w:val="22"/>
                <w:szCs w:val="22"/>
              </w:rPr>
              <w:t>184</w:t>
            </w:r>
            <w:r>
              <w:rPr>
                <w:rFonts w:ascii="仿宋_GB2312" w:eastAsia="仿宋_GB2312"/>
                <w:color w:val="000000"/>
                <w:sz w:val="22"/>
                <w:szCs w:val="22"/>
              </w:rPr>
              <w:t>.</w:t>
            </w:r>
            <w:r>
              <w:rPr>
                <w:rFonts w:hint="eastAsia" w:ascii="仿宋_GB2312" w:eastAsia="仿宋_GB2312"/>
                <w:color w:val="000000"/>
                <w:sz w:val="22"/>
                <w:szCs w:val="22"/>
              </w:rPr>
              <w:t>24</w:t>
            </w:r>
          </w:p>
        </w:tc>
        <w:tc>
          <w:tcPr>
            <w:tcW w:w="1843" w:type="dxa"/>
            <w:tcBorders>
              <w:top w:val="nil"/>
              <w:left w:val="nil"/>
              <w:bottom w:val="dotted" w:color="auto" w:sz="4" w:space="0"/>
              <w:right w:val="nil"/>
            </w:tcBorders>
            <w:shd w:val="clear" w:color="auto" w:fill="auto"/>
            <w:noWrap/>
            <w:vAlign w:val="center"/>
          </w:tcPr>
          <w:p>
            <w:pPr>
              <w:jc w:val="right"/>
              <w:rPr>
                <w:rFonts w:ascii="仿宋_GB2312" w:eastAsia="仿宋_GB2312" w:cs="宋体"/>
                <w:color w:val="000000"/>
                <w:sz w:val="22"/>
                <w:szCs w:val="22"/>
              </w:rPr>
            </w:pPr>
            <w:r>
              <w:rPr>
                <w:rFonts w:hint="eastAsia" w:ascii="仿宋_GB2312" w:eastAsia="仿宋_GB2312"/>
                <w:color w:val="000000"/>
                <w:sz w:val="22"/>
                <w:szCs w:val="22"/>
              </w:rPr>
              <w:t>4</w:t>
            </w:r>
            <w:r>
              <w:rPr>
                <w:rFonts w:ascii="仿宋_GB2312" w:eastAsia="仿宋_GB2312"/>
                <w:color w:val="000000"/>
                <w:sz w:val="22"/>
                <w:szCs w:val="22"/>
              </w:rPr>
              <w:t>,</w:t>
            </w:r>
            <w:r>
              <w:rPr>
                <w:rFonts w:hint="eastAsia" w:ascii="仿宋_GB2312" w:eastAsia="仿宋_GB2312"/>
                <w:color w:val="000000"/>
                <w:sz w:val="22"/>
                <w:szCs w:val="22"/>
              </w:rPr>
              <w:t xml:space="preserve">011.00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right"/>
        </w:trPr>
        <w:tc>
          <w:tcPr>
            <w:tcW w:w="2744" w:type="dxa"/>
            <w:tcBorders>
              <w:top w:val="nil"/>
              <w:left w:val="nil"/>
              <w:bottom w:val="dotted" w:color="auto" w:sz="4" w:space="0"/>
              <w:right w:val="dotted" w:color="auto" w:sz="4" w:space="0"/>
            </w:tcBorders>
            <w:shd w:val="clear" w:color="auto" w:fill="auto"/>
            <w:noWrap/>
            <w:vAlign w:val="bottom"/>
          </w:tcPr>
          <w:p>
            <w:pPr>
              <w:widowControl/>
              <w:jc w:val="left"/>
              <w:rPr>
                <w:rFonts w:ascii="仿宋_GB2312" w:eastAsia="仿宋_GB2312" w:cs="宋体"/>
                <w:color w:val="000000"/>
                <w:kern w:val="0"/>
                <w:sz w:val="22"/>
                <w:szCs w:val="22"/>
              </w:rPr>
            </w:pPr>
            <w:r>
              <w:rPr>
                <w:rFonts w:hint="eastAsia" w:ascii="仿宋_GB2312" w:eastAsia="仿宋_GB2312" w:cs="宋体"/>
                <w:color w:val="000000"/>
                <w:kern w:val="0"/>
                <w:sz w:val="22"/>
                <w:szCs w:val="22"/>
              </w:rPr>
              <w:t>二、项目支出</w:t>
            </w:r>
          </w:p>
        </w:tc>
        <w:tc>
          <w:tcPr>
            <w:tcW w:w="1984" w:type="dxa"/>
            <w:tcBorders>
              <w:top w:val="nil"/>
              <w:left w:val="nil"/>
              <w:bottom w:val="dotted" w:color="auto" w:sz="4" w:space="0"/>
              <w:right w:val="dotted" w:color="auto" w:sz="4" w:space="0"/>
            </w:tcBorders>
            <w:shd w:val="clear" w:color="auto" w:fill="auto"/>
            <w:noWrap/>
            <w:vAlign w:val="bottom"/>
          </w:tcPr>
          <w:p>
            <w:pPr>
              <w:widowControl/>
              <w:jc w:val="right"/>
              <w:rPr>
                <w:rFonts w:ascii="仿宋_GB2312" w:eastAsia="仿宋_GB2312" w:cs="宋体"/>
                <w:b/>
                <w:color w:val="000000"/>
                <w:kern w:val="0"/>
                <w:sz w:val="22"/>
                <w:szCs w:val="22"/>
              </w:rPr>
            </w:pPr>
            <w:r>
              <w:rPr>
                <w:rFonts w:hint="eastAsia" w:ascii="仿宋_GB2312" w:eastAsia="仿宋_GB2312"/>
                <w:b/>
                <w:color w:val="000000"/>
                <w:sz w:val="22"/>
                <w:szCs w:val="22"/>
              </w:rPr>
              <w:t>16</w:t>
            </w:r>
            <w:r>
              <w:rPr>
                <w:rFonts w:ascii="仿宋_GB2312" w:eastAsia="仿宋_GB2312"/>
                <w:b/>
                <w:color w:val="000000"/>
                <w:sz w:val="22"/>
                <w:szCs w:val="22"/>
              </w:rPr>
              <w:t>,</w:t>
            </w:r>
            <w:r>
              <w:rPr>
                <w:rFonts w:hint="eastAsia" w:ascii="仿宋_GB2312" w:eastAsia="仿宋_GB2312"/>
                <w:b/>
                <w:color w:val="000000"/>
                <w:sz w:val="22"/>
                <w:szCs w:val="22"/>
              </w:rPr>
              <w:t>823.59</w:t>
            </w:r>
          </w:p>
        </w:tc>
        <w:tc>
          <w:tcPr>
            <w:tcW w:w="1843" w:type="dxa"/>
            <w:tcBorders>
              <w:top w:val="nil"/>
              <w:left w:val="nil"/>
              <w:bottom w:val="dotted" w:color="auto" w:sz="4" w:space="0"/>
              <w:right w:val="dotted" w:color="auto" w:sz="4" w:space="0"/>
            </w:tcBorders>
            <w:shd w:val="clear" w:color="auto" w:fill="auto"/>
            <w:noWrap/>
            <w:vAlign w:val="center"/>
          </w:tcPr>
          <w:p>
            <w:pPr>
              <w:jc w:val="right"/>
              <w:rPr>
                <w:rFonts w:ascii="仿宋_GB2312" w:eastAsia="仿宋_GB2312"/>
                <w:b/>
                <w:color w:val="000000"/>
                <w:sz w:val="22"/>
                <w:szCs w:val="22"/>
              </w:rPr>
            </w:pPr>
            <w:r>
              <w:rPr>
                <w:rFonts w:hint="eastAsia" w:ascii="仿宋_GB2312" w:eastAsia="仿宋_GB2312"/>
                <w:b/>
                <w:color w:val="000000"/>
                <w:sz w:val="22"/>
                <w:szCs w:val="22"/>
              </w:rPr>
              <w:t>17</w:t>
            </w:r>
            <w:r>
              <w:rPr>
                <w:rFonts w:ascii="仿宋_GB2312" w:eastAsia="仿宋_GB2312"/>
                <w:b/>
                <w:color w:val="000000"/>
                <w:sz w:val="22"/>
                <w:szCs w:val="22"/>
              </w:rPr>
              <w:t>,</w:t>
            </w:r>
            <w:r>
              <w:rPr>
                <w:rFonts w:hint="eastAsia" w:ascii="仿宋_GB2312" w:eastAsia="仿宋_GB2312"/>
                <w:b/>
                <w:color w:val="000000"/>
                <w:sz w:val="22"/>
                <w:szCs w:val="22"/>
              </w:rPr>
              <w:t>984.0</w:t>
            </w:r>
            <w:r>
              <w:rPr>
                <w:rFonts w:ascii="仿宋_GB2312" w:eastAsia="仿宋_GB2312"/>
                <w:b/>
                <w:color w:val="000000"/>
                <w:sz w:val="22"/>
                <w:szCs w:val="22"/>
              </w:rPr>
              <w:t>8</w:t>
            </w:r>
          </w:p>
        </w:tc>
        <w:tc>
          <w:tcPr>
            <w:tcW w:w="1843" w:type="dxa"/>
            <w:tcBorders>
              <w:top w:val="nil"/>
              <w:left w:val="nil"/>
              <w:bottom w:val="dotted" w:color="auto" w:sz="4" w:space="0"/>
              <w:right w:val="nil"/>
            </w:tcBorders>
            <w:shd w:val="clear" w:color="auto" w:fill="auto"/>
            <w:noWrap/>
            <w:vAlign w:val="bottom"/>
          </w:tcPr>
          <w:p>
            <w:pPr>
              <w:widowControl/>
              <w:jc w:val="right"/>
              <w:rPr>
                <w:rFonts w:ascii="仿宋_GB2312" w:eastAsia="仿宋_GB2312" w:cs="宋体"/>
                <w:b/>
                <w:color w:val="000000"/>
                <w:kern w:val="0"/>
                <w:sz w:val="22"/>
                <w:szCs w:val="22"/>
              </w:rPr>
            </w:pPr>
            <w:r>
              <w:rPr>
                <w:rFonts w:hint="eastAsia" w:ascii="仿宋_GB2312" w:eastAsia="仿宋_GB2312" w:cs="宋体"/>
                <w:b/>
                <w:color w:val="000000"/>
                <w:kern w:val="0"/>
                <w:sz w:val="22"/>
                <w:szCs w:val="22"/>
              </w:rPr>
              <w:t>17</w:t>
            </w:r>
            <w:r>
              <w:rPr>
                <w:rFonts w:ascii="仿宋_GB2312" w:eastAsia="仿宋_GB2312" w:cs="宋体"/>
                <w:b/>
                <w:color w:val="000000"/>
                <w:kern w:val="0"/>
                <w:sz w:val="22"/>
                <w:szCs w:val="22"/>
              </w:rPr>
              <w:t>,</w:t>
            </w:r>
            <w:r>
              <w:rPr>
                <w:rFonts w:hint="eastAsia" w:ascii="仿宋_GB2312" w:eastAsia="仿宋_GB2312" w:cs="宋体"/>
                <w:b/>
                <w:color w:val="000000"/>
                <w:kern w:val="0"/>
                <w:sz w:val="22"/>
                <w:szCs w:val="22"/>
              </w:rPr>
              <w:t>984.0</w:t>
            </w:r>
            <w:r>
              <w:rPr>
                <w:rFonts w:ascii="仿宋_GB2312" w:eastAsia="仿宋_GB2312" w:cs="宋体"/>
                <w:b/>
                <w:color w:val="000000"/>
                <w:kern w:val="0"/>
                <w:sz w:val="22"/>
                <w:szCs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right"/>
        </w:trPr>
        <w:tc>
          <w:tcPr>
            <w:tcW w:w="2744" w:type="dxa"/>
            <w:tcBorders>
              <w:top w:val="nil"/>
              <w:left w:val="nil"/>
              <w:bottom w:val="dotted" w:color="auto" w:sz="4" w:space="0"/>
              <w:right w:val="dotted" w:color="auto" w:sz="4" w:space="0"/>
            </w:tcBorders>
            <w:shd w:val="clear" w:color="auto" w:fill="auto"/>
            <w:noWrap/>
            <w:vAlign w:val="bottom"/>
          </w:tcPr>
          <w:p>
            <w:pPr>
              <w:widowControl/>
              <w:ind w:firstLine="440" w:firstLineChars="200"/>
              <w:jc w:val="left"/>
              <w:rPr>
                <w:rFonts w:ascii="仿宋_GB2312" w:eastAsia="仿宋_GB2312" w:cs="宋体"/>
                <w:color w:val="000000"/>
                <w:kern w:val="0"/>
                <w:sz w:val="22"/>
                <w:szCs w:val="22"/>
              </w:rPr>
            </w:pPr>
            <w:r>
              <w:rPr>
                <w:rFonts w:hint="eastAsia" w:ascii="仿宋_GB2312" w:eastAsia="仿宋_GB2312" w:cs="宋体"/>
                <w:color w:val="000000"/>
                <w:kern w:val="0"/>
                <w:sz w:val="22"/>
                <w:szCs w:val="22"/>
              </w:rPr>
              <w:t>非基本建设类项目</w:t>
            </w:r>
          </w:p>
        </w:tc>
        <w:tc>
          <w:tcPr>
            <w:tcW w:w="1984" w:type="dxa"/>
            <w:tcBorders>
              <w:top w:val="nil"/>
              <w:left w:val="nil"/>
              <w:bottom w:val="dotted" w:color="auto" w:sz="4" w:space="0"/>
              <w:right w:val="dotted" w:color="auto" w:sz="4" w:space="0"/>
            </w:tcBorders>
            <w:shd w:val="clear" w:color="auto" w:fill="auto"/>
            <w:noWrap/>
            <w:vAlign w:val="bottom"/>
          </w:tcPr>
          <w:p>
            <w:pPr>
              <w:widowControl/>
              <w:jc w:val="right"/>
              <w:rPr>
                <w:rFonts w:ascii="仿宋_GB2312" w:eastAsia="仿宋_GB2312" w:cs="宋体"/>
                <w:color w:val="000000"/>
                <w:kern w:val="0"/>
                <w:sz w:val="22"/>
                <w:szCs w:val="22"/>
              </w:rPr>
            </w:pPr>
            <w:r>
              <w:rPr>
                <w:rFonts w:hint="eastAsia" w:ascii="仿宋_GB2312" w:eastAsia="仿宋_GB2312"/>
                <w:color w:val="000000"/>
                <w:sz w:val="22"/>
                <w:szCs w:val="22"/>
              </w:rPr>
              <w:t>16</w:t>
            </w:r>
            <w:r>
              <w:rPr>
                <w:rFonts w:ascii="仿宋_GB2312" w:eastAsia="仿宋_GB2312"/>
                <w:color w:val="000000"/>
                <w:sz w:val="22"/>
                <w:szCs w:val="22"/>
              </w:rPr>
              <w:t>,</w:t>
            </w:r>
            <w:r>
              <w:rPr>
                <w:rFonts w:hint="eastAsia" w:ascii="仿宋_GB2312" w:eastAsia="仿宋_GB2312"/>
                <w:color w:val="000000"/>
                <w:sz w:val="22"/>
                <w:szCs w:val="22"/>
              </w:rPr>
              <w:t>823.59</w:t>
            </w:r>
          </w:p>
        </w:tc>
        <w:tc>
          <w:tcPr>
            <w:tcW w:w="1843" w:type="dxa"/>
            <w:tcBorders>
              <w:top w:val="nil"/>
              <w:left w:val="nil"/>
              <w:bottom w:val="dotted" w:color="auto" w:sz="4" w:space="0"/>
              <w:right w:val="dotted" w:color="auto" w:sz="4" w:space="0"/>
            </w:tcBorders>
            <w:shd w:val="clear" w:color="auto" w:fill="auto"/>
            <w:noWrap/>
            <w:vAlign w:val="bottom"/>
          </w:tcPr>
          <w:p>
            <w:pPr>
              <w:jc w:val="right"/>
              <w:rPr>
                <w:rFonts w:ascii="仿宋_GB2312" w:eastAsia="仿宋_GB2312"/>
                <w:color w:val="000000"/>
                <w:sz w:val="22"/>
                <w:szCs w:val="22"/>
              </w:rPr>
            </w:pPr>
            <w:r>
              <w:rPr>
                <w:rFonts w:hint="eastAsia" w:ascii="仿宋_GB2312" w:eastAsia="仿宋_GB2312"/>
                <w:color w:val="000000"/>
                <w:sz w:val="22"/>
                <w:szCs w:val="22"/>
              </w:rPr>
              <w:t>17</w:t>
            </w:r>
            <w:r>
              <w:rPr>
                <w:rFonts w:ascii="仿宋_GB2312" w:eastAsia="仿宋_GB2312"/>
                <w:color w:val="000000"/>
                <w:sz w:val="22"/>
                <w:szCs w:val="22"/>
              </w:rPr>
              <w:t>,</w:t>
            </w:r>
            <w:r>
              <w:rPr>
                <w:rFonts w:hint="eastAsia" w:ascii="仿宋_GB2312" w:eastAsia="仿宋_GB2312"/>
                <w:color w:val="000000"/>
                <w:sz w:val="22"/>
                <w:szCs w:val="22"/>
              </w:rPr>
              <w:t>984.0</w:t>
            </w:r>
            <w:r>
              <w:rPr>
                <w:rFonts w:ascii="仿宋_GB2312" w:eastAsia="仿宋_GB2312"/>
                <w:color w:val="000000"/>
                <w:sz w:val="22"/>
                <w:szCs w:val="22"/>
              </w:rPr>
              <w:t>8</w:t>
            </w:r>
          </w:p>
        </w:tc>
        <w:tc>
          <w:tcPr>
            <w:tcW w:w="1843" w:type="dxa"/>
            <w:tcBorders>
              <w:top w:val="nil"/>
              <w:left w:val="nil"/>
              <w:bottom w:val="dotted" w:color="auto" w:sz="4" w:space="0"/>
              <w:right w:val="nil"/>
            </w:tcBorders>
            <w:shd w:val="clear" w:color="auto" w:fill="auto"/>
            <w:noWrap/>
            <w:vAlign w:val="bottom"/>
          </w:tcPr>
          <w:p>
            <w:pPr>
              <w:widowControl/>
              <w:jc w:val="right"/>
              <w:rPr>
                <w:rFonts w:ascii="仿宋_GB2312" w:eastAsia="仿宋_GB2312" w:cs="宋体"/>
                <w:color w:val="000000"/>
                <w:kern w:val="0"/>
                <w:sz w:val="22"/>
                <w:szCs w:val="22"/>
              </w:rPr>
            </w:pPr>
            <w:r>
              <w:rPr>
                <w:rFonts w:hint="eastAsia" w:ascii="仿宋_GB2312" w:eastAsia="仿宋_GB2312" w:cs="宋体"/>
                <w:color w:val="000000"/>
                <w:kern w:val="0"/>
                <w:sz w:val="22"/>
                <w:szCs w:val="22"/>
              </w:rPr>
              <w:t>17</w:t>
            </w:r>
            <w:r>
              <w:rPr>
                <w:rFonts w:ascii="仿宋_GB2312" w:eastAsia="仿宋_GB2312" w:cs="宋体"/>
                <w:color w:val="000000"/>
                <w:kern w:val="0"/>
                <w:sz w:val="22"/>
                <w:szCs w:val="22"/>
              </w:rPr>
              <w:t>,</w:t>
            </w:r>
            <w:r>
              <w:rPr>
                <w:rFonts w:hint="eastAsia" w:ascii="仿宋_GB2312" w:eastAsia="仿宋_GB2312" w:cs="宋体"/>
                <w:color w:val="000000"/>
                <w:kern w:val="0"/>
                <w:sz w:val="22"/>
                <w:szCs w:val="22"/>
              </w:rPr>
              <w:t>984.0</w:t>
            </w:r>
            <w:r>
              <w:rPr>
                <w:rFonts w:ascii="仿宋_GB2312" w:eastAsia="仿宋_GB2312" w:cs="宋体"/>
                <w:color w:val="000000"/>
                <w:kern w:val="0"/>
                <w:sz w:val="22"/>
                <w:szCs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right"/>
        </w:trPr>
        <w:tc>
          <w:tcPr>
            <w:tcW w:w="2744" w:type="dxa"/>
            <w:tcBorders>
              <w:top w:val="nil"/>
              <w:left w:val="nil"/>
              <w:bottom w:val="single" w:color="auto" w:sz="12" w:space="0"/>
              <w:right w:val="dotted" w:color="auto" w:sz="4" w:space="0"/>
            </w:tcBorders>
            <w:shd w:val="clear" w:color="auto" w:fill="auto"/>
            <w:noWrap/>
            <w:vAlign w:val="bottom"/>
          </w:tcPr>
          <w:p>
            <w:pPr>
              <w:widowControl/>
              <w:jc w:val="center"/>
              <w:rPr>
                <w:rFonts w:ascii="仿宋_GB2312" w:eastAsia="仿宋_GB2312" w:cs="宋体"/>
                <w:color w:val="000000"/>
                <w:kern w:val="0"/>
                <w:sz w:val="22"/>
                <w:szCs w:val="22"/>
              </w:rPr>
            </w:pPr>
            <w:r>
              <w:rPr>
                <w:rFonts w:hint="eastAsia" w:ascii="仿宋_GB2312" w:eastAsia="仿宋_GB2312" w:cs="宋体"/>
                <w:color w:val="000000"/>
                <w:kern w:val="0"/>
                <w:sz w:val="22"/>
                <w:szCs w:val="22"/>
              </w:rPr>
              <w:t>合  计</w:t>
            </w:r>
          </w:p>
        </w:tc>
        <w:tc>
          <w:tcPr>
            <w:tcW w:w="1984" w:type="dxa"/>
            <w:tcBorders>
              <w:top w:val="nil"/>
              <w:left w:val="nil"/>
              <w:bottom w:val="single" w:color="auto" w:sz="12" w:space="0"/>
              <w:right w:val="dotted" w:color="auto" w:sz="4" w:space="0"/>
            </w:tcBorders>
            <w:shd w:val="clear" w:color="auto" w:fill="auto"/>
            <w:noWrap/>
            <w:vAlign w:val="bottom"/>
          </w:tcPr>
          <w:p>
            <w:pPr>
              <w:widowControl/>
              <w:jc w:val="right"/>
              <w:rPr>
                <w:rFonts w:ascii="仿宋_GB2312" w:eastAsia="仿宋_GB2312" w:cs="宋体"/>
                <w:b/>
                <w:color w:val="000000"/>
                <w:kern w:val="0"/>
                <w:sz w:val="22"/>
                <w:szCs w:val="22"/>
              </w:rPr>
            </w:pPr>
            <w:r>
              <w:rPr>
                <w:rFonts w:hint="eastAsia" w:ascii="仿宋_GB2312" w:eastAsia="仿宋_GB2312"/>
                <w:b/>
                <w:color w:val="000000"/>
                <w:sz w:val="22"/>
                <w:szCs w:val="22"/>
              </w:rPr>
              <w:t>31</w:t>
            </w:r>
            <w:r>
              <w:rPr>
                <w:rFonts w:ascii="仿宋_GB2312" w:eastAsia="仿宋_GB2312"/>
                <w:b/>
                <w:color w:val="000000"/>
                <w:sz w:val="22"/>
                <w:szCs w:val="22"/>
              </w:rPr>
              <w:t>,</w:t>
            </w:r>
            <w:r>
              <w:rPr>
                <w:rFonts w:hint="eastAsia" w:ascii="仿宋_GB2312" w:eastAsia="仿宋_GB2312"/>
                <w:b/>
                <w:color w:val="000000"/>
                <w:sz w:val="22"/>
                <w:szCs w:val="22"/>
              </w:rPr>
              <w:t>710.69</w:t>
            </w:r>
          </w:p>
        </w:tc>
        <w:tc>
          <w:tcPr>
            <w:tcW w:w="1843" w:type="dxa"/>
            <w:tcBorders>
              <w:top w:val="nil"/>
              <w:left w:val="nil"/>
              <w:bottom w:val="single" w:color="auto" w:sz="12" w:space="0"/>
              <w:right w:val="dotted" w:color="auto" w:sz="4" w:space="0"/>
            </w:tcBorders>
            <w:shd w:val="clear" w:color="auto" w:fill="auto"/>
            <w:noWrap/>
            <w:vAlign w:val="bottom"/>
          </w:tcPr>
          <w:p>
            <w:pPr>
              <w:jc w:val="right"/>
              <w:rPr>
                <w:rFonts w:ascii="仿宋_GB2312" w:eastAsia="仿宋_GB2312"/>
                <w:b/>
                <w:color w:val="000000"/>
                <w:sz w:val="22"/>
                <w:szCs w:val="22"/>
              </w:rPr>
            </w:pPr>
            <w:r>
              <w:rPr>
                <w:rFonts w:ascii="仿宋_GB2312" w:eastAsia="仿宋_GB2312"/>
                <w:b/>
                <w:color w:val="000000"/>
                <w:sz w:val="22"/>
                <w:szCs w:val="22"/>
              </w:rPr>
              <w:t>34,804.38</w:t>
            </w:r>
          </w:p>
        </w:tc>
        <w:tc>
          <w:tcPr>
            <w:tcW w:w="1843" w:type="dxa"/>
            <w:tcBorders>
              <w:top w:val="nil"/>
              <w:left w:val="nil"/>
              <w:bottom w:val="single" w:color="auto" w:sz="12" w:space="0"/>
              <w:right w:val="nil"/>
            </w:tcBorders>
            <w:shd w:val="clear" w:color="auto" w:fill="auto"/>
            <w:noWrap/>
            <w:vAlign w:val="bottom"/>
          </w:tcPr>
          <w:p>
            <w:pPr>
              <w:widowControl/>
              <w:jc w:val="right"/>
              <w:rPr>
                <w:rFonts w:ascii="仿宋_GB2312" w:eastAsia="仿宋_GB2312" w:cs="宋体"/>
                <w:b/>
                <w:color w:val="000000"/>
                <w:kern w:val="0"/>
                <w:sz w:val="22"/>
                <w:szCs w:val="22"/>
              </w:rPr>
            </w:pPr>
            <w:r>
              <w:rPr>
                <w:rFonts w:hint="eastAsia" w:ascii="仿宋_GB2312" w:eastAsia="仿宋_GB2312" w:cs="宋体"/>
                <w:b/>
                <w:color w:val="000000"/>
                <w:kern w:val="0"/>
                <w:sz w:val="22"/>
                <w:szCs w:val="22"/>
              </w:rPr>
              <w:t>34</w:t>
            </w:r>
            <w:r>
              <w:rPr>
                <w:rFonts w:ascii="仿宋_GB2312" w:eastAsia="仿宋_GB2312" w:cs="宋体"/>
                <w:b/>
                <w:color w:val="000000"/>
                <w:kern w:val="0"/>
                <w:sz w:val="22"/>
                <w:szCs w:val="22"/>
              </w:rPr>
              <w:t>,</w:t>
            </w:r>
            <w:r>
              <w:rPr>
                <w:rFonts w:hint="eastAsia" w:ascii="仿宋_GB2312" w:eastAsia="仿宋_GB2312" w:cs="宋体"/>
                <w:b/>
                <w:color w:val="000000"/>
                <w:kern w:val="0"/>
                <w:sz w:val="22"/>
                <w:szCs w:val="22"/>
              </w:rPr>
              <w:t>631.14</w:t>
            </w:r>
          </w:p>
        </w:tc>
      </w:tr>
    </w:tbl>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部门全年预算调剂金额为3,093.69万元。其中人员经费调增2,888.32万元，主要为省委宣传部机关、四川文化产业职业学院人员增加，住房公积金、医疗、养老等人员经费相应增加；日常公用经费调减955.12万元，减少原因为落实中央和省委省政府关于过紧日子的要求及疫情影响；项目支出调增1,160.49万元，主要为追加下达宣传文化事业发展专项经费。</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预算编制</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（1）部门绩效目标制定</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我部按照省财政厅预算编制要求，结合部门项目自身情况编制部门项目预算绩效目标，并在数量、质量、成本、时效、效益等方面尽可能做到了细化、量化。</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（2）绩效目标实现情况</w:t>
      </w:r>
    </w:p>
    <w:p>
      <w:pPr>
        <w:widowControl/>
        <w:adjustRightInd w:val="0"/>
        <w:snapToGrid w:val="0"/>
        <w:spacing w:line="580" w:lineRule="exact"/>
        <w:ind w:firstLine="640" w:firstLineChars="200"/>
        <w:contextualSpacing/>
        <w:jc w:val="left"/>
        <w:rPr>
          <w:rFonts w:ascii="仿宋_GB2312" w:eastAsia="仿宋_GB2312" w:cs="宋体"/>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w:t>
      </w:r>
      <w:r>
        <w:rPr>
          <w:rFonts w:ascii="仿宋_GB2312" w:eastAsia="仿宋_GB2312" w:cs="宋体"/>
          <w:color w:val="000000"/>
          <w:kern w:val="0"/>
          <w:sz w:val="32"/>
          <w:szCs w:val="32"/>
          <w:shd w:val="clear" w:color="auto" w:fill="FFFFFF"/>
          <w:lang w:val="zh-CN"/>
        </w:rPr>
        <w:t>020</w:t>
      </w:r>
      <w:r>
        <w:rPr>
          <w:rFonts w:hint="eastAsia" w:ascii="仿宋_GB2312" w:eastAsia="仿宋_GB2312" w:cs="宋体"/>
          <w:color w:val="000000"/>
          <w:kern w:val="0"/>
          <w:sz w:val="32"/>
          <w:szCs w:val="32"/>
          <w:shd w:val="clear" w:color="auto" w:fill="FFFFFF"/>
          <w:lang w:val="zh-CN"/>
        </w:rPr>
        <w:t>年我部预算项目1</w:t>
      </w:r>
      <w:r>
        <w:rPr>
          <w:rFonts w:ascii="仿宋_GB2312" w:eastAsia="仿宋_GB2312" w:cs="宋体"/>
          <w:color w:val="000000"/>
          <w:kern w:val="0"/>
          <w:sz w:val="32"/>
          <w:szCs w:val="32"/>
          <w:shd w:val="clear" w:color="auto" w:fill="FFFFFF"/>
          <w:lang w:val="zh-CN"/>
        </w:rPr>
        <w:t>7</w:t>
      </w:r>
      <w:r>
        <w:rPr>
          <w:rFonts w:hint="eastAsia" w:ascii="仿宋_GB2312" w:eastAsia="仿宋_GB2312" w:cs="宋体"/>
          <w:color w:val="000000"/>
          <w:kern w:val="0"/>
          <w:sz w:val="32"/>
          <w:szCs w:val="32"/>
          <w:shd w:val="clear" w:color="auto" w:fill="FFFFFF"/>
          <w:lang w:val="zh-CN"/>
        </w:rPr>
        <w:t>个，除三个涉密项目，项目数量指标</w:t>
      </w:r>
      <w:r>
        <w:rPr>
          <w:rFonts w:ascii="仿宋_GB2312" w:eastAsia="仿宋_GB2312" w:cs="宋体"/>
          <w:color w:val="000000"/>
          <w:kern w:val="0"/>
          <w:sz w:val="32"/>
          <w:szCs w:val="32"/>
          <w:shd w:val="clear" w:color="auto" w:fill="FFFFFF"/>
          <w:lang w:val="zh-CN"/>
        </w:rPr>
        <w:t>55</w:t>
      </w:r>
      <w:r>
        <w:rPr>
          <w:rFonts w:hint="eastAsia" w:ascii="仿宋_GB2312" w:eastAsia="仿宋_GB2312" w:cs="宋体"/>
          <w:color w:val="000000"/>
          <w:kern w:val="0"/>
          <w:sz w:val="32"/>
          <w:szCs w:val="32"/>
          <w:shd w:val="clear" w:color="auto" w:fill="FFFFFF"/>
          <w:lang w:val="zh-CN"/>
        </w:rPr>
        <w:t>个，实际完成</w:t>
      </w:r>
      <w:r>
        <w:rPr>
          <w:rFonts w:ascii="仿宋_GB2312" w:eastAsia="仿宋_GB2312" w:cs="宋体"/>
          <w:color w:val="000000"/>
          <w:kern w:val="0"/>
          <w:sz w:val="32"/>
          <w:szCs w:val="32"/>
          <w:shd w:val="clear" w:color="auto" w:fill="FFFFFF"/>
          <w:lang w:val="zh-CN"/>
        </w:rPr>
        <w:t>48.4</w:t>
      </w:r>
      <w:r>
        <w:rPr>
          <w:rFonts w:hint="eastAsia" w:ascii="仿宋_GB2312" w:eastAsia="仿宋_GB2312" w:cs="宋体"/>
          <w:color w:val="000000"/>
          <w:kern w:val="0"/>
          <w:sz w:val="32"/>
          <w:szCs w:val="32"/>
          <w:shd w:val="clear" w:color="auto" w:fill="FFFFFF"/>
          <w:lang w:val="zh-CN"/>
        </w:rPr>
        <w:t>个，部门绩效目标实际实现程度与预期目标的偏离度为1</w:t>
      </w:r>
      <w:r>
        <w:rPr>
          <w:rFonts w:ascii="仿宋_GB2312" w:eastAsia="仿宋_GB2312" w:cs="宋体"/>
          <w:color w:val="000000"/>
          <w:kern w:val="0"/>
          <w:sz w:val="32"/>
          <w:szCs w:val="32"/>
          <w:shd w:val="clear" w:color="auto" w:fill="FFFFFF"/>
          <w:lang w:val="zh-CN"/>
        </w:rPr>
        <w:t>2%</w:t>
      </w:r>
      <w:r>
        <w:rPr>
          <w:rFonts w:hint="eastAsia" w:ascii="仿宋_GB2312" w:eastAsia="仿宋_GB2312" w:cs="宋体"/>
          <w:color w:val="000000"/>
          <w:kern w:val="0"/>
          <w:sz w:val="32"/>
          <w:szCs w:val="32"/>
          <w:shd w:val="clear" w:color="auto" w:fill="FFFFFF"/>
          <w:lang w:val="zh-CN"/>
        </w:rPr>
        <w:t>。如，《巴蜀全书》编纂经费项目4个产出数量指标，实际完成2</w:t>
      </w:r>
      <w:r>
        <w:rPr>
          <w:rFonts w:ascii="仿宋_GB2312" w:eastAsia="仿宋_GB2312" w:cs="宋体"/>
          <w:color w:val="000000"/>
          <w:kern w:val="0"/>
          <w:sz w:val="32"/>
          <w:szCs w:val="32"/>
          <w:shd w:val="clear" w:color="auto" w:fill="FFFFFF"/>
          <w:lang w:val="zh-CN"/>
        </w:rPr>
        <w:t>.4</w:t>
      </w:r>
      <w:r>
        <w:rPr>
          <w:rFonts w:hint="eastAsia" w:ascii="仿宋_GB2312" w:eastAsia="仿宋_GB2312" w:cs="宋体"/>
          <w:color w:val="000000"/>
          <w:kern w:val="0"/>
          <w:sz w:val="32"/>
          <w:szCs w:val="32"/>
          <w:shd w:val="clear" w:color="auto" w:fill="FFFFFF"/>
          <w:lang w:val="zh-CN"/>
        </w:rPr>
        <w:t>个；党委中心组网络学习平台工作运行、维护费项目3个产出数量指标，实际完成1个；2020年普通高校学生资助补助经费项目3个产出数量指标，实际完成2个；2020年高职生均拨款标准奖补金项目2个产出数量指标，实际完成1个；宣传部的外宣及其系列活动项目5个产出数量指标，实际完成4个。</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（3）预算编制准确性</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w:t>
      </w:r>
      <w:r>
        <w:rPr>
          <w:rFonts w:ascii="仿宋_GB2312" w:eastAsia="仿宋_GB2312" w:cs="宋体"/>
          <w:color w:val="000000"/>
          <w:kern w:val="0"/>
          <w:sz w:val="32"/>
          <w:szCs w:val="32"/>
          <w:shd w:val="clear" w:color="auto" w:fill="FFFFFF"/>
          <w:lang w:val="zh-CN"/>
        </w:rPr>
        <w:t>020</w:t>
      </w:r>
      <w:r>
        <w:rPr>
          <w:rFonts w:hint="eastAsia" w:ascii="仿宋_GB2312" w:eastAsia="仿宋_GB2312" w:cs="宋体"/>
          <w:color w:val="000000"/>
          <w:kern w:val="0"/>
          <w:sz w:val="32"/>
          <w:szCs w:val="32"/>
          <w:shd w:val="clear" w:color="auto" w:fill="FFFFFF"/>
          <w:lang w:val="zh-CN"/>
        </w:rPr>
        <w:t>年年初部门预算数</w:t>
      </w:r>
      <w:r>
        <w:rPr>
          <w:rFonts w:ascii="仿宋_GB2312" w:eastAsia="仿宋_GB2312" w:cs="宋体"/>
          <w:color w:val="000000"/>
          <w:kern w:val="0"/>
          <w:sz w:val="32"/>
          <w:szCs w:val="32"/>
          <w:shd w:val="clear" w:color="auto" w:fill="FFFFFF"/>
          <w:lang w:val="zh-CN"/>
        </w:rPr>
        <w:t>31,710.69</w:t>
      </w:r>
      <w:r>
        <w:rPr>
          <w:rFonts w:hint="eastAsia" w:ascii="仿宋_GB2312" w:eastAsia="仿宋_GB2312" w:cs="宋体"/>
          <w:color w:val="000000"/>
          <w:kern w:val="0"/>
          <w:sz w:val="32"/>
          <w:szCs w:val="32"/>
          <w:shd w:val="clear" w:color="auto" w:fill="FFFFFF"/>
          <w:lang w:val="zh-CN"/>
        </w:rPr>
        <w:t>万元，部门全年预算调剂金额为</w:t>
      </w:r>
      <w:r>
        <w:rPr>
          <w:rFonts w:ascii="仿宋_GB2312" w:eastAsia="仿宋_GB2312" w:cs="宋体"/>
          <w:kern w:val="0"/>
          <w:sz w:val="32"/>
          <w:szCs w:val="32"/>
          <w:shd w:val="clear" w:color="auto" w:fill="FFFFFF"/>
          <w:lang w:val="zh-CN"/>
        </w:rPr>
        <w:t>3,093.69</w:t>
      </w:r>
      <w:r>
        <w:rPr>
          <w:rFonts w:hint="eastAsia" w:ascii="仿宋_GB2312" w:eastAsia="仿宋_GB2312" w:cs="宋体"/>
          <w:kern w:val="0"/>
          <w:sz w:val="32"/>
          <w:szCs w:val="32"/>
          <w:shd w:val="clear" w:color="auto" w:fill="FFFFFF"/>
          <w:lang w:val="zh-CN"/>
        </w:rPr>
        <w:t>万元。</w:t>
      </w:r>
      <w:r>
        <w:rPr>
          <w:rFonts w:hint="eastAsia" w:ascii="仿宋_GB2312" w:eastAsia="仿宋_GB2312" w:cs="宋体"/>
          <w:color w:val="000000"/>
          <w:kern w:val="0"/>
          <w:sz w:val="32"/>
          <w:szCs w:val="32"/>
          <w:shd w:val="clear" w:color="auto" w:fill="FFFFFF"/>
          <w:lang w:val="zh-CN"/>
        </w:rPr>
        <w:t>根据省财政厅绩效评分标准，若“部门全年预算调剂金额/年初部门预算数&gt;0.1，此项得0分”，部门该项比例为0</w:t>
      </w:r>
      <w:r>
        <w:rPr>
          <w:rFonts w:ascii="仿宋_GB2312" w:eastAsia="仿宋_GB2312" w:cs="宋体"/>
          <w:color w:val="000000"/>
          <w:kern w:val="0"/>
          <w:sz w:val="32"/>
          <w:szCs w:val="32"/>
          <w:shd w:val="clear" w:color="auto" w:fill="FFFFFF"/>
          <w:lang w:val="zh-CN"/>
        </w:rPr>
        <w:t>.097</w:t>
      </w:r>
      <w:r>
        <w:rPr>
          <w:rFonts w:hint="eastAsia" w:ascii="仿宋_GB2312" w:eastAsia="仿宋_GB2312" w:cs="宋体"/>
          <w:color w:val="000000"/>
          <w:kern w:val="0"/>
          <w:sz w:val="32"/>
          <w:szCs w:val="32"/>
          <w:shd w:val="clear" w:color="auto" w:fill="FFFFFF"/>
          <w:lang w:val="zh-CN"/>
        </w:rPr>
        <w:t>。由于每年预算指标数的下达有一定复杂性，年初编制时存在一定差距，部门的调剂金额较大，我部将在之后预算编制时积极与省财政厅进行沟通，提高预算编制准确性。</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lang w:val="zh-CN"/>
        </w:rPr>
        <w:t>2.</w:t>
      </w:r>
      <w:r>
        <w:rPr>
          <w:rFonts w:hint="eastAsia" w:ascii="仿宋_GB2312" w:eastAsia="仿宋_GB2312" w:cs="宋体"/>
          <w:color w:val="000000"/>
          <w:kern w:val="0"/>
          <w:sz w:val="32"/>
          <w:szCs w:val="32"/>
          <w:shd w:val="clear" w:color="auto" w:fill="FFFFFF"/>
          <w:lang w:val="zh-CN"/>
        </w:rPr>
        <w:t>预算执行</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（1）支出控制</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部门日常公用经费、项目支出中“办公费、印刷费、水费、电费、物业管理费”科目年初预算数为2</w:t>
      </w:r>
      <w:r>
        <w:rPr>
          <w:rFonts w:ascii="仿宋_GB2312" w:eastAsia="仿宋_GB2312" w:cs="宋体"/>
          <w:color w:val="000000"/>
          <w:kern w:val="0"/>
          <w:sz w:val="32"/>
          <w:szCs w:val="32"/>
          <w:shd w:val="clear" w:color="auto" w:fill="FFFFFF"/>
          <w:lang w:val="zh-CN"/>
        </w:rPr>
        <w:t>,181.18</w:t>
      </w:r>
      <w:r>
        <w:rPr>
          <w:rFonts w:hint="eastAsia" w:ascii="仿宋_GB2312" w:eastAsia="仿宋_GB2312" w:cs="宋体"/>
          <w:color w:val="000000"/>
          <w:kern w:val="0"/>
          <w:sz w:val="32"/>
          <w:szCs w:val="32"/>
          <w:shd w:val="clear" w:color="auto" w:fill="FFFFFF"/>
          <w:lang w:val="zh-CN"/>
        </w:rPr>
        <w:t>万元，决算数1</w:t>
      </w:r>
      <w:r>
        <w:rPr>
          <w:rFonts w:ascii="仿宋_GB2312" w:eastAsia="仿宋_GB2312" w:cs="宋体"/>
          <w:color w:val="000000"/>
          <w:kern w:val="0"/>
          <w:sz w:val="32"/>
          <w:szCs w:val="32"/>
          <w:shd w:val="clear" w:color="auto" w:fill="FFFFFF"/>
          <w:lang w:val="zh-CN"/>
        </w:rPr>
        <w:t>,785.71</w:t>
      </w:r>
      <w:r>
        <w:rPr>
          <w:rFonts w:hint="eastAsia" w:ascii="仿宋_GB2312" w:eastAsia="仿宋_GB2312" w:cs="宋体"/>
          <w:color w:val="000000"/>
          <w:kern w:val="0"/>
          <w:sz w:val="32"/>
          <w:szCs w:val="32"/>
          <w:shd w:val="clear" w:color="auto" w:fill="FFFFFF"/>
          <w:lang w:val="zh-CN"/>
        </w:rPr>
        <w:t>万元，年初预算数比决算数多3</w:t>
      </w:r>
      <w:r>
        <w:rPr>
          <w:rFonts w:ascii="仿宋_GB2312" w:eastAsia="仿宋_GB2312" w:cs="宋体"/>
          <w:color w:val="000000"/>
          <w:kern w:val="0"/>
          <w:sz w:val="32"/>
          <w:szCs w:val="32"/>
          <w:shd w:val="clear" w:color="auto" w:fill="FFFFFF"/>
          <w:lang w:val="zh-CN"/>
        </w:rPr>
        <w:t>95.47</w:t>
      </w:r>
      <w:r>
        <w:rPr>
          <w:rFonts w:hint="eastAsia" w:ascii="仿宋_GB2312" w:eastAsia="仿宋_GB2312" w:cs="宋体"/>
          <w:color w:val="000000"/>
          <w:kern w:val="0"/>
          <w:sz w:val="32"/>
          <w:szCs w:val="32"/>
          <w:shd w:val="clear" w:color="auto" w:fill="FFFFFF"/>
          <w:lang w:val="zh-CN"/>
        </w:rPr>
        <w:t>万元，偏差程度为1</w:t>
      </w:r>
      <w:r>
        <w:rPr>
          <w:rFonts w:ascii="仿宋_GB2312" w:eastAsia="仿宋_GB2312" w:cs="宋体"/>
          <w:color w:val="000000"/>
          <w:kern w:val="0"/>
          <w:sz w:val="32"/>
          <w:szCs w:val="32"/>
          <w:shd w:val="clear" w:color="auto" w:fill="FFFFFF"/>
          <w:lang w:val="zh-CN"/>
        </w:rPr>
        <w:t>8%</w:t>
      </w:r>
      <w:r>
        <w:rPr>
          <w:rFonts w:hint="eastAsia" w:ascii="仿宋_GB2312" w:eastAsia="仿宋_GB2312" w:cs="宋体"/>
          <w:color w:val="000000"/>
          <w:kern w:val="0"/>
          <w:sz w:val="32"/>
          <w:szCs w:val="32"/>
          <w:shd w:val="clear" w:color="auto" w:fill="FFFFFF"/>
          <w:lang w:val="zh-CN"/>
        </w:rPr>
        <w:t>。偏差原因主要是四川文化产业职业学院（四川省干部函授学院）受新冠疫情影响，学校未正常办学，学生未到，该指标不纳入此次绩效自评。</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（2）动态调整</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部门开展绩效运行监控后，绩效监控申请调整取消额为5</w:t>
      </w:r>
      <w:r>
        <w:rPr>
          <w:rFonts w:ascii="仿宋_GB2312" w:eastAsia="仿宋_GB2312" w:cs="宋体"/>
          <w:color w:val="000000"/>
          <w:kern w:val="0"/>
          <w:sz w:val="32"/>
          <w:szCs w:val="32"/>
          <w:shd w:val="clear" w:color="auto" w:fill="FFFFFF"/>
          <w:lang w:val="zh-CN"/>
        </w:rPr>
        <w:t>16.23</w:t>
      </w:r>
      <w:r>
        <w:rPr>
          <w:rFonts w:hint="eastAsia" w:ascii="仿宋_GB2312" w:eastAsia="仿宋_GB2312" w:cs="宋体"/>
          <w:color w:val="000000"/>
          <w:kern w:val="0"/>
          <w:sz w:val="32"/>
          <w:szCs w:val="32"/>
          <w:shd w:val="clear" w:color="auto" w:fill="FFFFFF"/>
          <w:lang w:val="zh-CN"/>
        </w:rPr>
        <w:t>万元，结余注销额为零。</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（3）执行进度</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受疫情影响，该指标不纳入此次绩效自评。</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3</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完成结果</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（1）预算完成</w:t>
      </w:r>
    </w:p>
    <w:p>
      <w:pPr>
        <w:ind w:firstLine="640" w:firstLineChars="200"/>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w:t>
      </w:r>
      <w:r>
        <w:rPr>
          <w:rFonts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zh-CN"/>
        </w:rPr>
        <w:t>年度部门调整预算数</w:t>
      </w:r>
      <w:r>
        <w:rPr>
          <w:rFonts w:ascii="仿宋_GB2312" w:eastAsia="仿宋_GB2312" w:cs="宋体"/>
          <w:color w:val="000000"/>
          <w:kern w:val="0"/>
          <w:sz w:val="32"/>
          <w:szCs w:val="32"/>
          <w:shd w:val="clear" w:color="auto" w:fill="FFFFFF"/>
          <w:lang w:val="zh-CN"/>
        </w:rPr>
        <w:t>34,804</w:t>
      </w:r>
      <w:r>
        <w:rPr>
          <w:rFonts w:hint="eastAsia" w:ascii="仿宋_GB2312" w:eastAsia="仿宋_GB2312" w:cs="宋体"/>
          <w:color w:val="000000"/>
          <w:kern w:val="0"/>
          <w:sz w:val="32"/>
          <w:szCs w:val="32"/>
          <w:shd w:val="clear" w:color="auto" w:fill="FFFFFF"/>
          <w:lang w:val="zh-CN"/>
        </w:rPr>
        <w:t>.</w:t>
      </w:r>
      <w:r>
        <w:rPr>
          <w:rFonts w:ascii="仿宋_GB2312" w:eastAsia="仿宋_GB2312" w:cs="宋体"/>
          <w:color w:val="000000"/>
          <w:kern w:val="0"/>
          <w:sz w:val="32"/>
          <w:szCs w:val="32"/>
          <w:shd w:val="clear" w:color="auto" w:fill="FFFFFF"/>
          <w:lang w:val="zh-CN"/>
        </w:rPr>
        <w:t>38</w:t>
      </w:r>
      <w:r>
        <w:rPr>
          <w:rFonts w:hint="eastAsia" w:ascii="仿宋_GB2312" w:eastAsia="仿宋_GB2312" w:cs="宋体"/>
          <w:color w:val="000000"/>
          <w:kern w:val="0"/>
          <w:sz w:val="32"/>
          <w:szCs w:val="32"/>
          <w:shd w:val="clear" w:color="auto" w:fill="FFFFFF"/>
          <w:lang w:val="zh-CN"/>
        </w:rPr>
        <w:t>万元，预算完成数34</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631.14万元，预算完成率</w:t>
      </w:r>
      <w:r>
        <w:rPr>
          <w:rFonts w:ascii="仿宋_GB2312" w:eastAsia="仿宋_GB2312" w:cs="宋体"/>
          <w:color w:val="000000"/>
          <w:kern w:val="0"/>
          <w:sz w:val="32"/>
          <w:szCs w:val="32"/>
          <w:shd w:val="clear" w:color="auto" w:fill="FFFFFF"/>
          <w:lang w:val="zh-CN"/>
        </w:rPr>
        <w:t>99.5%</w:t>
      </w:r>
      <w:r>
        <w:rPr>
          <w:rFonts w:hint="eastAsia" w:ascii="仿宋_GB2312"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（2）违规记录</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w:t>
      </w:r>
      <w:r>
        <w:rPr>
          <w:rFonts w:ascii="仿宋_GB2312" w:eastAsia="仿宋_GB2312" w:cs="宋体"/>
          <w:color w:val="000000"/>
          <w:kern w:val="0"/>
          <w:sz w:val="32"/>
          <w:szCs w:val="32"/>
          <w:shd w:val="clear" w:color="auto" w:fill="FFFFFF"/>
          <w:lang w:val="zh-CN"/>
        </w:rPr>
        <w:t>020</w:t>
      </w:r>
      <w:r>
        <w:rPr>
          <w:rFonts w:hint="eastAsia" w:ascii="仿宋_GB2312" w:eastAsia="仿宋_GB2312" w:cs="宋体"/>
          <w:color w:val="000000"/>
          <w:kern w:val="0"/>
          <w:sz w:val="32"/>
          <w:szCs w:val="32"/>
          <w:shd w:val="clear" w:color="auto" w:fill="FFFFFF"/>
          <w:lang w:val="zh-CN"/>
        </w:rPr>
        <w:t>年度我部接受的审计监督和财政检查，无违纪违规情况。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（二）专项预算管理</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我部按照专项项目自评工作要求，抽查了本部门管理的两个专项进行自评并打分，评价结果如下：</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2020年度四川省文化产业发展专项资金项目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2020年度四川省文化产业发展专项资金主要用于培育骨干文化企业，推动国有文化企业做强做优做大，促进中小微文化企业发展壮大，推动更多文化企业进入规模以上企业行列，有效提升四川文化产业整体实力；支持国家级、省级重点文化产业园区（基地）建设，进一步提高国家文化和科技融合示范基地建设管理质量；推动文化走出去，文化贸易实现稳定增长、出口产品更加丰富。2020年度项目资金下达后，项目实施单位均按照既定计划及时组织项目实施，按工作进度基本完成相关工作任务，多数项目基本达到预期效果。但受2020年新冠肺炎疫情以及其他因素的影响，部分项目进度有所滞后。</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lang w:val="zh-CN"/>
        </w:rPr>
        <w:t>2.</w:t>
      </w:r>
      <w:r>
        <w:rPr>
          <w:rFonts w:hint="eastAsia" w:ascii="仿宋_GB2312" w:eastAsia="仿宋_GB2312" w:cs="宋体"/>
          <w:color w:val="000000"/>
          <w:kern w:val="0"/>
          <w:sz w:val="32"/>
          <w:szCs w:val="32"/>
          <w:shd w:val="clear" w:color="auto" w:fill="FFFFFF"/>
          <w:lang w:val="zh-CN"/>
        </w:rPr>
        <w:t>2020年中央专项彩票公益金支持乡村学校少年宫</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中央专项彩票公益金支持乡村学校少年宫资金项目主要包括两方面，一是用于对新建乡村学校少年宫的修缮装备补助，二是用于对已建乡村学校少年宫的运转补助。2020年度按照省文明办、财政厅及教育厅有关部门要求，对项目资金的使用安排提出方案和绩效目标设立（分解）工作开展有效落实，各下级责任主体推关键环节管理的细化性、规范性、有序性执行情况较好。在项目建设过程中，因受到疫情影响，资金划拨、项目开工建设和项目培训工作开展未达到预期指标。</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信息公开</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除涉密项目外，我部按要求</w:t>
      </w:r>
      <w:r>
        <w:rPr>
          <w:rFonts w:hint="eastAsia" w:ascii="仿宋_GB2312" w:eastAsia="仿宋_GB2312"/>
          <w:sz w:val="32"/>
          <w:szCs w:val="32"/>
        </w:rPr>
        <w:t>在规定的时间内，通过政府公众信息网向社会公开，并接受财政部门以及社会的检查和监督。</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整改反馈</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我部根据财政厅《关于印送2</w:t>
      </w:r>
      <w:r>
        <w:rPr>
          <w:rFonts w:ascii="仿宋_GB2312" w:eastAsia="仿宋_GB2312" w:cs="宋体"/>
          <w:color w:val="000000"/>
          <w:kern w:val="0"/>
          <w:sz w:val="32"/>
          <w:szCs w:val="32"/>
          <w:shd w:val="clear" w:color="auto" w:fill="FFFFFF"/>
          <w:lang w:val="zh-CN"/>
        </w:rPr>
        <w:t>020</w:t>
      </w:r>
      <w:r>
        <w:rPr>
          <w:rFonts w:hint="eastAsia" w:ascii="仿宋_GB2312" w:eastAsia="仿宋_GB2312" w:cs="宋体"/>
          <w:color w:val="000000"/>
          <w:kern w:val="0"/>
          <w:sz w:val="32"/>
          <w:szCs w:val="32"/>
          <w:shd w:val="clear" w:color="auto" w:fill="FFFFFF"/>
          <w:lang w:val="zh-CN"/>
        </w:rPr>
        <w:t>年省级财政绩效评价报告和做好绩效评价问题整改及结果应用的函》（川财绩函〔2</w:t>
      </w:r>
      <w:r>
        <w:rPr>
          <w:rFonts w:ascii="仿宋_GB2312" w:eastAsia="仿宋_GB2312" w:cs="宋体"/>
          <w:color w:val="000000"/>
          <w:kern w:val="0"/>
          <w:sz w:val="32"/>
          <w:szCs w:val="32"/>
          <w:shd w:val="clear" w:color="auto" w:fill="FFFFFF"/>
          <w:lang w:val="zh-CN"/>
        </w:rPr>
        <w:t>021</w:t>
      </w:r>
      <w:r>
        <w:rPr>
          <w:rFonts w:hint="eastAsia" w:ascii="仿宋_GB2312" w:eastAsia="仿宋_GB2312" w:cs="宋体"/>
          <w:color w:val="000000"/>
          <w:kern w:val="0"/>
          <w:sz w:val="32"/>
          <w:szCs w:val="32"/>
          <w:shd w:val="clear" w:color="auto" w:fill="FFFFFF"/>
          <w:lang w:val="zh-CN"/>
        </w:rPr>
        <w:t>〕1号）及其附件《省委宣传部2</w:t>
      </w:r>
      <w:r>
        <w:rPr>
          <w:rFonts w:ascii="仿宋_GB2312" w:eastAsia="仿宋_GB2312" w:cs="宋体"/>
          <w:color w:val="000000"/>
          <w:kern w:val="0"/>
          <w:sz w:val="32"/>
          <w:szCs w:val="32"/>
          <w:shd w:val="clear" w:color="auto" w:fill="FFFFFF"/>
          <w:lang w:val="zh-CN"/>
        </w:rPr>
        <w:t>019</w:t>
      </w:r>
      <w:r>
        <w:rPr>
          <w:rFonts w:hint="eastAsia" w:ascii="仿宋_GB2312" w:eastAsia="仿宋_GB2312" w:cs="宋体"/>
          <w:color w:val="000000"/>
          <w:kern w:val="0"/>
          <w:sz w:val="32"/>
          <w:szCs w:val="32"/>
          <w:shd w:val="clear" w:color="auto" w:fill="FFFFFF"/>
          <w:lang w:val="zh-CN"/>
        </w:rPr>
        <w:t>年度部门预算内专用项目支出绩效评价报告》指出的问题，组织相关单位召开专题会议，进行了梳理分析，查找了产生原因，总结了经验教训，及时研究制定整改措施，在完善财务制度、强化项目管理、安排资金预算、落实整改问题等方面注重结果应用，并在2</w:t>
      </w:r>
      <w:r>
        <w:rPr>
          <w:rFonts w:ascii="仿宋_GB2312" w:eastAsia="仿宋_GB2312" w:cs="宋体"/>
          <w:color w:val="000000"/>
          <w:kern w:val="0"/>
          <w:sz w:val="32"/>
          <w:szCs w:val="32"/>
          <w:shd w:val="clear" w:color="auto" w:fill="FFFFFF"/>
          <w:lang w:val="zh-CN"/>
        </w:rPr>
        <w:t>021</w:t>
      </w:r>
      <w:r>
        <w:rPr>
          <w:rFonts w:hint="eastAsia" w:ascii="仿宋_GB2312" w:eastAsia="仿宋_GB2312" w:cs="宋体"/>
          <w:color w:val="000000"/>
          <w:kern w:val="0"/>
          <w:sz w:val="32"/>
          <w:szCs w:val="32"/>
          <w:shd w:val="clear" w:color="auto" w:fill="FFFFFF"/>
          <w:lang w:val="zh-CN"/>
        </w:rPr>
        <w:t>年度预算安排中全面贯彻落实。</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我部严格遵守财经纪律，严格执行中央八项规定和厉行节约反对浪费的要求，较好完成了</w:t>
      </w:r>
      <w:r>
        <w:rPr>
          <w:rFonts w:ascii="仿宋_GB2312" w:eastAsia="仿宋_GB2312" w:cs="宋体"/>
          <w:color w:val="000000"/>
          <w:kern w:val="0"/>
          <w:sz w:val="32"/>
          <w:szCs w:val="32"/>
          <w:shd w:val="clear" w:color="auto" w:fill="FFFFFF"/>
          <w:lang w:val="zh-CN"/>
        </w:rPr>
        <w:t>2020</w:t>
      </w:r>
      <w:r>
        <w:rPr>
          <w:rFonts w:hint="eastAsia" w:ascii="仿宋_GB2312" w:eastAsia="仿宋_GB2312" w:cs="宋体"/>
          <w:color w:val="000000"/>
          <w:kern w:val="0"/>
          <w:sz w:val="32"/>
          <w:szCs w:val="32"/>
          <w:shd w:val="clear" w:color="auto" w:fill="FFFFFF"/>
          <w:lang w:val="zh-CN"/>
        </w:rPr>
        <w:t>年各项目标任务，保证了自身单位的运转和项目支出，同时也做好了全省宣传思想文化再上新台阶的工作。根据绩效管理工作有关要求，我部结合实际制定了以目标、责任、问题和结果为导向的《中共四川省委宣传部机关处（室）绩效管理办法（试行）》，开展有关绩效管理的培训会，推行绩效管理理念，组织相关人员学习预算相关的规章制度。根据202</w:t>
      </w:r>
      <w:r>
        <w:rPr>
          <w:rFonts w:ascii="仿宋_GB2312" w:eastAsia="仿宋_GB2312" w:cs="宋体"/>
          <w:color w:val="000000"/>
          <w:kern w:val="0"/>
          <w:sz w:val="32"/>
          <w:szCs w:val="32"/>
          <w:shd w:val="clear" w:color="auto" w:fill="FFFFFF"/>
          <w:lang w:val="zh-CN"/>
        </w:rPr>
        <w:t>1</w:t>
      </w:r>
      <w:r>
        <w:rPr>
          <w:rFonts w:hint="eastAsia" w:ascii="仿宋_GB2312" w:eastAsia="仿宋_GB2312" w:cs="宋体"/>
          <w:color w:val="000000"/>
          <w:kern w:val="0"/>
          <w:sz w:val="32"/>
          <w:szCs w:val="32"/>
          <w:shd w:val="clear" w:color="auto" w:fill="FFFFFF"/>
          <w:lang w:val="zh-CN"/>
        </w:rPr>
        <w:t>年度省级部门整体支出绩效评价指标体系的计分标准，对我部20</w:t>
      </w:r>
      <w:r>
        <w:rPr>
          <w:rFonts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zh-CN"/>
        </w:rPr>
        <w:t>年度整体支出绩效评价进行了自评打分。由于部门在自评时，自评质量指标无需打分，部门自评满分为90分。（各项打分见附表）。</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部门预算绩效目标管理、专项项目预算目标管理有待加强。2</w:t>
      </w:r>
      <w:r>
        <w:rPr>
          <w:rFonts w:ascii="仿宋_GB2312" w:eastAsia="仿宋_GB2312" w:cs="宋体"/>
          <w:color w:val="000000"/>
          <w:kern w:val="0"/>
          <w:sz w:val="32"/>
          <w:szCs w:val="32"/>
          <w:shd w:val="clear" w:color="auto" w:fill="FFFFFF"/>
          <w:lang w:val="zh-CN"/>
        </w:rPr>
        <w:t>020</w:t>
      </w:r>
      <w:r>
        <w:rPr>
          <w:rFonts w:hint="eastAsia" w:ascii="仿宋_GB2312" w:eastAsia="仿宋_GB2312" w:cs="宋体"/>
          <w:color w:val="000000"/>
          <w:kern w:val="0"/>
          <w:sz w:val="32"/>
          <w:szCs w:val="32"/>
          <w:shd w:val="clear" w:color="auto" w:fill="FFFFFF"/>
          <w:lang w:val="zh-CN"/>
        </w:rPr>
        <w:t>年度部门预算项目数量指标有</w:t>
      </w:r>
      <w:r>
        <w:rPr>
          <w:rFonts w:ascii="仿宋_GB2312" w:eastAsia="仿宋_GB2312" w:cs="宋体"/>
          <w:color w:val="000000"/>
          <w:kern w:val="0"/>
          <w:sz w:val="32"/>
          <w:szCs w:val="32"/>
          <w:shd w:val="clear" w:color="auto" w:fill="FFFFFF"/>
          <w:lang w:val="zh-CN"/>
        </w:rPr>
        <w:t>55</w:t>
      </w:r>
      <w:r>
        <w:rPr>
          <w:rFonts w:hint="eastAsia" w:ascii="仿宋_GB2312" w:eastAsia="仿宋_GB2312" w:cs="宋体"/>
          <w:color w:val="000000"/>
          <w:kern w:val="0"/>
          <w:sz w:val="32"/>
          <w:szCs w:val="32"/>
          <w:shd w:val="clear" w:color="auto" w:fill="FFFFFF"/>
          <w:lang w:val="zh-CN"/>
        </w:rPr>
        <w:t>个，实际完成</w:t>
      </w:r>
      <w:r>
        <w:rPr>
          <w:rFonts w:ascii="仿宋_GB2312" w:eastAsia="仿宋_GB2312" w:cs="宋体"/>
          <w:color w:val="000000"/>
          <w:kern w:val="0"/>
          <w:sz w:val="32"/>
          <w:szCs w:val="32"/>
          <w:shd w:val="clear" w:color="auto" w:fill="FFFFFF"/>
          <w:lang w:val="zh-CN"/>
        </w:rPr>
        <w:t>48.4</w:t>
      </w:r>
      <w:r>
        <w:rPr>
          <w:rFonts w:hint="eastAsia" w:ascii="仿宋_GB2312" w:eastAsia="仿宋_GB2312" w:cs="宋体"/>
          <w:color w:val="000000"/>
          <w:kern w:val="0"/>
          <w:sz w:val="32"/>
          <w:szCs w:val="32"/>
          <w:shd w:val="clear" w:color="auto" w:fill="FFFFFF"/>
          <w:lang w:val="zh-CN"/>
        </w:rPr>
        <w:t>个，部门绩效目标实际实现程度与预期目标的偏离度1</w:t>
      </w:r>
      <w:r>
        <w:rPr>
          <w:rFonts w:ascii="仿宋_GB2312" w:eastAsia="仿宋_GB2312" w:cs="宋体"/>
          <w:color w:val="000000"/>
          <w:kern w:val="0"/>
          <w:sz w:val="32"/>
          <w:szCs w:val="32"/>
          <w:shd w:val="clear" w:color="auto" w:fill="FFFFFF"/>
          <w:lang w:val="zh-CN"/>
        </w:rPr>
        <w:t>2%</w:t>
      </w:r>
      <w:r>
        <w:rPr>
          <w:rFonts w:hint="eastAsia" w:ascii="仿宋_GB2312" w:eastAsia="仿宋_GB2312" w:cs="宋体"/>
          <w:color w:val="000000"/>
          <w:kern w:val="0"/>
          <w:sz w:val="32"/>
          <w:szCs w:val="32"/>
          <w:shd w:val="clear" w:color="auto" w:fill="FFFFFF"/>
          <w:lang w:val="zh-CN"/>
        </w:rPr>
        <w:t>。抽查的两个专项项目因受2020年新冠肺炎疫情以及其他因素的影响，部分绩效目标进度有所滞后。</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lang w:val="zh-CN"/>
        </w:rPr>
        <w:t>2.</w:t>
      </w:r>
      <w:r>
        <w:rPr>
          <w:rFonts w:hint="eastAsia" w:ascii="仿宋_GB2312" w:eastAsia="仿宋_GB2312" w:cs="宋体"/>
          <w:color w:val="000000"/>
          <w:kern w:val="0"/>
          <w:sz w:val="32"/>
          <w:szCs w:val="32"/>
          <w:shd w:val="clear" w:color="auto" w:fill="FFFFFF"/>
          <w:lang w:val="zh-CN"/>
        </w:rPr>
        <w:t>预算编制有待加强。2020年年初部门预算31,710.69万元，部门全年预算调剂金额为3,093.69万元，部门预算调整率</w:t>
      </w:r>
      <w:r>
        <w:rPr>
          <w:rFonts w:ascii="仿宋_GB2312" w:eastAsia="仿宋_GB2312" w:cs="宋体"/>
          <w:color w:val="000000"/>
          <w:kern w:val="0"/>
          <w:sz w:val="32"/>
          <w:szCs w:val="32"/>
          <w:shd w:val="clear" w:color="auto" w:fill="FFFFFF"/>
          <w:lang w:val="zh-CN"/>
        </w:rPr>
        <w:t>9.76%</w:t>
      </w:r>
      <w:r>
        <w:rPr>
          <w:rFonts w:hint="eastAsia" w:ascii="仿宋_GB2312" w:eastAsia="仿宋_GB2312" w:cs="宋体"/>
          <w:color w:val="000000"/>
          <w:kern w:val="0"/>
          <w:sz w:val="32"/>
          <w:szCs w:val="32"/>
          <w:shd w:val="clear" w:color="auto" w:fill="FFFFFF"/>
          <w:lang w:val="zh-CN"/>
        </w:rPr>
        <w:t>。主要影响为省委宣传部机关、四川文化产业职业学院人员增加，住房公积金、医疗、养老等人员经费相应增加。</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加强绩效目标管理，做好绩效考核。对因各种因素导致绩效目标难以实现的，我们将及时调整绩效目标，进一步加强日常财务管理和绩效目标管理，同时加强项目进度跟踪，按项目计划的阶段性完成情况进行监督检查、监控分析，及时跟进并整改项目执行过程中存在的问题，切实提高项目监督监管的效力。</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color w:val="000000"/>
          <w:kern w:val="0"/>
          <w:sz w:val="32"/>
          <w:szCs w:val="32"/>
          <w:shd w:val="clear" w:color="auto" w:fill="FFFFFF"/>
          <w:lang w:val="zh-CN"/>
        </w:rPr>
        <w:t>2.</w:t>
      </w:r>
      <w:r>
        <w:rPr>
          <w:rFonts w:hint="eastAsia" w:ascii="仿宋_GB2312" w:eastAsia="仿宋_GB2312" w:cs="宋体"/>
          <w:color w:val="000000"/>
          <w:kern w:val="0"/>
          <w:sz w:val="32"/>
          <w:szCs w:val="32"/>
          <w:shd w:val="clear" w:color="auto" w:fill="FFFFFF"/>
          <w:lang w:val="zh-CN"/>
        </w:rPr>
        <w:t>强化预算管理，提升预算编制精准度。加强预算编制的事前调研，积极与省财政厅进行沟通，由项目相关业务处室组织实施，充分考虑上级要求、中长规划、年度工作任务及部门履职需要，做好资金测算与审核，提高预算编制精准度。</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rPr>
          <w:rStyle w:val="16"/>
          <w:rFonts w:ascii="黑体" w:eastAsia="黑体"/>
          <w:b w:val="0"/>
        </w:rPr>
      </w:pPr>
    </w:p>
    <w:p>
      <w:pPr>
        <w:spacing w:line="600" w:lineRule="exact"/>
        <w:jc w:val="center"/>
        <w:outlineLvl w:val="0"/>
        <w:rPr>
          <w:rStyle w:val="16"/>
          <w:rFonts w:ascii="黑体" w:eastAsia="黑体"/>
          <w:b w:val="0"/>
        </w:rPr>
      </w:pPr>
    </w:p>
    <w:p>
      <w:pPr>
        <w:pStyle w:val="2"/>
        <w:rPr>
          <w:rFonts w:hint="eastAsia" w:ascii="黑体" w:eastAsia="黑体"/>
          <w:color w:val="000000"/>
          <w:sz w:val="32"/>
          <w:szCs w:val="32"/>
          <w:lang w:val="en-US" w:eastAsia="zh-CN"/>
        </w:rPr>
      </w:pPr>
      <w:bookmarkStart w:id="57" w:name="_Toc15396618"/>
      <w:r>
        <w:rPr>
          <w:rFonts w:hint="eastAsia" w:ascii="黑体" w:eastAsia="黑体"/>
          <w:color w:val="000000"/>
          <w:sz w:val="32"/>
          <w:szCs w:val="32"/>
          <w:lang w:eastAsia="zh-CN"/>
        </w:rPr>
        <w:t>附件</w:t>
      </w:r>
      <w:r>
        <w:rPr>
          <w:rFonts w:hint="eastAsia" w:ascii="黑体" w:eastAsia="黑体"/>
          <w:color w:val="000000"/>
          <w:sz w:val="32"/>
          <w:szCs w:val="32"/>
          <w:lang w:val="en-US" w:eastAsia="zh-CN"/>
        </w:rPr>
        <w:t>2</w:t>
      </w:r>
    </w:p>
    <w:p>
      <w:pPr>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教学科研及教辅经费项目支出</w:t>
      </w:r>
    </w:p>
    <w:p>
      <w:pPr>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绩效自评报告</w:t>
      </w:r>
    </w:p>
    <w:p>
      <w:pPr>
        <w:tabs>
          <w:tab w:val="left" w:pos="3885"/>
        </w:tabs>
        <w:snapToGrid w:val="0"/>
        <w:spacing w:line="600" w:lineRule="exact"/>
        <w:ind w:firstLine="422" w:firstLineChars="200"/>
        <w:jc w:val="left"/>
        <w:rPr>
          <w:rFonts w:ascii="宋体"/>
          <w:b/>
          <w:szCs w:val="21"/>
        </w:rPr>
      </w:pPr>
    </w:p>
    <w:p>
      <w:pPr>
        <w:numPr>
          <w:ilvl w:val="0"/>
          <w:numId w:val="6"/>
        </w:numPr>
        <w:tabs>
          <w:tab w:val="left" w:pos="3885"/>
        </w:tabs>
        <w:snapToGrid w:val="0"/>
        <w:spacing w:line="600" w:lineRule="exact"/>
        <w:ind w:left="0" w:firstLine="640" w:firstLineChars="200"/>
        <w:jc w:val="left"/>
        <w:rPr>
          <w:rFonts w:hint="eastAsia" w:ascii="黑体" w:eastAsia="黑体" w:cs="黑体"/>
          <w:sz w:val="32"/>
          <w:szCs w:val="32"/>
        </w:rPr>
      </w:pPr>
      <w:r>
        <w:rPr>
          <w:rFonts w:hint="eastAsia" w:ascii="黑体" w:eastAsia="黑体" w:cs="黑体"/>
          <w:sz w:val="32"/>
          <w:szCs w:val="32"/>
        </w:rPr>
        <w:t>基本情况</w:t>
      </w:r>
    </w:p>
    <w:p>
      <w:pPr>
        <w:snapToGrid w:val="0"/>
        <w:spacing w:line="600" w:lineRule="exact"/>
        <w:ind w:firstLine="643" w:firstLineChars="200"/>
        <w:rPr>
          <w:rFonts w:hint="eastAsia" w:ascii="仿宋_GB2312" w:eastAsia="仿宋_GB2312" w:cs="仿宋_GB2312"/>
          <w:b/>
          <w:sz w:val="32"/>
          <w:szCs w:val="32"/>
        </w:rPr>
      </w:pPr>
      <w:r>
        <w:rPr>
          <w:rFonts w:hint="eastAsia" w:ascii="仿宋_GB2312" w:eastAsia="仿宋_GB2312" w:cs="仿宋_GB2312"/>
          <w:b/>
          <w:sz w:val="32"/>
          <w:szCs w:val="32"/>
        </w:rPr>
        <w:t>（一）项目基本情况</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2020年教学科研及教辅经费项目（以下简称“项目”），由四川文化产业职业学院（以下简称“文产学院”或“学院”）根据《中共四川省委、四川省人民政府关于印发&lt;四川省中长期教育改革和发展规划纲要（2010—2020年）&gt;的通知》(川委发〔2010〕18号)《四川省教育厅关于实施四川省优质高等职业院校建设计划的通知》（川教函〔2017〕418号）文件，完成日常教学管理、专业建设、师资队伍建设、课程建设、科研、做好评选优质高校工作等费用。</w:t>
      </w:r>
    </w:p>
    <w:p>
      <w:pPr>
        <w:snapToGrid w:val="0"/>
        <w:spacing w:line="600" w:lineRule="exact"/>
        <w:ind w:firstLine="643" w:firstLineChars="200"/>
        <w:rPr>
          <w:rFonts w:hint="eastAsia" w:ascii="仿宋_GB2312" w:eastAsia="仿宋_GB2312" w:cs="仿宋_GB2312"/>
          <w:b/>
          <w:sz w:val="32"/>
          <w:szCs w:val="32"/>
        </w:rPr>
      </w:pPr>
      <w:r>
        <w:rPr>
          <w:rFonts w:hint="eastAsia" w:ascii="仿宋_GB2312" w:eastAsia="仿宋_GB2312" w:cs="仿宋_GB2312"/>
          <w:b/>
          <w:sz w:val="32"/>
          <w:szCs w:val="32"/>
        </w:rPr>
        <w:t>（二）资金投入使用情况</w:t>
      </w:r>
    </w:p>
    <w:p>
      <w:pPr>
        <w:pStyle w:val="22"/>
        <w:rPr>
          <w:rFonts w:hint="eastAsia" w:ascii="仿宋_GB2312" w:eastAsia="仿宋_GB2312" w:cs="仿宋_GB2312"/>
          <w:sz w:val="32"/>
          <w:szCs w:val="32"/>
        </w:rPr>
      </w:pPr>
      <w:r>
        <w:rPr>
          <w:rFonts w:hint="eastAsia" w:ascii="仿宋_GB2312" w:eastAsia="仿宋_GB2312" w:cs="仿宋_GB2312"/>
          <w:sz w:val="32"/>
          <w:szCs w:val="32"/>
        </w:rPr>
        <w:t>项目资金全年总投入2,133.29万元，其中，财政补助拨款1,184.43万元，其他资金887.67万元，上年结转61.19万元。</w:t>
      </w:r>
    </w:p>
    <w:p>
      <w:pPr>
        <w:snapToGrid w:val="0"/>
        <w:spacing w:line="600" w:lineRule="exact"/>
        <w:ind w:firstLine="643" w:firstLineChars="200"/>
        <w:rPr>
          <w:rFonts w:hint="eastAsia" w:ascii="仿宋_GB2312" w:eastAsia="仿宋_GB2312" w:cs="仿宋_GB2312"/>
          <w:b/>
          <w:sz w:val="32"/>
          <w:szCs w:val="32"/>
        </w:rPr>
      </w:pPr>
      <w:r>
        <w:rPr>
          <w:rFonts w:hint="eastAsia" w:ascii="仿宋_GB2312" w:eastAsia="仿宋_GB2312" w:cs="仿宋_GB2312"/>
          <w:b/>
          <w:sz w:val="32"/>
          <w:szCs w:val="32"/>
        </w:rPr>
        <w:t>（三）项目绩效目标</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绩效目标实现程度的评价指标设8个三级指标。其中：项目产出类设三级指标4个；项目效益类设三级指标4个，指标名称及评价标准如下：</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0"/>
        <w:gridCol w:w="1328"/>
        <w:gridCol w:w="5527"/>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43" w:type="pct"/>
            <w:tcBorders>
              <w:top w:val="single" w:color="auto" w:sz="12" w:space="0"/>
              <w:left w:val="nil"/>
              <w:bottom w:val="nil"/>
              <w:right w:val="dotted" w:color="auto" w:sz="4" w:space="0"/>
            </w:tcBorders>
            <w:shd w:val="clear" w:color="auto" w:fill="auto"/>
            <w:noWrap/>
            <w:vAlign w:val="center"/>
          </w:tcPr>
          <w:p>
            <w:pPr>
              <w:widowControl/>
              <w:adjustRightInd w:val="0"/>
              <w:snapToGrid w:val="0"/>
              <w:jc w:val="center"/>
              <w:rPr>
                <w:rFonts w:hint="eastAsia" w:ascii="仿宋_GB2312" w:hAnsi="仿宋_GB2312" w:cs="宋体"/>
                <w:b w:val="0"/>
                <w:bCs/>
                <w:color w:val="000000"/>
                <w:kern w:val="0"/>
                <w:sz w:val="24"/>
                <w:szCs w:val="24"/>
              </w:rPr>
            </w:pPr>
            <w:r>
              <w:rPr>
                <w:rFonts w:hint="eastAsia" w:ascii="仿宋_GB2312" w:hAnsi="仿宋_GB2312" w:cs="宋体"/>
                <w:b w:val="0"/>
                <w:bCs/>
                <w:color w:val="000000"/>
                <w:kern w:val="0"/>
                <w:sz w:val="24"/>
                <w:szCs w:val="24"/>
              </w:rPr>
              <w:t>评价内容</w:t>
            </w:r>
          </w:p>
        </w:tc>
        <w:tc>
          <w:tcPr>
            <w:tcW w:w="929" w:type="pct"/>
            <w:tcBorders>
              <w:top w:val="single" w:color="auto" w:sz="12" w:space="0"/>
              <w:left w:val="nil"/>
              <w:bottom w:val="nil"/>
              <w:right w:val="dotted" w:color="auto" w:sz="4" w:space="0"/>
            </w:tcBorders>
            <w:shd w:val="clear" w:color="auto" w:fill="auto"/>
            <w:noWrap/>
            <w:vAlign w:val="center"/>
          </w:tcPr>
          <w:p>
            <w:pPr>
              <w:widowControl/>
              <w:adjustRightInd w:val="0"/>
              <w:snapToGrid w:val="0"/>
              <w:jc w:val="center"/>
              <w:rPr>
                <w:rFonts w:hint="eastAsia" w:ascii="仿宋_GB2312" w:hAnsi="仿宋_GB2312" w:cs="宋体"/>
                <w:b w:val="0"/>
                <w:bCs/>
                <w:color w:val="000000"/>
                <w:kern w:val="0"/>
                <w:sz w:val="24"/>
                <w:szCs w:val="24"/>
              </w:rPr>
            </w:pPr>
            <w:r>
              <w:rPr>
                <w:rFonts w:hint="eastAsia" w:ascii="仿宋_GB2312" w:hAnsi="仿宋_GB2312" w:cs="宋体"/>
                <w:b w:val="0"/>
                <w:bCs/>
                <w:color w:val="000000"/>
                <w:kern w:val="0"/>
                <w:sz w:val="24"/>
                <w:szCs w:val="24"/>
              </w:rPr>
              <w:t>三级指标名称</w:t>
            </w:r>
          </w:p>
        </w:tc>
        <w:tc>
          <w:tcPr>
            <w:tcW w:w="2526" w:type="pct"/>
            <w:tcBorders>
              <w:top w:val="single" w:color="auto" w:sz="12" w:space="0"/>
              <w:left w:val="nil"/>
              <w:bottom w:val="dotted" w:color="auto" w:sz="4" w:space="0"/>
              <w:right w:val="dotted" w:color="auto" w:sz="4" w:space="0"/>
            </w:tcBorders>
            <w:shd w:val="clear" w:color="auto" w:fill="auto"/>
            <w:noWrap/>
            <w:vAlign w:val="center"/>
          </w:tcPr>
          <w:p>
            <w:pPr>
              <w:widowControl/>
              <w:adjustRightInd w:val="0"/>
              <w:snapToGrid w:val="0"/>
              <w:jc w:val="center"/>
              <w:rPr>
                <w:rFonts w:hint="eastAsia" w:ascii="仿宋_GB2312" w:hAnsi="仿宋_GB2312" w:cs="宋体"/>
                <w:b w:val="0"/>
                <w:bCs/>
                <w:color w:val="000000"/>
                <w:kern w:val="0"/>
                <w:sz w:val="24"/>
                <w:szCs w:val="24"/>
              </w:rPr>
            </w:pPr>
            <w:r>
              <w:rPr>
                <w:rFonts w:hint="eastAsia" w:ascii="仿宋_GB2312" w:hAnsi="仿宋_GB2312" w:cs="宋体"/>
                <w:b w:val="0"/>
                <w:bCs/>
                <w:color w:val="000000"/>
                <w:kern w:val="0"/>
                <w:sz w:val="24"/>
                <w:szCs w:val="24"/>
              </w:rPr>
              <w:t>指标解释</w:t>
            </w:r>
          </w:p>
        </w:tc>
        <w:tc>
          <w:tcPr>
            <w:tcW w:w="901" w:type="pct"/>
            <w:tcBorders>
              <w:top w:val="single" w:color="auto" w:sz="12" w:space="0"/>
              <w:left w:val="nil"/>
              <w:bottom w:val="dotted" w:color="auto" w:sz="4" w:space="0"/>
              <w:right w:val="nil"/>
            </w:tcBorders>
            <w:shd w:val="clear" w:color="auto" w:fill="auto"/>
            <w:noWrap/>
            <w:vAlign w:val="center"/>
          </w:tcPr>
          <w:p>
            <w:pPr>
              <w:widowControl/>
              <w:adjustRightInd w:val="0"/>
              <w:snapToGrid w:val="0"/>
              <w:jc w:val="center"/>
              <w:rPr>
                <w:rFonts w:hint="eastAsia" w:ascii="仿宋_GB2312" w:hAnsi="仿宋_GB2312" w:cs="宋体"/>
                <w:b w:val="0"/>
                <w:bCs/>
                <w:color w:val="000000"/>
                <w:kern w:val="0"/>
                <w:sz w:val="24"/>
                <w:szCs w:val="24"/>
              </w:rPr>
            </w:pPr>
            <w:r>
              <w:rPr>
                <w:rFonts w:hint="eastAsia" w:ascii="仿宋_GB2312" w:hAnsi="仿宋_GB2312" w:cs="宋体"/>
                <w:b w:val="0"/>
                <w:bCs/>
                <w:color w:val="000000"/>
                <w:kern w:val="0"/>
                <w:sz w:val="24"/>
                <w:szCs w:val="24"/>
              </w:rPr>
              <w:t>评价方法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643" w:type="pct"/>
            <w:vMerge w:val="restart"/>
            <w:tcBorders>
              <w:top w:val="dotted" w:color="auto" w:sz="4" w:space="0"/>
              <w:left w:val="nil"/>
              <w:bottom w:val="dotted" w:color="000000"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项目产出</w:t>
            </w:r>
          </w:p>
        </w:tc>
        <w:tc>
          <w:tcPr>
            <w:tcW w:w="929" w:type="pct"/>
            <w:tcBorders>
              <w:top w:val="dotted" w:color="auto" w:sz="4" w:space="0"/>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实际完成率</w:t>
            </w:r>
          </w:p>
        </w:tc>
        <w:tc>
          <w:tcPr>
            <w:tcW w:w="2526"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项目实施的实际产出数与计划产出数的比率，用以反映和考核项目产出数量目标的实现程度。</w:t>
            </w:r>
          </w:p>
        </w:tc>
        <w:tc>
          <w:tcPr>
            <w:tcW w:w="901" w:type="pct"/>
            <w:vMerge w:val="restart"/>
            <w:tcBorders>
              <w:top w:val="nil"/>
              <w:left w:val="dotted" w:color="auto" w:sz="4" w:space="0"/>
              <w:bottom w:val="dotted" w:color="000000" w:sz="4" w:space="0"/>
              <w:right w:val="nil"/>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比率分值法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43" w:type="pct"/>
            <w:vMerge w:val="continue"/>
            <w:tcBorders>
              <w:top w:val="dotted" w:color="auto" w:sz="4" w:space="0"/>
              <w:left w:val="nil"/>
              <w:bottom w:val="dotted" w:color="000000" w:sz="4" w:space="0"/>
              <w:right w:val="dotted" w:color="auto" w:sz="4" w:space="0"/>
            </w:tcBorders>
            <w:noWrap/>
            <w:vAlign w:val="center"/>
          </w:tcPr>
          <w:p/>
        </w:tc>
        <w:tc>
          <w:tcPr>
            <w:tcW w:w="929"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质量达标率</w:t>
            </w:r>
          </w:p>
        </w:tc>
        <w:tc>
          <w:tcPr>
            <w:tcW w:w="2526"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项目完成的质量达标产出数与实际产出数的比率，用以反映和考核项目产出质量目标的实现程度。</w:t>
            </w:r>
          </w:p>
        </w:tc>
        <w:tc>
          <w:tcPr>
            <w:tcW w:w="901" w:type="pct"/>
            <w:vMerge w:val="continue"/>
            <w:tcBorders>
              <w:top w:val="nil"/>
              <w:left w:val="dotted" w:color="auto" w:sz="4" w:space="0"/>
              <w:bottom w:val="dotted" w:color="000000" w:sz="4" w:space="0"/>
              <w:right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43" w:type="pct"/>
            <w:vMerge w:val="continue"/>
            <w:tcBorders>
              <w:top w:val="dotted" w:color="auto" w:sz="4" w:space="0"/>
              <w:left w:val="nil"/>
              <w:bottom w:val="dotted" w:color="000000" w:sz="4" w:space="0"/>
              <w:right w:val="dotted" w:color="auto" w:sz="4" w:space="0"/>
            </w:tcBorders>
            <w:noWrap/>
            <w:vAlign w:val="center"/>
          </w:tcPr>
          <w:p/>
        </w:tc>
        <w:tc>
          <w:tcPr>
            <w:tcW w:w="929"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完成及时性</w:t>
            </w:r>
          </w:p>
        </w:tc>
        <w:tc>
          <w:tcPr>
            <w:tcW w:w="2526"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项目实际完成时间与计划完成时间的比较，用以反映和考核项目产出时效目标的实现程度。</w:t>
            </w:r>
          </w:p>
        </w:tc>
        <w:tc>
          <w:tcPr>
            <w:tcW w:w="901" w:type="pct"/>
            <w:vMerge w:val="continue"/>
            <w:tcBorders>
              <w:top w:val="nil"/>
              <w:left w:val="dotted" w:color="auto" w:sz="4" w:space="0"/>
              <w:bottom w:val="dotted" w:color="000000" w:sz="4" w:space="0"/>
              <w:right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643" w:type="pct"/>
            <w:vMerge w:val="continue"/>
            <w:tcBorders>
              <w:top w:val="dotted" w:color="auto" w:sz="4" w:space="0"/>
              <w:left w:val="nil"/>
              <w:bottom w:val="dotted" w:color="000000" w:sz="4" w:space="0"/>
              <w:right w:val="dotted" w:color="auto" w:sz="4" w:space="0"/>
            </w:tcBorders>
            <w:noWrap/>
            <w:vAlign w:val="center"/>
          </w:tcPr>
          <w:p/>
        </w:tc>
        <w:tc>
          <w:tcPr>
            <w:tcW w:w="929"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成本节约率</w:t>
            </w:r>
          </w:p>
        </w:tc>
        <w:tc>
          <w:tcPr>
            <w:tcW w:w="2526"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完成项目计划工作目标的实际节约成本与计划成本的比率，用以反映和考核项目的成本节约程度。</w:t>
            </w:r>
          </w:p>
        </w:tc>
        <w:tc>
          <w:tcPr>
            <w:tcW w:w="901" w:type="pct"/>
            <w:vMerge w:val="continue"/>
            <w:tcBorders>
              <w:top w:val="nil"/>
              <w:left w:val="dotted" w:color="auto" w:sz="4" w:space="0"/>
              <w:bottom w:val="dotted" w:color="000000" w:sz="4" w:space="0"/>
              <w:right w:val="nil"/>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643" w:type="pct"/>
            <w:vMerge w:val="restart"/>
            <w:tcBorders>
              <w:top w:val="nil"/>
              <w:left w:val="nil"/>
              <w:bottom w:val="single" w:color="000000" w:sz="12"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项目效益</w:t>
            </w:r>
          </w:p>
        </w:tc>
        <w:tc>
          <w:tcPr>
            <w:tcW w:w="929"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学校服务社会能力</w:t>
            </w:r>
          </w:p>
        </w:tc>
        <w:tc>
          <w:tcPr>
            <w:tcW w:w="2526"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教育科研及教辅经费项目是否对学校服务社会能力起到推动作用</w:t>
            </w:r>
          </w:p>
        </w:tc>
        <w:tc>
          <w:tcPr>
            <w:tcW w:w="901" w:type="pct"/>
            <w:tcBorders>
              <w:top w:val="nil"/>
              <w:left w:val="nil"/>
              <w:bottom w:val="dotted" w:color="auto" w:sz="4" w:space="0"/>
              <w:right w:val="nil"/>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分级评分法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 w:hRule="atLeast"/>
        </w:trPr>
        <w:tc>
          <w:tcPr>
            <w:tcW w:w="643" w:type="pct"/>
            <w:vMerge w:val="continue"/>
            <w:tcBorders>
              <w:top w:val="nil"/>
              <w:left w:val="nil"/>
              <w:bottom w:val="single" w:color="000000" w:sz="12" w:space="0"/>
              <w:right w:val="dotted" w:color="auto" w:sz="4" w:space="0"/>
            </w:tcBorders>
            <w:noWrap/>
            <w:vAlign w:val="center"/>
          </w:tcPr>
          <w:p/>
        </w:tc>
        <w:tc>
          <w:tcPr>
            <w:tcW w:w="929"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学院基本办学条件</w:t>
            </w:r>
          </w:p>
        </w:tc>
        <w:tc>
          <w:tcPr>
            <w:tcW w:w="2526"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教育科研及教辅经费项目是否对学校基本办学条件起到推动作用</w:t>
            </w:r>
          </w:p>
        </w:tc>
        <w:tc>
          <w:tcPr>
            <w:tcW w:w="901" w:type="pct"/>
            <w:tcBorders>
              <w:top w:val="nil"/>
              <w:left w:val="nil"/>
              <w:bottom w:val="dotted" w:color="auto" w:sz="4" w:space="0"/>
              <w:right w:val="nil"/>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分级评分法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43" w:type="pct"/>
            <w:vMerge w:val="continue"/>
            <w:tcBorders>
              <w:top w:val="nil"/>
              <w:left w:val="nil"/>
              <w:bottom w:val="single" w:color="000000" w:sz="12" w:space="0"/>
              <w:right w:val="dotted" w:color="auto" w:sz="4" w:space="0"/>
            </w:tcBorders>
            <w:noWrap/>
            <w:vAlign w:val="center"/>
          </w:tcPr>
          <w:p/>
        </w:tc>
        <w:tc>
          <w:tcPr>
            <w:tcW w:w="929"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标准化考场使用年限</w:t>
            </w:r>
          </w:p>
        </w:tc>
        <w:tc>
          <w:tcPr>
            <w:tcW w:w="2526" w:type="pct"/>
            <w:tcBorders>
              <w:top w:val="nil"/>
              <w:left w:val="nil"/>
              <w:bottom w:val="dotted" w:color="auto" w:sz="4"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标准化考场预计使用不低于5年</w:t>
            </w:r>
          </w:p>
        </w:tc>
        <w:tc>
          <w:tcPr>
            <w:tcW w:w="901" w:type="pct"/>
            <w:tcBorders>
              <w:top w:val="nil"/>
              <w:left w:val="nil"/>
              <w:bottom w:val="dotted" w:color="auto" w:sz="4" w:space="0"/>
              <w:right w:val="nil"/>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是否评分法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43" w:type="pct"/>
            <w:vMerge w:val="continue"/>
            <w:tcBorders>
              <w:top w:val="nil"/>
              <w:left w:val="nil"/>
              <w:bottom w:val="single" w:color="000000" w:sz="12" w:space="0"/>
              <w:right w:val="dotted" w:color="auto" w:sz="4" w:space="0"/>
            </w:tcBorders>
            <w:noWrap/>
            <w:vAlign w:val="center"/>
          </w:tcPr>
          <w:p/>
        </w:tc>
        <w:tc>
          <w:tcPr>
            <w:tcW w:w="929" w:type="pct"/>
            <w:tcBorders>
              <w:top w:val="nil"/>
              <w:left w:val="nil"/>
              <w:bottom w:val="single" w:color="auto" w:sz="12"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师生满意度</w:t>
            </w:r>
          </w:p>
        </w:tc>
        <w:tc>
          <w:tcPr>
            <w:tcW w:w="2526" w:type="pct"/>
            <w:tcBorders>
              <w:top w:val="nil"/>
              <w:left w:val="nil"/>
              <w:bottom w:val="single" w:color="auto" w:sz="12" w:space="0"/>
              <w:right w:val="dotted" w:color="auto" w:sz="4" w:space="0"/>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社会公众或服务对象对项目实施效果的满意程度≥95%</w:t>
            </w:r>
          </w:p>
        </w:tc>
        <w:tc>
          <w:tcPr>
            <w:tcW w:w="901" w:type="pct"/>
            <w:tcBorders>
              <w:top w:val="nil"/>
              <w:left w:val="nil"/>
              <w:bottom w:val="single" w:color="auto" w:sz="12" w:space="0"/>
              <w:right w:val="nil"/>
            </w:tcBorders>
            <w:shd w:val="clear" w:color="auto" w:fill="auto"/>
            <w:noWrap/>
            <w:vAlign w:val="center"/>
          </w:tcPr>
          <w:p>
            <w:pPr>
              <w:widowControl/>
              <w:adjustRightInd w:val="0"/>
              <w:snapToGrid w:val="0"/>
              <w:jc w:val="left"/>
              <w:rPr>
                <w:rFonts w:hint="eastAsia" w:ascii="仿宋_GB2312" w:hAnsi="仿宋_GB2312" w:cs="宋体"/>
                <w:color w:val="000000"/>
                <w:kern w:val="0"/>
                <w:sz w:val="24"/>
                <w:szCs w:val="24"/>
              </w:rPr>
            </w:pPr>
            <w:r>
              <w:rPr>
                <w:rFonts w:hint="eastAsia" w:ascii="仿宋_GB2312" w:hAnsi="仿宋_GB2312" w:cs="宋体"/>
                <w:color w:val="000000"/>
                <w:kern w:val="0"/>
                <w:sz w:val="24"/>
                <w:szCs w:val="24"/>
              </w:rPr>
              <w:t>满意值赋分法</w:t>
            </w:r>
          </w:p>
        </w:tc>
      </w:tr>
    </w:tbl>
    <w:p>
      <w:pPr>
        <w:snapToGrid w:val="0"/>
        <w:spacing w:line="600" w:lineRule="exact"/>
        <w:ind w:firstLine="643" w:firstLineChars="200"/>
        <w:rPr>
          <w:rFonts w:hint="eastAsia" w:ascii="仿宋_GB2312" w:eastAsia="仿宋_GB2312" w:cs="仿宋_GB2312"/>
          <w:b/>
          <w:bCs/>
          <w:sz w:val="32"/>
          <w:szCs w:val="32"/>
        </w:rPr>
      </w:pPr>
      <w:r>
        <w:rPr>
          <w:rFonts w:hint="eastAsia" w:ascii="仿宋_GB2312" w:eastAsia="仿宋_GB2312" w:cs="仿宋_GB2312"/>
          <w:b/>
          <w:bCs/>
          <w:sz w:val="32"/>
          <w:szCs w:val="32"/>
        </w:rPr>
        <w:t>二、评价工作开展情况</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根据《财政厅关于开展2021年部门、政策和项目支出绩效评价工作的通知》（川财绩〔2021〕6号），按照设定的绩效评价指标体系，对项目决策、项目管理、项目产出、项目效益单独或综合运用是否评分法、分级评分法、比率分值法、错项评分法、满意值赋分法等，对项目绩效目标与实施结果对比，在合理量化绩效目标实现程度的基础上，对各项指标逐项评分，汇总得出评价综合结果。</w:t>
      </w:r>
    </w:p>
    <w:p>
      <w:pPr>
        <w:snapToGrid w:val="0"/>
        <w:spacing w:line="600" w:lineRule="exact"/>
        <w:ind w:firstLine="643" w:firstLineChars="200"/>
        <w:rPr>
          <w:rFonts w:hint="eastAsia" w:ascii="仿宋_GB2312" w:eastAsia="仿宋_GB2312" w:cs="仿宋_GB2312"/>
          <w:b/>
          <w:bCs/>
          <w:sz w:val="32"/>
          <w:szCs w:val="32"/>
        </w:rPr>
      </w:pPr>
      <w:r>
        <w:rPr>
          <w:rFonts w:hint="eastAsia" w:ascii="仿宋_GB2312" w:eastAsia="仿宋_GB2312" w:cs="仿宋_GB2312"/>
          <w:b/>
          <w:bCs/>
          <w:sz w:val="32"/>
          <w:szCs w:val="32"/>
        </w:rPr>
        <w:t>三、综合评价结论（附评分表）</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2020年度项目立项依据充分、绩效目标较为清晰、基本合理，绩效管理规范、审核程序严谨，绩效目标完成情况总体较好，在产出及效益方面基本达到了预期。项目适用分值100分，评价得分为95.25分。见下表：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4"/>
        <w:gridCol w:w="697"/>
        <w:gridCol w:w="1294"/>
        <w:gridCol w:w="456"/>
        <w:gridCol w:w="934"/>
        <w:gridCol w:w="518"/>
        <w:gridCol w:w="3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bCs/>
                <w:color w:val="000000"/>
                <w:kern w:val="0"/>
                <w:sz w:val="24"/>
                <w:szCs w:val="24"/>
              </w:rPr>
            </w:pPr>
            <w:r>
              <w:rPr>
                <w:rFonts w:hint="eastAsia" w:ascii="仿宋_GB2312" w:hAnsi="仿宋_GB2312" w:cs="宋体"/>
                <w:b/>
                <w:bCs/>
                <w:color w:val="000000"/>
                <w:kern w:val="0"/>
                <w:sz w:val="24"/>
                <w:szCs w:val="24"/>
              </w:rPr>
              <w:t>一级指标</w:t>
            </w:r>
          </w:p>
        </w:tc>
        <w:tc>
          <w:tcPr>
            <w:tcW w:w="66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bCs/>
                <w:color w:val="000000"/>
                <w:kern w:val="0"/>
                <w:sz w:val="24"/>
                <w:szCs w:val="24"/>
              </w:rPr>
            </w:pPr>
            <w:r>
              <w:rPr>
                <w:rFonts w:hint="eastAsia" w:ascii="仿宋_GB2312" w:hAnsi="仿宋_GB2312" w:cs="宋体"/>
                <w:b/>
                <w:bCs/>
                <w:color w:val="000000"/>
                <w:kern w:val="0"/>
                <w:sz w:val="24"/>
                <w:szCs w:val="24"/>
              </w:rPr>
              <w:t>二级指标</w:t>
            </w:r>
          </w:p>
        </w:tc>
        <w:tc>
          <w:tcPr>
            <w:tcW w:w="104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bCs/>
                <w:color w:val="000000"/>
                <w:kern w:val="0"/>
                <w:sz w:val="24"/>
                <w:szCs w:val="24"/>
              </w:rPr>
            </w:pPr>
            <w:r>
              <w:rPr>
                <w:rFonts w:hint="eastAsia" w:ascii="仿宋_GB2312" w:hAnsi="仿宋_GB2312" w:cs="宋体"/>
                <w:b/>
                <w:bCs/>
                <w:color w:val="000000"/>
                <w:kern w:val="0"/>
                <w:sz w:val="24"/>
                <w:szCs w:val="24"/>
              </w:rPr>
              <w:t>三级指标</w:t>
            </w:r>
          </w:p>
        </w:tc>
        <w:tc>
          <w:tcPr>
            <w:tcW w:w="41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bCs/>
                <w:color w:val="000000"/>
                <w:kern w:val="0"/>
                <w:sz w:val="24"/>
                <w:szCs w:val="24"/>
              </w:rPr>
            </w:pPr>
            <w:r>
              <w:rPr>
                <w:rFonts w:hint="eastAsia" w:ascii="仿宋_GB2312" w:hAnsi="仿宋_GB2312" w:cs="宋体"/>
                <w:b/>
                <w:bCs/>
                <w:color w:val="000000"/>
                <w:kern w:val="0"/>
                <w:sz w:val="24"/>
                <w:szCs w:val="24"/>
              </w:rPr>
              <w:t>分值</w:t>
            </w:r>
          </w:p>
        </w:tc>
        <w:tc>
          <w:tcPr>
            <w:tcW w:w="631"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bCs/>
                <w:color w:val="000000"/>
                <w:kern w:val="0"/>
                <w:sz w:val="24"/>
                <w:szCs w:val="24"/>
              </w:rPr>
            </w:pPr>
            <w:r>
              <w:rPr>
                <w:rFonts w:hint="eastAsia" w:ascii="仿宋_GB2312" w:hAnsi="仿宋_GB2312" w:cs="宋体"/>
                <w:b/>
                <w:bCs/>
                <w:color w:val="000000"/>
                <w:kern w:val="0"/>
                <w:sz w:val="24"/>
                <w:szCs w:val="24"/>
              </w:rPr>
              <w:t>评分方法</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bCs/>
                <w:color w:val="000000"/>
                <w:kern w:val="0"/>
                <w:sz w:val="24"/>
                <w:szCs w:val="24"/>
              </w:rPr>
            </w:pPr>
            <w:r>
              <w:rPr>
                <w:rFonts w:hint="eastAsia" w:ascii="仿宋_GB2312" w:hAnsi="仿宋_GB2312" w:cs="宋体"/>
                <w:b/>
                <w:bCs/>
                <w:color w:val="000000"/>
                <w:kern w:val="0"/>
                <w:sz w:val="24"/>
                <w:szCs w:val="24"/>
              </w:rPr>
              <w:t>得分</w:t>
            </w:r>
          </w:p>
        </w:tc>
        <w:tc>
          <w:tcPr>
            <w:tcW w:w="125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bCs/>
                <w:color w:val="000000"/>
                <w:kern w:val="0"/>
                <w:sz w:val="24"/>
                <w:szCs w:val="24"/>
              </w:rPr>
            </w:pPr>
            <w:r>
              <w:rPr>
                <w:rFonts w:hint="eastAsia" w:ascii="仿宋_GB2312" w:hAnsi="仿宋_GB2312" w:cs="宋体"/>
                <w:b/>
                <w:bCs/>
                <w:color w:val="000000"/>
                <w:kern w:val="0"/>
                <w:sz w:val="24"/>
                <w:szCs w:val="24"/>
              </w:rPr>
              <w:t>扣分说明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9" w:type="pct"/>
            <w:vMerge w:val="continue"/>
            <w:tcBorders>
              <w:top w:val="single" w:color="auto" w:sz="4" w:space="0"/>
              <w:left w:val="single" w:color="auto" w:sz="4" w:space="0"/>
              <w:bottom w:val="single" w:color="auto" w:sz="4" w:space="0"/>
              <w:right w:val="single" w:color="auto" w:sz="4" w:space="0"/>
            </w:tcBorders>
            <w:noWrap/>
            <w:vAlign w:val="center"/>
          </w:tcPr>
          <w:p/>
        </w:tc>
        <w:tc>
          <w:tcPr>
            <w:tcW w:w="666" w:type="pct"/>
            <w:vMerge w:val="continue"/>
            <w:tcBorders>
              <w:top w:val="single" w:color="auto" w:sz="4" w:space="0"/>
              <w:left w:val="single" w:color="auto" w:sz="4" w:space="0"/>
              <w:bottom w:val="single" w:color="auto" w:sz="4" w:space="0"/>
              <w:right w:val="single" w:color="auto" w:sz="4" w:space="0"/>
            </w:tcBorders>
            <w:noWrap/>
            <w:vAlign w:val="center"/>
          </w:tcPr>
          <w:p/>
        </w:tc>
        <w:tc>
          <w:tcPr>
            <w:tcW w:w="1042" w:type="pct"/>
            <w:vMerge w:val="continue"/>
            <w:tcBorders>
              <w:top w:val="single" w:color="auto" w:sz="4" w:space="0"/>
              <w:left w:val="single" w:color="auto" w:sz="4" w:space="0"/>
              <w:bottom w:val="single" w:color="auto" w:sz="4" w:space="0"/>
              <w:right w:val="single" w:color="auto" w:sz="4" w:space="0"/>
            </w:tcBorders>
            <w:noWrap/>
            <w:vAlign w:val="center"/>
          </w:tcPr>
          <w:p/>
        </w:tc>
        <w:tc>
          <w:tcPr>
            <w:tcW w:w="412" w:type="pct"/>
            <w:vMerge w:val="continue"/>
            <w:tcBorders>
              <w:top w:val="single" w:color="auto" w:sz="4" w:space="0"/>
              <w:left w:val="single" w:color="auto" w:sz="4" w:space="0"/>
              <w:bottom w:val="single" w:color="auto" w:sz="4" w:space="0"/>
              <w:right w:val="single" w:color="auto" w:sz="4" w:space="0"/>
            </w:tcBorders>
            <w:noWrap/>
            <w:vAlign w:val="center"/>
          </w:tcPr>
          <w:p/>
        </w:tc>
        <w:tc>
          <w:tcPr>
            <w:tcW w:w="631" w:type="pct"/>
            <w:vMerge w:val="continue"/>
            <w:tcBorders>
              <w:top w:val="single" w:color="auto" w:sz="4" w:space="0"/>
              <w:left w:val="single" w:color="auto" w:sz="4" w:space="0"/>
              <w:bottom w:val="single" w:color="000000" w:sz="4" w:space="0"/>
              <w:right w:val="single" w:color="auto" w:sz="4" w:space="0"/>
            </w:tcBorders>
            <w:noWrap/>
            <w:vAlign w:val="center"/>
          </w:tcPr>
          <w:p/>
        </w:tc>
        <w:tc>
          <w:tcPr>
            <w:tcW w:w="429" w:type="pct"/>
            <w:vMerge w:val="continue"/>
            <w:tcBorders>
              <w:top w:val="single" w:color="auto" w:sz="4" w:space="0"/>
              <w:left w:val="single" w:color="auto" w:sz="4" w:space="0"/>
              <w:bottom w:val="single" w:color="auto" w:sz="4" w:space="0"/>
              <w:right w:val="single" w:color="auto" w:sz="4" w:space="0"/>
            </w:tcBorders>
            <w:noWrap/>
            <w:vAlign w:val="center"/>
          </w:tcPr>
          <w:p/>
        </w:tc>
        <w:tc>
          <w:tcPr>
            <w:tcW w:w="1251"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9" w:type="pct"/>
            <w:vMerge w:val="continue"/>
            <w:tcBorders>
              <w:top w:val="single" w:color="auto" w:sz="4" w:space="0"/>
              <w:left w:val="single" w:color="auto" w:sz="4" w:space="0"/>
              <w:bottom w:val="single" w:color="auto" w:sz="4" w:space="0"/>
              <w:right w:val="single" w:color="auto" w:sz="4" w:space="0"/>
            </w:tcBorders>
            <w:noWrap/>
            <w:vAlign w:val="center"/>
          </w:tcPr>
          <w:p/>
        </w:tc>
        <w:tc>
          <w:tcPr>
            <w:tcW w:w="666" w:type="pct"/>
            <w:vMerge w:val="continue"/>
            <w:tcBorders>
              <w:top w:val="single" w:color="auto" w:sz="4" w:space="0"/>
              <w:left w:val="single" w:color="auto" w:sz="4" w:space="0"/>
              <w:bottom w:val="single" w:color="auto" w:sz="4" w:space="0"/>
              <w:right w:val="single" w:color="auto" w:sz="4" w:space="0"/>
            </w:tcBorders>
            <w:noWrap/>
            <w:vAlign w:val="center"/>
          </w:tcPr>
          <w:p/>
        </w:tc>
        <w:tc>
          <w:tcPr>
            <w:tcW w:w="1042" w:type="pct"/>
            <w:vMerge w:val="continue"/>
            <w:tcBorders>
              <w:top w:val="single" w:color="auto" w:sz="4" w:space="0"/>
              <w:left w:val="single" w:color="auto" w:sz="4" w:space="0"/>
              <w:bottom w:val="single" w:color="auto" w:sz="4" w:space="0"/>
              <w:right w:val="single" w:color="auto" w:sz="4" w:space="0"/>
            </w:tcBorders>
            <w:noWrap/>
            <w:vAlign w:val="center"/>
          </w:tcPr>
          <w:p/>
        </w:tc>
        <w:tc>
          <w:tcPr>
            <w:tcW w:w="412" w:type="pct"/>
            <w:vMerge w:val="continue"/>
            <w:tcBorders>
              <w:top w:val="single" w:color="auto" w:sz="4" w:space="0"/>
              <w:left w:val="single" w:color="auto" w:sz="4" w:space="0"/>
              <w:bottom w:val="single" w:color="auto" w:sz="4" w:space="0"/>
              <w:right w:val="single" w:color="auto" w:sz="4" w:space="0"/>
            </w:tcBorders>
            <w:noWrap/>
            <w:vAlign w:val="center"/>
          </w:tcPr>
          <w:p/>
        </w:tc>
        <w:tc>
          <w:tcPr>
            <w:tcW w:w="631" w:type="pct"/>
            <w:vMerge w:val="continue"/>
            <w:tcBorders>
              <w:top w:val="single" w:color="auto" w:sz="4" w:space="0"/>
              <w:left w:val="single" w:color="auto" w:sz="4" w:space="0"/>
              <w:bottom w:val="single" w:color="000000" w:sz="4" w:space="0"/>
              <w:right w:val="single" w:color="auto" w:sz="4" w:space="0"/>
            </w:tcBorders>
            <w:noWrap/>
            <w:vAlign w:val="center"/>
          </w:tcPr>
          <w:p/>
        </w:tc>
        <w:tc>
          <w:tcPr>
            <w:tcW w:w="429" w:type="pct"/>
            <w:vMerge w:val="continue"/>
            <w:tcBorders>
              <w:top w:val="single" w:color="auto" w:sz="4" w:space="0"/>
              <w:left w:val="single" w:color="auto" w:sz="4" w:space="0"/>
              <w:bottom w:val="single" w:color="auto" w:sz="4" w:space="0"/>
              <w:right w:val="single" w:color="auto" w:sz="4" w:space="0"/>
            </w:tcBorders>
            <w:noWrap/>
            <w:vAlign w:val="center"/>
          </w:tcPr>
          <w:p/>
        </w:tc>
        <w:tc>
          <w:tcPr>
            <w:tcW w:w="1251"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项目决策（15分）</w:t>
            </w:r>
          </w:p>
        </w:tc>
        <w:tc>
          <w:tcPr>
            <w:tcW w:w="6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项目立项</w:t>
            </w: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立项依据充分性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kern w:val="0"/>
                <w:sz w:val="22"/>
                <w:szCs w:val="22"/>
              </w:rPr>
            </w:pPr>
            <w:r>
              <w:rPr>
                <w:rFonts w:hint="eastAsia" w:ascii="仿宋_GB2312" w:hAnsi="仿宋_GB2312" w:cs="宋体"/>
                <w:kern w:val="0"/>
                <w:sz w:val="22"/>
                <w:szCs w:val="22"/>
              </w:rPr>
              <w:t>分级评分法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3.00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立项程序规范性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kern w:val="0"/>
                <w:sz w:val="22"/>
                <w:szCs w:val="22"/>
              </w:rPr>
            </w:pPr>
            <w:r>
              <w:rPr>
                <w:rFonts w:hint="eastAsia" w:ascii="仿宋_GB2312" w:hAnsi="仿宋_GB2312" w:cs="宋体"/>
                <w:kern w:val="0"/>
                <w:sz w:val="22"/>
                <w:szCs w:val="22"/>
              </w:rPr>
              <w:t>分级评分法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2.00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绩效目标</w:t>
            </w: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绩效目标合理性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错项评分法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3.00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绩效指标明确性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错项评分法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ascii="仿宋_GB2312" w:hAnsi="仿宋_GB2312" w:cs="宋体"/>
                <w:color w:val="000000"/>
                <w:kern w:val="0"/>
                <w:sz w:val="24"/>
                <w:szCs w:val="24"/>
              </w:rPr>
              <w:t>1.5</w:t>
            </w:r>
            <w:r>
              <w:rPr>
                <w:rFonts w:hint="eastAsia" w:ascii="仿宋_GB2312" w:hAnsi="仿宋_GB2312" w:cs="宋体"/>
                <w:color w:val="000000"/>
                <w:kern w:val="0"/>
                <w:sz w:val="24"/>
                <w:szCs w:val="24"/>
              </w:rPr>
              <w:t xml:space="preserve">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项目效益预期目标未量化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资金投入</w:t>
            </w: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预算编制科学性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错项评分法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3.00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资金分配合理性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2</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kern w:val="0"/>
                <w:sz w:val="22"/>
                <w:szCs w:val="22"/>
              </w:rPr>
            </w:pPr>
            <w:r>
              <w:rPr>
                <w:rFonts w:hint="eastAsia" w:ascii="仿宋_GB2312" w:hAnsi="仿宋_GB2312" w:cs="宋体"/>
                <w:kern w:val="0"/>
                <w:sz w:val="22"/>
                <w:szCs w:val="22"/>
              </w:rPr>
              <w:t>是否评分法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2.00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56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项目管理（15分）</w:t>
            </w:r>
          </w:p>
        </w:tc>
        <w:tc>
          <w:tcPr>
            <w:tcW w:w="6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资金管理</w:t>
            </w: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资金到位率</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比率分值法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3.00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预算执行率</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比率分值法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2.29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截止2020年12月31日，项目使用资金占项目总预算7</w:t>
            </w:r>
            <w:r>
              <w:rPr>
                <w:rFonts w:ascii="仿宋_GB2312" w:hAnsi="仿宋_GB2312" w:cs="宋体"/>
                <w:color w:val="000000"/>
                <w:kern w:val="0"/>
                <w:sz w:val="24"/>
                <w:szCs w:val="24"/>
              </w:rPr>
              <w:t>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资金使用合规性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错项评分法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3.00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组织实施</w:t>
            </w: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管理制度健全性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错项评分法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3.00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制度执行有效性</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3</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错项评分法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3.00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项目产出（40分）</w:t>
            </w:r>
          </w:p>
        </w:tc>
        <w:tc>
          <w:tcPr>
            <w:tcW w:w="6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产出数量</w:t>
            </w:r>
          </w:p>
        </w:tc>
        <w:tc>
          <w:tcPr>
            <w:tcW w:w="104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实际完成率</w:t>
            </w:r>
          </w:p>
        </w:tc>
        <w:tc>
          <w:tcPr>
            <w:tcW w:w="41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10</w:t>
            </w:r>
          </w:p>
        </w:tc>
        <w:tc>
          <w:tcPr>
            <w:tcW w:w="63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比率分值法</w:t>
            </w:r>
          </w:p>
        </w:tc>
        <w:tc>
          <w:tcPr>
            <w:tcW w:w="42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10.00 </w:t>
            </w:r>
          </w:p>
        </w:tc>
        <w:tc>
          <w:tcPr>
            <w:tcW w:w="125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vMerge w:val="continue"/>
            <w:tcBorders>
              <w:top w:val="nil"/>
              <w:left w:val="single" w:color="auto" w:sz="4" w:space="0"/>
              <w:bottom w:val="single" w:color="auto" w:sz="4" w:space="0"/>
              <w:right w:val="single" w:color="auto" w:sz="4" w:space="0"/>
            </w:tcBorders>
            <w:noWrap/>
            <w:vAlign w:val="center"/>
          </w:tcPr>
          <w:p/>
        </w:tc>
        <w:tc>
          <w:tcPr>
            <w:tcW w:w="412" w:type="pct"/>
            <w:vMerge w:val="continue"/>
            <w:tcBorders>
              <w:top w:val="nil"/>
              <w:left w:val="single" w:color="auto" w:sz="4" w:space="0"/>
              <w:bottom w:val="single" w:color="auto" w:sz="4" w:space="0"/>
              <w:right w:val="single" w:color="auto" w:sz="4" w:space="0"/>
            </w:tcBorders>
            <w:noWrap/>
            <w:vAlign w:val="center"/>
          </w:tcPr>
          <w:p/>
        </w:tc>
        <w:tc>
          <w:tcPr>
            <w:tcW w:w="631" w:type="pct"/>
            <w:vMerge w:val="continue"/>
            <w:tcBorders>
              <w:top w:val="nil"/>
              <w:left w:val="single" w:color="auto" w:sz="4" w:space="0"/>
              <w:bottom w:val="single" w:color="auto" w:sz="4" w:space="0"/>
              <w:right w:val="single" w:color="auto" w:sz="4" w:space="0"/>
            </w:tcBorders>
            <w:noWrap/>
            <w:vAlign w:val="center"/>
          </w:tcPr>
          <w:p/>
        </w:tc>
        <w:tc>
          <w:tcPr>
            <w:tcW w:w="429" w:type="pct"/>
            <w:vMerge w:val="continue"/>
            <w:tcBorders>
              <w:top w:val="nil"/>
              <w:left w:val="single" w:color="auto" w:sz="4" w:space="0"/>
              <w:bottom w:val="single" w:color="auto" w:sz="4" w:space="0"/>
              <w:right w:val="single" w:color="auto" w:sz="4" w:space="0"/>
            </w:tcBorders>
            <w:noWrap/>
            <w:vAlign w:val="center"/>
          </w:tcPr>
          <w:p/>
        </w:tc>
        <w:tc>
          <w:tcPr>
            <w:tcW w:w="1251" w:type="pct"/>
            <w:vMerge w:val="continue"/>
            <w:tcBorders>
              <w:top w:val="nil"/>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vMerge w:val="continue"/>
            <w:tcBorders>
              <w:top w:val="nil"/>
              <w:left w:val="single" w:color="auto" w:sz="4" w:space="0"/>
              <w:bottom w:val="single" w:color="auto" w:sz="4" w:space="0"/>
              <w:right w:val="single" w:color="auto" w:sz="4" w:space="0"/>
            </w:tcBorders>
            <w:noWrap/>
            <w:vAlign w:val="center"/>
          </w:tcPr>
          <w:p/>
        </w:tc>
        <w:tc>
          <w:tcPr>
            <w:tcW w:w="412" w:type="pct"/>
            <w:vMerge w:val="continue"/>
            <w:tcBorders>
              <w:top w:val="nil"/>
              <w:left w:val="single" w:color="auto" w:sz="4" w:space="0"/>
              <w:bottom w:val="single" w:color="auto" w:sz="4" w:space="0"/>
              <w:right w:val="single" w:color="auto" w:sz="4" w:space="0"/>
            </w:tcBorders>
            <w:noWrap/>
            <w:vAlign w:val="center"/>
          </w:tcPr>
          <w:p/>
        </w:tc>
        <w:tc>
          <w:tcPr>
            <w:tcW w:w="631" w:type="pct"/>
            <w:vMerge w:val="continue"/>
            <w:tcBorders>
              <w:top w:val="nil"/>
              <w:left w:val="single" w:color="auto" w:sz="4" w:space="0"/>
              <w:bottom w:val="single" w:color="auto" w:sz="4" w:space="0"/>
              <w:right w:val="single" w:color="auto" w:sz="4" w:space="0"/>
            </w:tcBorders>
            <w:noWrap/>
            <w:vAlign w:val="center"/>
          </w:tcPr>
          <w:p/>
        </w:tc>
        <w:tc>
          <w:tcPr>
            <w:tcW w:w="429" w:type="pct"/>
            <w:vMerge w:val="continue"/>
            <w:tcBorders>
              <w:top w:val="nil"/>
              <w:left w:val="single" w:color="auto" w:sz="4" w:space="0"/>
              <w:bottom w:val="single" w:color="auto" w:sz="4" w:space="0"/>
              <w:right w:val="single" w:color="auto" w:sz="4" w:space="0"/>
            </w:tcBorders>
            <w:noWrap/>
            <w:vAlign w:val="center"/>
          </w:tcPr>
          <w:p/>
        </w:tc>
        <w:tc>
          <w:tcPr>
            <w:tcW w:w="1251" w:type="pct"/>
            <w:vMerge w:val="continue"/>
            <w:tcBorders>
              <w:top w:val="nil"/>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tcBorders>
              <w:top w:val="nil"/>
              <w:left w:val="nil"/>
              <w:bottom w:val="nil"/>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产出质量</w:t>
            </w:r>
          </w:p>
        </w:tc>
        <w:tc>
          <w:tcPr>
            <w:tcW w:w="1042" w:type="pct"/>
            <w:tcBorders>
              <w:top w:val="nil"/>
              <w:left w:val="nil"/>
              <w:bottom w:val="nil"/>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质量达标率</w:t>
            </w:r>
          </w:p>
        </w:tc>
        <w:tc>
          <w:tcPr>
            <w:tcW w:w="412" w:type="pct"/>
            <w:tcBorders>
              <w:top w:val="nil"/>
              <w:left w:val="nil"/>
              <w:bottom w:val="nil"/>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10</w:t>
            </w:r>
          </w:p>
        </w:tc>
        <w:tc>
          <w:tcPr>
            <w:tcW w:w="631" w:type="pct"/>
            <w:tcBorders>
              <w:top w:val="nil"/>
              <w:left w:val="nil"/>
              <w:bottom w:val="nil"/>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比率分值法</w:t>
            </w:r>
          </w:p>
        </w:tc>
        <w:tc>
          <w:tcPr>
            <w:tcW w:w="429" w:type="pct"/>
            <w:tcBorders>
              <w:top w:val="nil"/>
              <w:left w:val="nil"/>
              <w:bottom w:val="nil"/>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10.00 </w:t>
            </w:r>
          </w:p>
        </w:tc>
        <w:tc>
          <w:tcPr>
            <w:tcW w:w="1251" w:type="pct"/>
            <w:tcBorders>
              <w:top w:val="nil"/>
              <w:left w:val="nil"/>
              <w:bottom w:val="nil"/>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产出时效</w:t>
            </w:r>
          </w:p>
        </w:tc>
        <w:tc>
          <w:tcPr>
            <w:tcW w:w="104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完成及时性</w:t>
            </w:r>
          </w:p>
        </w:tc>
        <w:tc>
          <w:tcPr>
            <w:tcW w:w="41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10</w:t>
            </w:r>
          </w:p>
        </w:tc>
        <w:tc>
          <w:tcPr>
            <w:tcW w:w="63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比率分值法</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10.00 </w:t>
            </w:r>
          </w:p>
        </w:tc>
        <w:tc>
          <w:tcPr>
            <w:tcW w:w="125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single" w:color="auto" w:sz="4" w:space="0"/>
              <w:left w:val="single" w:color="auto" w:sz="4" w:space="0"/>
              <w:bottom w:val="single" w:color="auto" w:sz="4" w:space="0"/>
              <w:right w:val="single" w:color="auto" w:sz="4" w:space="0"/>
            </w:tcBorders>
            <w:noWrap/>
            <w:vAlign w:val="center"/>
          </w:tcPr>
          <w:p/>
        </w:tc>
        <w:tc>
          <w:tcPr>
            <w:tcW w:w="1042" w:type="pct"/>
            <w:vMerge w:val="continue"/>
            <w:tcBorders>
              <w:top w:val="single" w:color="auto" w:sz="4" w:space="0"/>
              <w:left w:val="single" w:color="auto" w:sz="4" w:space="0"/>
              <w:bottom w:val="single" w:color="auto" w:sz="4" w:space="0"/>
              <w:right w:val="single" w:color="auto" w:sz="4" w:space="0"/>
            </w:tcBorders>
            <w:noWrap/>
            <w:vAlign w:val="center"/>
          </w:tcPr>
          <w:p/>
        </w:tc>
        <w:tc>
          <w:tcPr>
            <w:tcW w:w="412" w:type="pct"/>
            <w:vMerge w:val="continue"/>
            <w:tcBorders>
              <w:top w:val="single" w:color="auto" w:sz="4" w:space="0"/>
              <w:left w:val="single" w:color="auto" w:sz="4" w:space="0"/>
              <w:bottom w:val="single" w:color="auto" w:sz="4" w:space="0"/>
              <w:right w:val="single" w:color="auto" w:sz="4" w:space="0"/>
            </w:tcBorders>
            <w:noWrap/>
            <w:vAlign w:val="center"/>
          </w:tcPr>
          <w:p/>
        </w:tc>
        <w:tc>
          <w:tcPr>
            <w:tcW w:w="631" w:type="pct"/>
            <w:vMerge w:val="continue"/>
            <w:tcBorders>
              <w:top w:val="single" w:color="auto" w:sz="4" w:space="0"/>
              <w:left w:val="single" w:color="auto" w:sz="4" w:space="0"/>
              <w:bottom w:val="single" w:color="auto" w:sz="4" w:space="0"/>
              <w:right w:val="single" w:color="auto" w:sz="4" w:space="0"/>
            </w:tcBorders>
            <w:noWrap/>
            <w:vAlign w:val="center"/>
          </w:tcPr>
          <w:p/>
        </w:tc>
        <w:tc>
          <w:tcPr>
            <w:tcW w:w="429" w:type="pct"/>
            <w:vMerge w:val="continue"/>
            <w:tcBorders>
              <w:top w:val="single" w:color="auto" w:sz="4" w:space="0"/>
              <w:left w:val="single" w:color="auto" w:sz="4" w:space="0"/>
              <w:bottom w:val="single" w:color="auto" w:sz="4" w:space="0"/>
              <w:right w:val="single" w:color="auto" w:sz="4" w:space="0"/>
            </w:tcBorders>
            <w:noWrap/>
            <w:vAlign w:val="center"/>
          </w:tcPr>
          <w:p/>
        </w:tc>
        <w:tc>
          <w:tcPr>
            <w:tcW w:w="1251" w:type="pct"/>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产出成本</w:t>
            </w:r>
          </w:p>
        </w:tc>
        <w:tc>
          <w:tcPr>
            <w:tcW w:w="104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成本节约率</w:t>
            </w:r>
          </w:p>
        </w:tc>
        <w:tc>
          <w:tcPr>
            <w:tcW w:w="412"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10</w:t>
            </w:r>
          </w:p>
        </w:tc>
        <w:tc>
          <w:tcPr>
            <w:tcW w:w="63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比率分值法</w:t>
            </w:r>
          </w:p>
        </w:tc>
        <w:tc>
          <w:tcPr>
            <w:tcW w:w="42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 xml:space="preserve">10.00 </w:t>
            </w:r>
          </w:p>
        </w:tc>
        <w:tc>
          <w:tcPr>
            <w:tcW w:w="1251"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vMerge w:val="continue"/>
            <w:tcBorders>
              <w:top w:val="nil"/>
              <w:left w:val="single" w:color="auto" w:sz="4" w:space="0"/>
              <w:bottom w:val="single" w:color="auto" w:sz="4" w:space="0"/>
              <w:right w:val="single" w:color="auto" w:sz="4" w:space="0"/>
            </w:tcBorders>
            <w:noWrap/>
            <w:vAlign w:val="center"/>
          </w:tcPr>
          <w:p/>
        </w:tc>
        <w:tc>
          <w:tcPr>
            <w:tcW w:w="412" w:type="pct"/>
            <w:vMerge w:val="continue"/>
            <w:tcBorders>
              <w:top w:val="nil"/>
              <w:left w:val="single" w:color="auto" w:sz="4" w:space="0"/>
              <w:bottom w:val="single" w:color="auto" w:sz="4" w:space="0"/>
              <w:right w:val="single" w:color="auto" w:sz="4" w:space="0"/>
            </w:tcBorders>
            <w:noWrap/>
            <w:vAlign w:val="center"/>
          </w:tcPr>
          <w:p/>
        </w:tc>
        <w:tc>
          <w:tcPr>
            <w:tcW w:w="631" w:type="pct"/>
            <w:vMerge w:val="continue"/>
            <w:tcBorders>
              <w:top w:val="nil"/>
              <w:left w:val="single" w:color="auto" w:sz="4" w:space="0"/>
              <w:bottom w:val="single" w:color="auto" w:sz="4" w:space="0"/>
              <w:right w:val="single" w:color="auto" w:sz="4" w:space="0"/>
            </w:tcBorders>
            <w:noWrap/>
            <w:vAlign w:val="center"/>
          </w:tcPr>
          <w:p/>
        </w:tc>
        <w:tc>
          <w:tcPr>
            <w:tcW w:w="429" w:type="pct"/>
            <w:vMerge w:val="continue"/>
            <w:tcBorders>
              <w:top w:val="nil"/>
              <w:left w:val="single" w:color="auto" w:sz="4" w:space="0"/>
              <w:bottom w:val="single" w:color="auto" w:sz="4" w:space="0"/>
              <w:right w:val="single" w:color="auto" w:sz="4" w:space="0"/>
            </w:tcBorders>
            <w:noWrap/>
            <w:vAlign w:val="center"/>
          </w:tcPr>
          <w:p/>
        </w:tc>
        <w:tc>
          <w:tcPr>
            <w:tcW w:w="1251" w:type="pct"/>
            <w:vMerge w:val="continue"/>
            <w:tcBorders>
              <w:top w:val="nil"/>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vMerge w:val="continue"/>
            <w:tcBorders>
              <w:top w:val="nil"/>
              <w:left w:val="single" w:color="auto" w:sz="4" w:space="0"/>
              <w:bottom w:val="single" w:color="auto" w:sz="4" w:space="0"/>
              <w:right w:val="single" w:color="auto" w:sz="4" w:space="0"/>
            </w:tcBorders>
            <w:noWrap/>
            <w:vAlign w:val="center"/>
          </w:tcPr>
          <w:p/>
        </w:tc>
        <w:tc>
          <w:tcPr>
            <w:tcW w:w="412" w:type="pct"/>
            <w:vMerge w:val="continue"/>
            <w:tcBorders>
              <w:top w:val="nil"/>
              <w:left w:val="single" w:color="auto" w:sz="4" w:space="0"/>
              <w:bottom w:val="single" w:color="auto" w:sz="4" w:space="0"/>
              <w:right w:val="single" w:color="auto" w:sz="4" w:space="0"/>
            </w:tcBorders>
            <w:noWrap/>
            <w:vAlign w:val="center"/>
          </w:tcPr>
          <w:p/>
        </w:tc>
        <w:tc>
          <w:tcPr>
            <w:tcW w:w="631" w:type="pct"/>
            <w:vMerge w:val="continue"/>
            <w:tcBorders>
              <w:top w:val="nil"/>
              <w:left w:val="single" w:color="auto" w:sz="4" w:space="0"/>
              <w:bottom w:val="single" w:color="auto" w:sz="4" w:space="0"/>
              <w:right w:val="single" w:color="auto" w:sz="4" w:space="0"/>
            </w:tcBorders>
            <w:noWrap/>
            <w:vAlign w:val="center"/>
          </w:tcPr>
          <w:p/>
        </w:tc>
        <w:tc>
          <w:tcPr>
            <w:tcW w:w="429" w:type="pct"/>
            <w:vMerge w:val="continue"/>
            <w:tcBorders>
              <w:top w:val="nil"/>
              <w:left w:val="single" w:color="auto" w:sz="4" w:space="0"/>
              <w:bottom w:val="single" w:color="auto" w:sz="4" w:space="0"/>
              <w:right w:val="single" w:color="auto" w:sz="4" w:space="0"/>
            </w:tcBorders>
            <w:noWrap/>
            <w:vAlign w:val="center"/>
          </w:tcPr>
          <w:p/>
        </w:tc>
        <w:tc>
          <w:tcPr>
            <w:tcW w:w="1251" w:type="pct"/>
            <w:vMerge w:val="continue"/>
            <w:tcBorders>
              <w:top w:val="nil"/>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69" w:type="pct"/>
            <w:vMerge w:val="continue"/>
            <w:tcBorders>
              <w:top w:val="nil"/>
              <w:left w:val="single" w:color="auto" w:sz="4" w:space="0"/>
              <w:bottom w:val="single" w:color="auto" w:sz="4" w:space="0"/>
              <w:right w:val="single" w:color="auto" w:sz="4" w:space="0"/>
            </w:tcBorders>
            <w:noWrap/>
            <w:vAlign w:val="center"/>
          </w:tcPr>
          <w:p/>
        </w:tc>
        <w:tc>
          <w:tcPr>
            <w:tcW w:w="666" w:type="pct"/>
            <w:vMerge w:val="continue"/>
            <w:tcBorders>
              <w:top w:val="nil"/>
              <w:left w:val="single" w:color="auto" w:sz="4" w:space="0"/>
              <w:bottom w:val="single" w:color="auto" w:sz="4" w:space="0"/>
              <w:right w:val="single" w:color="auto" w:sz="4" w:space="0"/>
            </w:tcBorders>
            <w:noWrap/>
            <w:vAlign w:val="center"/>
          </w:tcPr>
          <w:p/>
        </w:tc>
        <w:tc>
          <w:tcPr>
            <w:tcW w:w="1042" w:type="pct"/>
            <w:vMerge w:val="continue"/>
            <w:tcBorders>
              <w:top w:val="nil"/>
              <w:left w:val="single" w:color="auto" w:sz="4" w:space="0"/>
              <w:bottom w:val="single" w:color="auto" w:sz="4" w:space="0"/>
              <w:right w:val="single" w:color="auto" w:sz="4" w:space="0"/>
            </w:tcBorders>
            <w:noWrap/>
            <w:vAlign w:val="center"/>
          </w:tcPr>
          <w:p/>
        </w:tc>
        <w:tc>
          <w:tcPr>
            <w:tcW w:w="412" w:type="pct"/>
            <w:vMerge w:val="continue"/>
            <w:tcBorders>
              <w:top w:val="nil"/>
              <w:left w:val="single" w:color="auto" w:sz="4" w:space="0"/>
              <w:bottom w:val="single" w:color="auto" w:sz="4" w:space="0"/>
              <w:right w:val="single" w:color="auto" w:sz="4" w:space="0"/>
            </w:tcBorders>
            <w:noWrap/>
            <w:vAlign w:val="center"/>
          </w:tcPr>
          <w:p/>
        </w:tc>
        <w:tc>
          <w:tcPr>
            <w:tcW w:w="631" w:type="pct"/>
            <w:vMerge w:val="continue"/>
            <w:tcBorders>
              <w:top w:val="nil"/>
              <w:left w:val="single" w:color="auto" w:sz="4" w:space="0"/>
              <w:bottom w:val="single" w:color="auto" w:sz="4" w:space="0"/>
              <w:right w:val="single" w:color="auto" w:sz="4" w:space="0"/>
            </w:tcBorders>
            <w:noWrap/>
            <w:vAlign w:val="center"/>
          </w:tcPr>
          <w:p/>
        </w:tc>
        <w:tc>
          <w:tcPr>
            <w:tcW w:w="429" w:type="pct"/>
            <w:vMerge w:val="continue"/>
            <w:tcBorders>
              <w:top w:val="nil"/>
              <w:left w:val="single" w:color="auto" w:sz="4" w:space="0"/>
              <w:bottom w:val="single" w:color="auto" w:sz="4" w:space="0"/>
              <w:right w:val="single" w:color="auto" w:sz="4" w:space="0"/>
            </w:tcBorders>
            <w:noWrap/>
            <w:vAlign w:val="center"/>
          </w:tcPr>
          <w:p/>
        </w:tc>
        <w:tc>
          <w:tcPr>
            <w:tcW w:w="1251" w:type="pct"/>
            <w:vMerge w:val="continue"/>
            <w:tcBorders>
              <w:top w:val="nil"/>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569"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项目效益（30分）</w:t>
            </w:r>
          </w:p>
        </w:tc>
        <w:tc>
          <w:tcPr>
            <w:tcW w:w="666"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项目效益</w:t>
            </w: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学校服务社会能力</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7</w:t>
            </w:r>
            <w:r>
              <w:rPr>
                <w:rFonts w:ascii="仿宋_GB2312" w:hAnsi="仿宋_GB2312" w:cs="宋体"/>
                <w:color w:val="000000"/>
                <w:kern w:val="0"/>
                <w:sz w:val="24"/>
                <w:szCs w:val="24"/>
              </w:rPr>
              <w:t>.5</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kern w:val="0"/>
                <w:sz w:val="24"/>
                <w:szCs w:val="24"/>
              </w:rPr>
            </w:pPr>
            <w:r>
              <w:rPr>
                <w:rFonts w:hint="eastAsia" w:ascii="仿宋_GB2312" w:hAnsi="仿宋_GB2312" w:cs="宋体"/>
                <w:kern w:val="0"/>
                <w:sz w:val="24"/>
                <w:szCs w:val="24"/>
              </w:rPr>
              <w:t>分级评分法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ascii="仿宋_GB2312" w:hAnsi="仿宋_GB2312" w:cs="宋体"/>
                <w:color w:val="000000"/>
                <w:kern w:val="0"/>
                <w:sz w:val="24"/>
                <w:szCs w:val="24"/>
              </w:rPr>
            </w:pPr>
            <w:r>
              <w:rPr>
                <w:rFonts w:ascii="仿宋_GB2312" w:hAnsi="仿宋_GB2312" w:cs="宋体"/>
                <w:color w:val="000000"/>
                <w:kern w:val="0"/>
                <w:sz w:val="24"/>
                <w:szCs w:val="24"/>
              </w:rPr>
              <w:t>6.00</w:t>
            </w:r>
            <w:r>
              <w:rPr>
                <w:rFonts w:hint="eastAsia" w:ascii="仿宋_GB2312" w:hAnsi="仿宋_GB2312" w:cs="宋体"/>
                <w:color w:val="000000"/>
                <w:kern w:val="0"/>
                <w:sz w:val="24"/>
                <w:szCs w:val="24"/>
              </w:rPr>
              <w:t xml:space="preserve">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仿宋_GB2312" w:cs="宋体"/>
                <w:color w:val="000000"/>
                <w:kern w:val="0"/>
                <w:sz w:val="24"/>
                <w:szCs w:val="24"/>
              </w:rPr>
            </w:pPr>
            <w:r>
              <w:rPr>
                <w:rFonts w:hint="eastAsia" w:ascii="仿宋_GB2312" w:hAnsi="仿宋_GB2312" w:cs="宋体"/>
                <w:color w:val="000000"/>
                <w:kern w:val="0"/>
                <w:sz w:val="24"/>
                <w:szCs w:val="24"/>
              </w:rPr>
              <w:t>项目效果基本达</w:t>
            </w:r>
          </w:p>
          <w:p>
            <w:pPr>
              <w:widowControl/>
              <w:adjustRightInd w:val="0"/>
              <w:snapToGrid w:val="0"/>
              <w:jc w:val="left"/>
              <w:rPr>
                <w:rFonts w:ascii="仿宋_GB2312" w:hAnsi="仿宋_GB2312" w:cs="宋体"/>
                <w:color w:val="000000"/>
                <w:kern w:val="0"/>
                <w:sz w:val="24"/>
                <w:szCs w:val="24"/>
              </w:rPr>
            </w:pPr>
            <w:r>
              <w:rPr>
                <w:rFonts w:hint="eastAsia" w:ascii="仿宋_GB2312" w:hAnsi="仿宋_GB2312" w:cs="宋体"/>
                <w:color w:val="000000"/>
                <w:kern w:val="0"/>
                <w:sz w:val="24"/>
                <w:szCs w:val="24"/>
              </w:rPr>
              <w:t>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69" w:type="pct"/>
            <w:vMerge w:val="continue"/>
            <w:tcBorders>
              <w:top w:val="nil"/>
              <w:left w:val="single" w:color="auto" w:sz="4" w:space="0"/>
              <w:bottom w:val="single" w:color="000000" w:sz="4" w:space="0"/>
              <w:right w:val="single" w:color="auto" w:sz="4" w:space="0"/>
            </w:tcBorders>
            <w:noWrap/>
            <w:vAlign w:val="center"/>
          </w:tcPr>
          <w:p/>
        </w:tc>
        <w:tc>
          <w:tcPr>
            <w:tcW w:w="666" w:type="pct"/>
            <w:vMerge w:val="continue"/>
            <w:tcBorders>
              <w:top w:val="nil"/>
              <w:left w:val="single" w:color="auto" w:sz="4" w:space="0"/>
              <w:bottom w:val="single" w:color="000000"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学院基本办学条件</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7</w:t>
            </w:r>
            <w:r>
              <w:rPr>
                <w:rFonts w:ascii="仿宋_GB2312" w:hAnsi="仿宋_GB2312" w:cs="宋体"/>
                <w:color w:val="000000"/>
                <w:kern w:val="0"/>
                <w:sz w:val="24"/>
                <w:szCs w:val="24"/>
              </w:rPr>
              <w:t>.5</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kern w:val="0"/>
                <w:sz w:val="24"/>
                <w:szCs w:val="24"/>
              </w:rPr>
            </w:pPr>
            <w:r>
              <w:rPr>
                <w:rFonts w:hint="eastAsia" w:ascii="仿宋_GB2312" w:hAnsi="仿宋_GB2312" w:cs="宋体"/>
                <w:kern w:val="0"/>
                <w:sz w:val="24"/>
                <w:szCs w:val="24"/>
              </w:rPr>
              <w:t>分级评分法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ascii="仿宋_GB2312" w:hAnsi="仿宋_GB2312" w:cs="宋体"/>
                <w:color w:val="000000"/>
                <w:kern w:val="0"/>
                <w:sz w:val="24"/>
                <w:szCs w:val="24"/>
              </w:rPr>
            </w:pPr>
            <w:r>
              <w:rPr>
                <w:rFonts w:ascii="仿宋_GB2312" w:hAnsi="仿宋_GB2312" w:cs="宋体"/>
                <w:color w:val="000000"/>
                <w:kern w:val="0"/>
                <w:sz w:val="24"/>
                <w:szCs w:val="24"/>
              </w:rPr>
              <w:t>6.00</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仿宋_GB2312" w:cs="宋体"/>
                <w:color w:val="000000"/>
                <w:kern w:val="0"/>
                <w:sz w:val="24"/>
                <w:szCs w:val="24"/>
              </w:rPr>
            </w:pPr>
            <w:r>
              <w:rPr>
                <w:rFonts w:hint="eastAsia" w:ascii="仿宋_GB2312" w:hAnsi="仿宋_GB2312" w:cs="宋体"/>
                <w:color w:val="000000"/>
                <w:kern w:val="0"/>
                <w:sz w:val="24"/>
                <w:szCs w:val="24"/>
              </w:rPr>
              <w:t>项目效果基本达</w:t>
            </w:r>
          </w:p>
          <w:p>
            <w:pPr>
              <w:widowControl/>
              <w:adjustRightInd w:val="0"/>
              <w:snapToGrid w:val="0"/>
              <w:jc w:val="left"/>
              <w:rPr>
                <w:rFonts w:ascii="仿宋_GB2312" w:hAnsi="仿宋_GB2312" w:cs="宋体"/>
                <w:color w:val="000000"/>
                <w:kern w:val="0"/>
                <w:sz w:val="24"/>
                <w:szCs w:val="24"/>
              </w:rPr>
            </w:pPr>
            <w:r>
              <w:rPr>
                <w:rFonts w:hint="eastAsia" w:ascii="仿宋_GB2312" w:hAnsi="仿宋_GB2312" w:cs="宋体"/>
                <w:color w:val="000000"/>
                <w:kern w:val="0"/>
                <w:sz w:val="24"/>
                <w:szCs w:val="24"/>
              </w:rPr>
              <w:t>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69" w:type="pct"/>
            <w:vMerge w:val="continue"/>
            <w:tcBorders>
              <w:top w:val="nil"/>
              <w:left w:val="single" w:color="auto" w:sz="4" w:space="0"/>
              <w:bottom w:val="single" w:color="000000" w:sz="4" w:space="0"/>
              <w:right w:val="single" w:color="auto" w:sz="4" w:space="0"/>
            </w:tcBorders>
            <w:noWrap/>
            <w:vAlign w:val="center"/>
          </w:tcPr>
          <w:p/>
        </w:tc>
        <w:tc>
          <w:tcPr>
            <w:tcW w:w="666" w:type="pct"/>
            <w:vMerge w:val="continue"/>
            <w:tcBorders>
              <w:top w:val="nil"/>
              <w:left w:val="single" w:color="auto" w:sz="4" w:space="0"/>
              <w:bottom w:val="single" w:color="000000"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标准化考场使用年限</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ascii="仿宋_GB2312" w:hAnsi="仿宋_GB2312" w:cs="宋体"/>
                <w:color w:val="000000"/>
                <w:kern w:val="0"/>
                <w:sz w:val="24"/>
                <w:szCs w:val="24"/>
              </w:rPr>
              <w:t>7.5</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kern w:val="0"/>
                <w:sz w:val="24"/>
                <w:szCs w:val="24"/>
              </w:rPr>
            </w:pPr>
            <w:r>
              <w:rPr>
                <w:rFonts w:hint="eastAsia" w:ascii="仿宋_GB2312" w:hAnsi="仿宋_GB2312" w:cs="宋体"/>
                <w:kern w:val="0"/>
                <w:sz w:val="24"/>
                <w:szCs w:val="24"/>
              </w:rPr>
              <w:t>是否评分法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ascii="仿宋_GB2312" w:hAnsi="仿宋_GB2312" w:cs="宋体"/>
                <w:color w:val="000000"/>
                <w:kern w:val="0"/>
                <w:sz w:val="24"/>
                <w:szCs w:val="24"/>
              </w:rPr>
            </w:pPr>
            <w:r>
              <w:rPr>
                <w:rFonts w:ascii="仿宋_GB2312" w:hAnsi="仿宋_GB2312" w:cs="宋体"/>
                <w:color w:val="000000"/>
                <w:kern w:val="0"/>
                <w:sz w:val="24"/>
                <w:szCs w:val="24"/>
              </w:rPr>
              <w:t>7.50</w:t>
            </w:r>
            <w:r>
              <w:rPr>
                <w:rFonts w:hint="eastAsia" w:ascii="仿宋_GB2312" w:hAnsi="仿宋_GB2312" w:cs="宋体"/>
                <w:color w:val="000000"/>
                <w:kern w:val="0"/>
                <w:sz w:val="24"/>
                <w:szCs w:val="24"/>
              </w:rPr>
              <w:t xml:space="preserve">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569" w:type="pct"/>
            <w:vMerge w:val="continue"/>
            <w:tcBorders>
              <w:top w:val="nil"/>
              <w:left w:val="single" w:color="auto" w:sz="4" w:space="0"/>
              <w:bottom w:val="single" w:color="000000" w:sz="4" w:space="0"/>
              <w:right w:val="single" w:color="auto" w:sz="4" w:space="0"/>
            </w:tcBorders>
            <w:noWrap/>
            <w:vAlign w:val="center"/>
          </w:tcPr>
          <w:p/>
        </w:tc>
        <w:tc>
          <w:tcPr>
            <w:tcW w:w="666" w:type="pct"/>
            <w:vMerge w:val="continue"/>
            <w:tcBorders>
              <w:top w:val="nil"/>
              <w:left w:val="single" w:color="auto" w:sz="4" w:space="0"/>
              <w:bottom w:val="single" w:color="000000" w:sz="4" w:space="0"/>
              <w:right w:val="single" w:color="auto" w:sz="4" w:space="0"/>
            </w:tcBorders>
            <w:noWrap/>
            <w:vAlign w:val="center"/>
          </w:tcPr>
          <w:p/>
        </w:tc>
        <w:tc>
          <w:tcPr>
            <w:tcW w:w="10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师生满意度</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ascii="仿宋_GB2312" w:hAnsi="仿宋_GB2312" w:cs="宋体"/>
                <w:color w:val="000000"/>
                <w:kern w:val="0"/>
                <w:sz w:val="24"/>
                <w:szCs w:val="24"/>
              </w:rPr>
              <w:t>7.5</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color w:val="000000"/>
                <w:kern w:val="0"/>
                <w:sz w:val="24"/>
                <w:szCs w:val="24"/>
              </w:rPr>
            </w:pPr>
            <w:r>
              <w:rPr>
                <w:rFonts w:hint="eastAsia" w:ascii="仿宋_GB2312" w:hAnsi="仿宋_GB2312" w:cs="宋体"/>
                <w:color w:val="000000"/>
                <w:kern w:val="0"/>
                <w:sz w:val="24"/>
                <w:szCs w:val="24"/>
              </w:rPr>
              <w:t>满意值赋分法</w:t>
            </w: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ascii="仿宋_GB2312" w:hAnsi="仿宋_GB2312" w:cs="宋体"/>
                <w:color w:val="000000"/>
                <w:kern w:val="0"/>
                <w:sz w:val="24"/>
                <w:szCs w:val="24"/>
              </w:rPr>
            </w:pPr>
            <w:r>
              <w:rPr>
                <w:rFonts w:ascii="仿宋_GB2312" w:hAnsi="仿宋_GB2312" w:cs="宋体"/>
                <w:color w:val="000000"/>
                <w:kern w:val="0"/>
                <w:sz w:val="24"/>
                <w:szCs w:val="24"/>
              </w:rPr>
              <w:t>6.96</w:t>
            </w:r>
            <w:r>
              <w:rPr>
                <w:rFonts w:hint="eastAsia" w:ascii="仿宋_GB2312" w:hAnsi="仿宋_GB2312" w:cs="宋体"/>
                <w:color w:val="000000"/>
                <w:kern w:val="0"/>
                <w:sz w:val="24"/>
                <w:szCs w:val="24"/>
              </w:rPr>
              <w:t xml:space="preserve">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仿宋_GB2312" w:cs="宋体"/>
                <w:color w:val="000000"/>
                <w:kern w:val="0"/>
                <w:sz w:val="24"/>
                <w:szCs w:val="24"/>
              </w:rPr>
            </w:pPr>
            <w:r>
              <w:rPr>
                <w:rFonts w:hint="eastAsia" w:ascii="仿宋_GB2312" w:hAnsi="仿宋_GB2312" w:cs="宋体"/>
                <w:color w:val="000000"/>
                <w:kern w:val="0"/>
                <w:sz w:val="24"/>
                <w:szCs w:val="24"/>
              </w:rPr>
              <w:t>毕业生满意度为92.78%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color w:val="000000"/>
                <w:kern w:val="0"/>
                <w:sz w:val="24"/>
                <w:szCs w:val="24"/>
              </w:rPr>
            </w:pPr>
            <w:r>
              <w:rPr>
                <w:rFonts w:hint="eastAsia" w:ascii="仿宋_GB2312" w:hAnsi="仿宋_GB2312" w:cs="宋体"/>
                <w:b/>
                <w:color w:val="000000"/>
                <w:kern w:val="0"/>
                <w:sz w:val="24"/>
                <w:szCs w:val="24"/>
              </w:rPr>
              <w:t>合计</w:t>
            </w:r>
          </w:p>
        </w:tc>
        <w:tc>
          <w:tcPr>
            <w:tcW w:w="41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仿宋_GB2312" w:cs="宋体"/>
                <w:b/>
                <w:color w:val="000000"/>
                <w:kern w:val="0"/>
                <w:sz w:val="24"/>
                <w:szCs w:val="24"/>
              </w:rPr>
            </w:pPr>
            <w:r>
              <w:rPr>
                <w:rFonts w:hint="eastAsia" w:ascii="仿宋_GB2312" w:hAnsi="仿宋_GB2312" w:cs="宋体"/>
                <w:b/>
                <w:color w:val="000000"/>
                <w:kern w:val="0"/>
                <w:sz w:val="24"/>
                <w:szCs w:val="24"/>
              </w:rPr>
              <w:t>100</w:t>
            </w:r>
          </w:p>
        </w:tc>
        <w:tc>
          <w:tcPr>
            <w:tcW w:w="63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仿宋_GB2312" w:cs="宋体"/>
                <w:b/>
                <w:color w:val="000000"/>
                <w:kern w:val="0"/>
                <w:sz w:val="24"/>
                <w:szCs w:val="24"/>
              </w:rPr>
            </w:pPr>
          </w:p>
        </w:tc>
        <w:tc>
          <w:tcPr>
            <w:tcW w:w="42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rPr>
                <w:rFonts w:ascii="仿宋_GB2312" w:hAnsi="仿宋_GB2312" w:cs="宋体"/>
                <w:b/>
                <w:color w:val="000000"/>
                <w:kern w:val="0"/>
                <w:sz w:val="24"/>
                <w:szCs w:val="24"/>
              </w:rPr>
            </w:pPr>
            <w:r>
              <w:rPr>
                <w:rFonts w:hint="eastAsia" w:ascii="仿宋_GB2312" w:hAnsi="仿宋_GB2312" w:cs="宋体"/>
                <w:b/>
                <w:color w:val="000000"/>
                <w:kern w:val="0"/>
                <w:sz w:val="24"/>
                <w:szCs w:val="24"/>
              </w:rPr>
              <w:t>9</w:t>
            </w:r>
            <w:r>
              <w:rPr>
                <w:rFonts w:ascii="仿宋_GB2312" w:hAnsi="仿宋_GB2312" w:cs="宋体"/>
                <w:b/>
                <w:color w:val="000000"/>
                <w:kern w:val="0"/>
                <w:sz w:val="24"/>
                <w:szCs w:val="24"/>
              </w:rPr>
              <w:t>5</w:t>
            </w:r>
            <w:r>
              <w:rPr>
                <w:rFonts w:hint="eastAsia" w:ascii="仿宋_GB2312" w:hAnsi="仿宋_GB2312" w:cs="宋体"/>
                <w:b/>
                <w:color w:val="000000"/>
                <w:kern w:val="0"/>
                <w:sz w:val="24"/>
                <w:szCs w:val="24"/>
              </w:rPr>
              <w:t>.</w:t>
            </w:r>
            <w:r>
              <w:rPr>
                <w:rFonts w:ascii="仿宋_GB2312" w:hAnsi="仿宋_GB2312" w:cs="宋体"/>
                <w:b/>
                <w:color w:val="000000"/>
                <w:kern w:val="0"/>
                <w:sz w:val="24"/>
                <w:szCs w:val="24"/>
              </w:rPr>
              <w:t>25</w:t>
            </w:r>
            <w:r>
              <w:rPr>
                <w:rFonts w:hint="eastAsia" w:ascii="仿宋_GB2312" w:hAnsi="仿宋_GB2312" w:cs="宋体"/>
                <w:b/>
                <w:color w:val="000000"/>
                <w:kern w:val="0"/>
                <w:sz w:val="24"/>
                <w:szCs w:val="24"/>
              </w:rPr>
              <w:t xml:space="preserve"> </w:t>
            </w:r>
          </w:p>
        </w:tc>
        <w:tc>
          <w:tcPr>
            <w:tcW w:w="12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仿宋_GB2312" w:cs="宋体"/>
                <w:color w:val="000000"/>
                <w:kern w:val="0"/>
                <w:sz w:val="24"/>
                <w:szCs w:val="24"/>
              </w:rPr>
            </w:pPr>
          </w:p>
        </w:tc>
      </w:tr>
    </w:tbl>
    <w:p>
      <w:pPr>
        <w:snapToGrid w:val="0"/>
        <w:spacing w:line="60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rPr>
        <w:t>四、绩效评价分析</w:t>
      </w:r>
    </w:p>
    <w:p>
      <w:pPr>
        <w:snapToGrid w:val="0"/>
        <w:spacing w:line="600" w:lineRule="exact"/>
        <w:ind w:firstLine="643" w:firstLineChars="200"/>
        <w:rPr>
          <w:rFonts w:hint="eastAsia" w:ascii="仿宋_GB2312" w:eastAsia="仿宋_GB2312" w:cs="仿宋_GB2312"/>
          <w:b/>
          <w:sz w:val="32"/>
          <w:szCs w:val="32"/>
        </w:rPr>
      </w:pPr>
      <w:r>
        <w:rPr>
          <w:rFonts w:hint="eastAsia" w:ascii="仿宋_GB2312" w:eastAsia="仿宋_GB2312" w:cs="仿宋_GB2312"/>
          <w:b/>
          <w:sz w:val="32"/>
          <w:szCs w:val="32"/>
        </w:rPr>
        <w:t>（一）项目决策情况</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1.项目立项</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项目根据《中共四川省委、四川省人民政府关于印发&lt;四川省中长期教育改革和发展规划纲要（2010—2020年）&gt;的通知》(川委发〔2010〕18号)《四川省教育厅关于实施四川省优质高等职业院校建设计划的通知》（川教函〔2017〕418号）文件进行立项。</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2.绩效目标</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学院按照《四川省省级项目支出绩效管理办法》申报并编制2020年度省级部门预算项目绩效目标表，项目绩效目标设置的政策依据充分、目标合理、明确，与项目预期目标相关。</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3.资金投入</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2020年度学院“教学科研及教辅经费”项目预算编制内容与项目内容匹配，预算确定的项目资金量与工作任务相匹配。</w:t>
      </w:r>
    </w:p>
    <w:p>
      <w:pPr>
        <w:snapToGrid w:val="0"/>
        <w:spacing w:line="600" w:lineRule="exact"/>
        <w:ind w:firstLine="643" w:firstLineChars="200"/>
        <w:rPr>
          <w:rFonts w:hint="eastAsia" w:ascii="仿宋_GB2312" w:eastAsia="仿宋_GB2312" w:cs="仿宋_GB2312"/>
          <w:b/>
          <w:sz w:val="32"/>
          <w:szCs w:val="32"/>
        </w:rPr>
      </w:pPr>
      <w:r>
        <w:rPr>
          <w:rFonts w:hint="eastAsia" w:ascii="仿宋_GB2312" w:eastAsia="仿宋_GB2312" w:cs="仿宋_GB2312"/>
          <w:b/>
          <w:sz w:val="32"/>
          <w:szCs w:val="32"/>
        </w:rPr>
        <w:t>（二）项目管理情况</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1.资金管理</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（1）资金到位率</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教学科研及教辅经费项目上年结转61.19万元，2020年预算数2,729.92万元，其中，财政补助拨款1,206.12万元，其他资金1,523.80万元，资金到位率100%。</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（2）预算执行率</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2020年度项目实际到位资2,791.11万元，实际支出2,133.29万元，预算执行率为76.43%。</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（3）资金使用合规性</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项目相关的资金管理办法主要有：《财务管理制度》（川文产办〔2013〕37号）、《四川文化产业职业学院预算管理办法》《四川文化产业职业学院招标采购管理系列制度》等，涵盖项目资金收支、预算、采购等管理措施，基本明确了项目资金使用管理、财务监管、责任主体等，制度健全、规范、有效。资金使用中履行了规范的审批流程，资金拨付有完整的审批程序且资金使用符合项目预算批复，不存在截留、挤占、挪用、虚列支出等情况。</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2.组织实施</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2020年度项目按照《财务管理制度》（川文产办〔2013〕37号）、《四川省干部函授学院 四川文化 产业职业学院项目管理暂行办法》《四川省干部函授学院 四川文化产业职业学院采购项目履约验收管理办法(试行）》《四川省干部函授学院 四川文化产业职业学院办公设备及家具配置管理办法（试行）》对项目的资金使用、过程监管、责任落实做出了相应规定。执行中，项目责任部门以职设岗、明确责任边界、完善人员分工及协调机制，保障了项目管理制度的有效执行。</w:t>
      </w:r>
    </w:p>
    <w:p>
      <w:pPr>
        <w:snapToGrid w:val="0"/>
        <w:spacing w:line="600" w:lineRule="exact"/>
        <w:ind w:firstLine="643" w:firstLineChars="200"/>
        <w:rPr>
          <w:rFonts w:hint="eastAsia" w:ascii="仿宋_GB2312" w:eastAsia="仿宋_GB2312" w:cs="仿宋_GB2312"/>
          <w:b/>
          <w:sz w:val="32"/>
          <w:szCs w:val="32"/>
        </w:rPr>
      </w:pPr>
      <w:r>
        <w:rPr>
          <w:rFonts w:hint="eastAsia" w:ascii="仿宋_GB2312" w:eastAsia="仿宋_GB2312" w:cs="仿宋_GB2312"/>
          <w:b/>
          <w:sz w:val="32"/>
          <w:szCs w:val="32"/>
        </w:rPr>
        <w:t>（三）项目产出情况</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截止2020年年底，项目实际完成成本2,133.29万元，预算完成成本为2,729.92元。项目全年增购纸质图书17745册、采购电子资源16种、开展科研项目研究26个、完成科研项目结题15个、在线开放课程制作16个、考试服务器扩容3台，均达到了预期绩效目标。</w:t>
      </w:r>
    </w:p>
    <w:p>
      <w:pPr>
        <w:snapToGrid w:val="0"/>
        <w:spacing w:line="600" w:lineRule="exact"/>
        <w:ind w:firstLine="643" w:firstLineChars="200"/>
        <w:rPr>
          <w:rFonts w:hint="eastAsia" w:ascii="仿宋_GB2312" w:eastAsia="仿宋_GB2312" w:cs="仿宋_GB2312"/>
          <w:b/>
          <w:sz w:val="32"/>
          <w:szCs w:val="32"/>
        </w:rPr>
      </w:pPr>
      <w:r>
        <w:rPr>
          <w:rFonts w:hint="eastAsia" w:ascii="仿宋_GB2312" w:eastAsia="仿宋_GB2312" w:cs="仿宋_GB2312"/>
          <w:b/>
          <w:sz w:val="32"/>
          <w:szCs w:val="32"/>
        </w:rPr>
        <w:t>（四）项目效益情况</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2020年上半年开展1次项目鉴定评审结题工作，获准结题项目共计15项，其中，10项文化产业发展研究中心课题中，有4项课题成果被鉴定为优秀，6项课题成果被鉴定为良好；另外5项为校级课题。</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学院坚决落实教育部、省教育厅“停课不停教，停课不停学”要求，有序开展线上教学和复课复学工作。学校成立疫情防控领导小组，一手抓防控一手抓教学。制定10余项相关文件，切实做好疫情期间教育教学管理工作，积极做好师生思想引导、心理疏导和人文关怀。全力保障线上教学、单招考试、学生返校、复课复学等重点工作有序开展。疫情期间完成在线开放课程制作16个。</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2020年度完成了日常教学工作安排（教学计划审定与学期教学安排、试卷印制与管理、日常考务安排、教学工作量核定、成绩管理、教学服务等），保证了教务秩序稳定运行。公共课排课1000余节次、专业课排课4500余堂次，共涉及班级318个、学生10000余人次。</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《标准化考场设备采购项目》合同质保期为3年，合同要求对供应商对学校人员进行日常维护和典型故障排除培训，合同质保期后由学校自行维护，标准化考场预计使用不低于5年。</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学院2020届毕业生对母校的满意度平均值为92.78%，未达到满意度≥95%的预期绩效目标。学院教师未提出不满意意见。</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五、存在主要问题</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（一）2020年度项目效益绩效目标在设置上未充分量化、细化。</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（二）学院预算执行进度有待进一步提高。全年项目预算执行率76.43%，落后于要求执行进度，学院将积极规划调整，进一步提高预算执行进度。</w:t>
      </w:r>
    </w:p>
    <w:p>
      <w:pPr>
        <w:snapToGrid w:val="0"/>
        <w:spacing w:line="60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六、相关措施建议</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一）合理设置目标，强化绩效管理工作。强化绩效目标的前期编制工作，按照省财政预算绩效管理相关要求，结合自身业务特性，设置科学、合理、针对性强、便于考核的绩效目标，并细化、量化目标，使其合理引导并约束项目执行。</w:t>
      </w:r>
    </w:p>
    <w:p>
      <w:pPr>
        <w:tabs>
          <w:tab w:val="left" w:pos="3885"/>
        </w:tabs>
        <w:snapToGrid w:val="0"/>
        <w:spacing w:line="60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二）进一步提高预算编制水平。编制年初预算时，要本着实事求是，量力而行的原则，详细统计分析往年决算，将分析结果结合当年工作安排和项目计划，将结转结余资金、上级转移支付、项目推进情况等因素进行预计和测算，合理编制年初预算，从而提升预算的科学合理性以及预算执行的准确性和预算执行率。</w:t>
      </w:r>
    </w:p>
    <w:p>
      <w:pPr>
        <w:pStyle w:val="2"/>
        <w:rPr>
          <w:rFonts w:hint="eastAsia" w:ascii="黑体" w:eastAsia="黑体"/>
          <w:color w:val="000000"/>
          <w:sz w:val="44"/>
          <w:szCs w:val="44"/>
          <w:lang w:val="en-US" w:eastAsia="zh-CN"/>
        </w:rPr>
      </w:pPr>
    </w:p>
    <w:p>
      <w:pPr>
        <w:pStyle w:val="2"/>
        <w:rPr>
          <w:rFonts w:hint="eastAsia" w:ascii="黑体" w:eastAsia="黑体"/>
          <w:color w:val="000000"/>
          <w:sz w:val="44"/>
          <w:szCs w:val="44"/>
          <w:lang w:val="en-US" w:eastAsia="zh-CN"/>
        </w:rPr>
      </w:pPr>
    </w:p>
    <w:p>
      <w:pPr>
        <w:pStyle w:val="2"/>
        <w:rPr>
          <w:rFonts w:hint="eastAsia" w:ascii="黑体" w:eastAsia="黑体"/>
          <w:color w:val="000000"/>
          <w:sz w:val="44"/>
          <w:szCs w:val="44"/>
          <w:lang w:val="en-US" w:eastAsia="zh-CN"/>
        </w:rPr>
      </w:pPr>
    </w:p>
    <w:p>
      <w:pPr>
        <w:pStyle w:val="2"/>
        <w:rPr>
          <w:rFonts w:hint="eastAsia" w:ascii="黑体" w:eastAsia="黑体"/>
          <w:color w:val="000000"/>
          <w:sz w:val="44"/>
          <w:szCs w:val="44"/>
          <w:lang w:val="en-US" w:eastAsia="zh-CN"/>
        </w:rPr>
      </w:pPr>
    </w:p>
    <w:p>
      <w:pPr>
        <w:pStyle w:val="2"/>
        <w:rPr>
          <w:rFonts w:hint="eastAsia" w:ascii="黑体" w:eastAsia="黑体"/>
          <w:color w:val="000000"/>
          <w:sz w:val="44"/>
          <w:szCs w:val="44"/>
          <w:lang w:val="en-US" w:eastAsia="zh-CN"/>
        </w:rPr>
      </w:pPr>
    </w:p>
    <w:p>
      <w:pPr>
        <w:pStyle w:val="2"/>
        <w:rPr>
          <w:rFonts w:hint="eastAsia" w:ascii="黑体" w:eastAsia="黑体"/>
          <w:color w:val="000000"/>
          <w:sz w:val="44"/>
          <w:szCs w:val="44"/>
          <w:lang w:val="en-US" w:eastAsia="zh-CN"/>
        </w:rPr>
      </w:pPr>
    </w:p>
    <w:p>
      <w:pPr>
        <w:pStyle w:val="2"/>
        <w:rPr>
          <w:rFonts w:hint="eastAsia" w:ascii="黑体" w:eastAsia="黑体"/>
          <w:color w:val="000000"/>
          <w:sz w:val="44"/>
          <w:szCs w:val="44"/>
          <w:lang w:val="en-US" w:eastAsia="zh-CN"/>
        </w:rPr>
      </w:pPr>
    </w:p>
    <w:p>
      <w:pPr>
        <w:pStyle w:val="2"/>
        <w:rPr>
          <w:rFonts w:hint="eastAsia" w:ascii="黑体" w:eastAsia="黑体"/>
          <w:color w:val="000000"/>
          <w:sz w:val="44"/>
          <w:szCs w:val="44"/>
          <w:lang w:val="en-US" w:eastAsia="zh-CN"/>
        </w:rPr>
      </w:pPr>
    </w:p>
    <w:p>
      <w:pPr>
        <w:pStyle w:val="2"/>
        <w:rPr>
          <w:rFonts w:hint="eastAsia" w:ascii="黑体" w:eastAsia="黑体"/>
          <w:color w:val="000000"/>
          <w:sz w:val="44"/>
          <w:szCs w:val="44"/>
          <w:lang w:val="en-US" w:eastAsia="zh-CN"/>
        </w:rPr>
      </w:pPr>
    </w:p>
    <w:p>
      <w:pPr>
        <w:pStyle w:val="2"/>
        <w:rPr>
          <w:rFonts w:ascii="黑体" w:eastAsia="黑体"/>
          <w:color w:val="000000"/>
          <w:sz w:val="44"/>
          <w:szCs w:val="44"/>
          <w:lang w:val="en-US" w:eastAsia="zh-CN"/>
        </w:rPr>
      </w:pPr>
    </w:p>
    <w:p>
      <w:pPr>
        <w:spacing w:line="600" w:lineRule="exact"/>
        <w:jc w:val="center"/>
        <w:outlineLvl w:val="0"/>
        <w:rPr>
          <w:rStyle w:val="16"/>
          <w:rFonts w:ascii="黑体" w:eastAsia="黑体"/>
          <w:b w:val="0"/>
        </w:rPr>
      </w:pPr>
      <w:r>
        <w:rPr>
          <w:rFonts w:hint="eastAsia" w:ascii="黑体" w:eastAsia="黑体"/>
          <w:color w:val="000000"/>
          <w:sz w:val="44"/>
          <w:szCs w:val="44"/>
        </w:rPr>
        <w:t>第</w:t>
      </w:r>
      <w:r>
        <w:rPr>
          <w:rStyle w:val="16"/>
          <w:rFonts w:hint="eastAsia" w:ascii="黑体" w:eastAsia="黑体"/>
          <w:b w:val="0"/>
        </w:rPr>
        <w:t>五部分 附表</w:t>
      </w:r>
      <w:bookmarkEnd w:id="55"/>
      <w:bookmarkEnd w:id="57"/>
    </w:p>
    <w:p>
      <w:pPr>
        <w:pStyle w:val="4"/>
        <w:rPr>
          <w:rFonts w:ascii="仿宋" w:eastAsia="仿宋"/>
          <w:color w:val="auto"/>
          <w:highlight w:val="none"/>
        </w:rPr>
      </w:pPr>
      <w:r>
        <w:rPr>
          <w:rFonts w:hint="eastAsia" w:ascii="仿宋" w:eastAsia="仿宋"/>
          <w:b w:val="0"/>
          <w:color w:val="auto"/>
          <w:highlight w:val="none"/>
        </w:rPr>
        <w:t>一、收</w:t>
      </w:r>
      <w:r>
        <w:rPr>
          <w:rStyle w:val="17"/>
          <w:rFonts w:hint="eastAsia" w:ascii="仿宋" w:eastAsia="仿宋"/>
          <w:b w:val="0"/>
          <w:bCs w:val="0"/>
          <w:color w:val="auto"/>
          <w:highlight w:val="none"/>
        </w:rPr>
        <w:t>入支出决算总表</w:t>
      </w:r>
    </w:p>
    <w:p>
      <w:pPr>
        <w:pStyle w:val="4"/>
        <w:rPr>
          <w:rFonts w:ascii="仿宋" w:eastAsia="仿宋"/>
          <w:color w:val="auto"/>
          <w:highlight w:val="none"/>
        </w:rPr>
      </w:pPr>
      <w:bookmarkStart w:id="58" w:name="_Toc15396620"/>
      <w:r>
        <w:rPr>
          <w:rFonts w:hint="eastAsia" w:ascii="仿宋" w:eastAsia="仿宋"/>
          <w:b w:val="0"/>
          <w:color w:val="auto"/>
          <w:highlight w:val="none"/>
        </w:rPr>
        <w:t>二、收</w:t>
      </w:r>
      <w:r>
        <w:rPr>
          <w:rStyle w:val="17"/>
          <w:rFonts w:hint="eastAsia" w:ascii="仿宋" w:eastAsia="仿宋"/>
          <w:b w:val="0"/>
          <w:bCs w:val="0"/>
          <w:color w:val="auto"/>
          <w:highlight w:val="none"/>
        </w:rPr>
        <w:t>入决算表</w:t>
      </w:r>
      <w:bookmarkEnd w:id="58"/>
    </w:p>
    <w:p>
      <w:pPr>
        <w:pStyle w:val="4"/>
        <w:rPr>
          <w:rFonts w:ascii="仿宋" w:eastAsia="仿宋"/>
          <w:color w:val="auto"/>
          <w:highlight w:val="none"/>
        </w:rPr>
      </w:pPr>
      <w:bookmarkStart w:id="59" w:name="_Toc15396621"/>
      <w:r>
        <w:rPr>
          <w:rStyle w:val="17"/>
          <w:rFonts w:hint="eastAsia" w:ascii="仿宋" w:eastAsia="仿宋"/>
          <w:b w:val="0"/>
          <w:bCs w:val="0"/>
          <w:color w:val="auto"/>
          <w:highlight w:val="none"/>
        </w:rPr>
        <w:t>三、</w:t>
      </w:r>
      <w:r>
        <w:rPr>
          <w:rFonts w:hint="eastAsia" w:ascii="仿宋" w:eastAsia="仿宋"/>
          <w:b w:val="0"/>
          <w:color w:val="auto"/>
          <w:highlight w:val="none"/>
        </w:rPr>
        <w:t>支</w:t>
      </w:r>
      <w:r>
        <w:rPr>
          <w:rStyle w:val="17"/>
          <w:rFonts w:hint="eastAsia" w:ascii="仿宋" w:eastAsia="仿宋"/>
          <w:b w:val="0"/>
          <w:bCs w:val="0"/>
          <w:color w:val="auto"/>
          <w:highlight w:val="none"/>
        </w:rPr>
        <w:t>出决算表</w:t>
      </w:r>
      <w:bookmarkEnd w:id="59"/>
    </w:p>
    <w:p>
      <w:pPr>
        <w:pStyle w:val="4"/>
        <w:rPr>
          <w:rFonts w:ascii="仿宋" w:eastAsia="仿宋"/>
          <w:b w:val="0"/>
          <w:color w:val="auto"/>
          <w:highlight w:val="none"/>
        </w:rPr>
      </w:pPr>
      <w:bookmarkStart w:id="60" w:name="_Toc15396622"/>
      <w:r>
        <w:rPr>
          <w:rStyle w:val="17"/>
          <w:rFonts w:hint="eastAsia" w:ascii="仿宋" w:eastAsia="仿宋"/>
          <w:b w:val="0"/>
          <w:bCs w:val="0"/>
          <w:color w:val="auto"/>
          <w:highlight w:val="none"/>
        </w:rPr>
        <w:t>四、</w:t>
      </w:r>
      <w:r>
        <w:rPr>
          <w:rFonts w:hint="eastAsia" w:ascii="仿宋" w:eastAsia="仿宋"/>
          <w:b w:val="0"/>
          <w:color w:val="auto"/>
          <w:highlight w:val="none"/>
        </w:rPr>
        <w:t>财</w:t>
      </w:r>
      <w:r>
        <w:rPr>
          <w:rStyle w:val="17"/>
          <w:rFonts w:hint="eastAsia" w:ascii="仿宋" w:eastAsia="仿宋"/>
          <w:b w:val="0"/>
          <w:bCs w:val="0"/>
          <w:color w:val="auto"/>
          <w:highlight w:val="none"/>
        </w:rPr>
        <w:t>政拨款收入支出决算总表</w:t>
      </w:r>
      <w:bookmarkEnd w:id="60"/>
    </w:p>
    <w:p>
      <w:pPr>
        <w:pStyle w:val="4"/>
        <w:rPr>
          <w:rStyle w:val="17"/>
          <w:rFonts w:ascii="仿宋" w:eastAsia="仿宋"/>
          <w:b w:val="0"/>
          <w:bCs w:val="0"/>
          <w:color w:val="auto"/>
          <w:highlight w:val="none"/>
        </w:rPr>
      </w:pPr>
      <w:bookmarkStart w:id="61" w:name="_Toc15396623"/>
      <w:r>
        <w:rPr>
          <w:rStyle w:val="17"/>
          <w:rFonts w:hint="eastAsia" w:ascii="仿宋" w:eastAsia="仿宋"/>
          <w:b w:val="0"/>
          <w:bCs w:val="0"/>
          <w:color w:val="auto"/>
          <w:highlight w:val="none"/>
        </w:rPr>
        <w:t>五、</w:t>
      </w:r>
      <w:r>
        <w:rPr>
          <w:rFonts w:hint="eastAsia" w:ascii="仿宋" w:eastAsia="仿宋"/>
          <w:b w:val="0"/>
          <w:color w:val="auto"/>
          <w:highlight w:val="none"/>
        </w:rPr>
        <w:t>财</w:t>
      </w:r>
      <w:r>
        <w:rPr>
          <w:rStyle w:val="17"/>
          <w:rFonts w:hint="eastAsia" w:ascii="仿宋" w:eastAsia="仿宋"/>
          <w:b w:val="0"/>
          <w:bCs w:val="0"/>
          <w:color w:val="auto"/>
          <w:highlight w:val="none"/>
        </w:rPr>
        <w:t>政拨款支出决算明细表</w:t>
      </w:r>
      <w:bookmarkEnd w:id="61"/>
      <w:bookmarkStart w:id="62" w:name="_Toc15396624"/>
    </w:p>
    <w:p>
      <w:pPr>
        <w:pStyle w:val="4"/>
        <w:rPr>
          <w:rFonts w:ascii="仿宋" w:eastAsia="仿宋"/>
          <w:color w:val="auto"/>
          <w:highlight w:val="none"/>
        </w:rPr>
      </w:pPr>
      <w:r>
        <w:rPr>
          <w:rStyle w:val="17"/>
          <w:rFonts w:hint="eastAsia" w:ascii="仿宋" w:eastAsia="仿宋"/>
          <w:b w:val="0"/>
          <w:bCs w:val="0"/>
          <w:color w:val="auto"/>
          <w:highlight w:val="none"/>
        </w:rPr>
        <w:t>六、</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般公共预算财政拨款支出决算表</w:t>
      </w:r>
      <w:bookmarkEnd w:id="62"/>
    </w:p>
    <w:p>
      <w:pPr>
        <w:pStyle w:val="4"/>
        <w:rPr>
          <w:rFonts w:ascii="仿宋" w:eastAsia="仿宋"/>
          <w:color w:val="auto"/>
          <w:highlight w:val="none"/>
        </w:rPr>
      </w:pPr>
      <w:bookmarkStart w:id="63" w:name="_Toc15396625"/>
      <w:r>
        <w:rPr>
          <w:rStyle w:val="17"/>
          <w:rFonts w:hint="eastAsia" w:ascii="仿宋" w:eastAsia="仿宋"/>
          <w:b w:val="0"/>
          <w:bCs w:val="0"/>
          <w:color w:val="auto"/>
          <w:highlight w:val="none"/>
        </w:rPr>
        <w:t>七、</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般公共预算财政拨款支出决算明细表</w:t>
      </w:r>
      <w:bookmarkEnd w:id="63"/>
    </w:p>
    <w:p>
      <w:pPr>
        <w:pStyle w:val="4"/>
        <w:rPr>
          <w:rFonts w:ascii="仿宋" w:eastAsia="仿宋"/>
          <w:color w:val="auto"/>
          <w:highlight w:val="none"/>
        </w:rPr>
      </w:pPr>
      <w:bookmarkStart w:id="64" w:name="_Toc15396626"/>
      <w:r>
        <w:rPr>
          <w:rStyle w:val="17"/>
          <w:rFonts w:hint="eastAsia" w:ascii="仿宋" w:eastAsia="仿宋"/>
          <w:b w:val="0"/>
          <w:bCs w:val="0"/>
          <w:color w:val="auto"/>
          <w:highlight w:val="none"/>
        </w:rPr>
        <w:t>八、</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般公共预算财政拨款基本支出决算表</w:t>
      </w:r>
      <w:bookmarkEnd w:id="64"/>
    </w:p>
    <w:p>
      <w:pPr>
        <w:pStyle w:val="4"/>
        <w:rPr>
          <w:rFonts w:ascii="仿宋" w:eastAsia="仿宋"/>
          <w:color w:val="auto"/>
          <w:highlight w:val="none"/>
        </w:rPr>
      </w:pPr>
      <w:bookmarkStart w:id="65" w:name="_Toc15396627"/>
      <w:r>
        <w:rPr>
          <w:rStyle w:val="17"/>
          <w:rFonts w:hint="eastAsia" w:ascii="仿宋" w:eastAsia="仿宋"/>
          <w:b w:val="0"/>
          <w:bCs w:val="0"/>
          <w:color w:val="auto"/>
          <w:highlight w:val="none"/>
        </w:rPr>
        <w:t>九、</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般公共预算财政拨款项目支出决算表</w:t>
      </w:r>
      <w:bookmarkEnd w:id="65"/>
    </w:p>
    <w:p>
      <w:pPr>
        <w:pStyle w:val="4"/>
        <w:rPr>
          <w:rFonts w:ascii="仿宋" w:eastAsia="仿宋"/>
          <w:color w:val="auto"/>
          <w:highlight w:val="none"/>
        </w:rPr>
      </w:pPr>
      <w:bookmarkStart w:id="66" w:name="_Toc15396628"/>
      <w:r>
        <w:rPr>
          <w:rStyle w:val="17"/>
          <w:rFonts w:hint="eastAsia" w:ascii="仿宋" w:eastAsia="仿宋"/>
          <w:b w:val="0"/>
          <w:bCs w:val="0"/>
          <w:color w:val="auto"/>
          <w:highlight w:val="none"/>
        </w:rPr>
        <w:t>十、</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般公共预算财政拨款“三公”经费支出决算表</w:t>
      </w:r>
      <w:bookmarkEnd w:id="66"/>
    </w:p>
    <w:p>
      <w:pPr>
        <w:pStyle w:val="4"/>
        <w:rPr>
          <w:rFonts w:ascii="仿宋" w:eastAsia="仿宋"/>
          <w:color w:val="auto"/>
          <w:highlight w:val="none"/>
        </w:rPr>
      </w:pPr>
      <w:bookmarkStart w:id="67" w:name="_Toc15396629"/>
      <w:r>
        <w:rPr>
          <w:rStyle w:val="17"/>
          <w:rFonts w:hint="eastAsia" w:ascii="仿宋" w:eastAsia="仿宋"/>
          <w:b w:val="0"/>
          <w:bCs w:val="0"/>
          <w:color w:val="auto"/>
          <w:highlight w:val="none"/>
        </w:rPr>
        <w:t>十一、</w:t>
      </w:r>
      <w:r>
        <w:rPr>
          <w:rFonts w:hint="eastAsia" w:ascii="仿宋" w:eastAsia="仿宋"/>
          <w:b w:val="0"/>
          <w:color w:val="auto"/>
          <w:highlight w:val="none"/>
        </w:rPr>
        <w:t>政</w:t>
      </w:r>
      <w:r>
        <w:rPr>
          <w:rStyle w:val="17"/>
          <w:rFonts w:hint="eastAsia" w:ascii="仿宋" w:eastAsia="仿宋"/>
          <w:b w:val="0"/>
          <w:bCs w:val="0"/>
          <w:color w:val="auto"/>
          <w:highlight w:val="none"/>
        </w:rPr>
        <w:t>府性基金预算财政拨款收入支出决算表</w:t>
      </w:r>
      <w:bookmarkEnd w:id="67"/>
    </w:p>
    <w:p>
      <w:pPr>
        <w:pStyle w:val="4"/>
        <w:rPr>
          <w:rFonts w:ascii="仿宋" w:eastAsia="仿宋"/>
          <w:color w:val="auto"/>
          <w:highlight w:val="none"/>
        </w:rPr>
      </w:pPr>
      <w:bookmarkStart w:id="68" w:name="_Toc15396630"/>
      <w:r>
        <w:rPr>
          <w:rStyle w:val="17"/>
          <w:rFonts w:hint="eastAsia" w:ascii="仿宋" w:eastAsia="仿宋"/>
          <w:b w:val="0"/>
          <w:bCs w:val="0"/>
          <w:color w:val="auto"/>
          <w:highlight w:val="none"/>
        </w:rPr>
        <w:t>十二、</w:t>
      </w:r>
      <w:r>
        <w:rPr>
          <w:rFonts w:hint="eastAsia" w:ascii="仿宋" w:eastAsia="仿宋"/>
          <w:b w:val="0"/>
          <w:color w:val="auto"/>
          <w:highlight w:val="none"/>
        </w:rPr>
        <w:t>政</w:t>
      </w:r>
      <w:r>
        <w:rPr>
          <w:rStyle w:val="17"/>
          <w:rFonts w:hint="eastAsia" w:ascii="仿宋" w:eastAsia="仿宋"/>
          <w:b w:val="0"/>
          <w:bCs w:val="0"/>
          <w:color w:val="auto"/>
          <w:highlight w:val="none"/>
        </w:rPr>
        <w:t>府性基金预算财政拨款“三公”经费支出决算表</w:t>
      </w:r>
      <w:bookmarkEnd w:id="68"/>
    </w:p>
    <w:p>
      <w:pPr>
        <w:pStyle w:val="4"/>
        <w:rPr>
          <w:rStyle w:val="17"/>
          <w:rFonts w:hint="eastAsia" w:ascii="仿宋" w:eastAsia="仿宋"/>
          <w:b w:val="0"/>
          <w:bCs w:val="0"/>
          <w:color w:val="auto"/>
          <w:highlight w:val="none"/>
        </w:rPr>
      </w:pPr>
      <w:bookmarkStart w:id="69" w:name="_Toc15396631"/>
      <w:r>
        <w:rPr>
          <w:rStyle w:val="17"/>
          <w:rFonts w:hint="eastAsia" w:ascii="仿宋" w:eastAsia="仿宋"/>
          <w:b w:val="0"/>
          <w:bCs w:val="0"/>
          <w:color w:val="auto"/>
          <w:highlight w:val="none"/>
        </w:rPr>
        <w:t>十三、</w:t>
      </w:r>
      <w:r>
        <w:rPr>
          <w:rFonts w:hint="eastAsia" w:ascii="仿宋" w:eastAsia="仿宋"/>
          <w:b w:val="0"/>
          <w:color w:val="auto"/>
          <w:highlight w:val="none"/>
        </w:rPr>
        <w:t>国</w:t>
      </w:r>
      <w:r>
        <w:rPr>
          <w:rStyle w:val="17"/>
          <w:rFonts w:hint="eastAsia" w:ascii="仿宋" w:eastAsia="仿宋"/>
          <w:b w:val="0"/>
          <w:bCs w:val="0"/>
          <w:color w:val="auto"/>
          <w:highlight w:val="none"/>
        </w:rPr>
        <w:t>有资本经营预算</w:t>
      </w:r>
      <w:r>
        <w:rPr>
          <w:rStyle w:val="17"/>
          <w:rFonts w:hint="eastAsia" w:ascii="仿宋" w:eastAsia="仿宋"/>
          <w:b w:val="0"/>
          <w:bCs w:val="0"/>
          <w:color w:val="auto"/>
          <w:highlight w:val="none"/>
          <w:lang w:eastAsia="zh-CN"/>
        </w:rPr>
        <w:t>财政拨款收入</w:t>
      </w:r>
      <w:r>
        <w:rPr>
          <w:rStyle w:val="17"/>
          <w:rFonts w:hint="eastAsia" w:ascii="仿宋" w:eastAsia="仿宋"/>
          <w:b w:val="0"/>
          <w:bCs w:val="0"/>
          <w:color w:val="auto"/>
          <w:highlight w:val="none"/>
        </w:rPr>
        <w:t>支出决算表</w:t>
      </w:r>
      <w:bookmarkEnd w:id="69"/>
    </w:p>
    <w:p>
      <w:pPr>
        <w:rPr>
          <w:rFonts w:hint="eastAsia" w:eastAsia="仿宋"/>
          <w:color w:val="auto"/>
          <w:highlight w:val="none"/>
          <w:lang w:eastAsia="zh-CN"/>
        </w:rPr>
      </w:pPr>
      <w:r>
        <w:rPr>
          <w:rStyle w:val="17"/>
          <w:rFonts w:hint="eastAsia" w:ascii="仿宋" w:eastAsia="仿宋"/>
          <w:b w:val="0"/>
          <w:bCs w:val="0"/>
          <w:color w:val="auto"/>
          <w:highlight w:val="none"/>
          <w:lang w:eastAsia="zh-CN"/>
        </w:rPr>
        <w:t>十四、国有资本经营预算财政拨款支出决算表</w:t>
      </w:r>
    </w:p>
    <w:p>
      <w:pPr>
        <w:spacing w:line="600" w:lineRule="exact"/>
        <w:jc w:val="both"/>
        <w:outlineLvl w:val="0"/>
        <w:rPr>
          <w:rFonts w:ascii="仿宋" w:eastAsia="仿宋"/>
          <w:b/>
          <w:color w:val="000000"/>
          <w:sz w:val="44"/>
          <w:szCs w:val="44"/>
        </w:rPr>
      </w:pPr>
    </w:p>
    <w:sectPr>
      <w:headerReference r:id="rId4" w:type="default"/>
      <w:footerReference r:id="rId5"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A9E374-B55F-465F-85F7-B9FB32472A94}"/>
  </w:font>
  <w:font w:name="黑体">
    <w:panose1 w:val="02010609060101010101"/>
    <w:charset w:val="86"/>
    <w:family w:val="auto"/>
    <w:pitch w:val="default"/>
    <w:sig w:usb0="800002BF" w:usb1="38CF7CFA" w:usb2="00000016" w:usb3="00000000" w:csb0="00040001" w:csb1="00000000"/>
    <w:embedRegular r:id="rId2" w:fontKey="{02216D05-2EF9-4360-8104-AAFDA41947A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859B112-1128-402F-8FEF-EBCDEB0D404C}"/>
  </w:font>
  <w:font w:name="Cambria">
    <w:panose1 w:val="02040503050406030204"/>
    <w:charset w:val="00"/>
    <w:family w:val="roman"/>
    <w:pitch w:val="default"/>
    <w:sig w:usb0="E00002FF" w:usb1="400004FF" w:usb2="00000000" w:usb3="00000000" w:csb0="2000019F" w:csb1="00000000"/>
    <w:embedRegular r:id="rId4" w:fontKey="{5BD00967-71E6-40FE-B8D4-E80FAC955F07}"/>
  </w:font>
  <w:font w:name="仿宋_GB2312">
    <w:panose1 w:val="02010609030101010101"/>
    <w:charset w:val="86"/>
    <w:family w:val="modern"/>
    <w:pitch w:val="default"/>
    <w:sig w:usb0="00000001" w:usb1="080E0000" w:usb2="00000000" w:usb3="00000000" w:csb0="00040000" w:csb1="00000000"/>
    <w:embedRegular r:id="rId5" w:fontKey="{FBB04DD4-24B7-4050-909A-E7A6443BDE73}"/>
  </w:font>
  <w:font w:name="仿宋">
    <w:panose1 w:val="02010609060101010101"/>
    <w:charset w:val="86"/>
    <w:family w:val="modern"/>
    <w:pitch w:val="default"/>
    <w:sig w:usb0="800002BF" w:usb1="38CF7CFA" w:usb2="00000016" w:usb3="00000000" w:csb0="00040001" w:csb1="00000000"/>
    <w:embedRegular r:id="rId6" w:fontKey="{4611B119-8FB8-4109-9E7E-64C5E2AFA79E}"/>
  </w:font>
  <w:font w:name="方正小标宋_GBK">
    <w:panose1 w:val="03000509000000000000"/>
    <w:charset w:val="86"/>
    <w:family w:val="script"/>
    <w:pitch w:val="default"/>
    <w:sig w:usb0="00000001" w:usb1="080E0000" w:usb2="00000000" w:usb3="00000000" w:csb0="00040000" w:csb1="00000000"/>
    <w:embedRegular r:id="rId7" w:fontKey="{87D16528-E00C-4940-9683-107E209B2784}"/>
  </w:font>
  <w:font w:name="方正小标宋简体">
    <w:panose1 w:val="02000000000000000000"/>
    <w:charset w:val="86"/>
    <w:family w:val="script"/>
    <w:pitch w:val="default"/>
    <w:sig w:usb0="00000001" w:usb1="08000000" w:usb2="00000000" w:usb3="00000000" w:csb0="00040000" w:csb1="00000000"/>
    <w:embedRegular r:id="rId8" w:fontKey="{AE9B3406-7631-44AA-B64F-169F70834C4A}"/>
  </w:font>
  <w:font w:name="楷体_GB2312">
    <w:panose1 w:val="02010609030101010101"/>
    <w:charset w:val="86"/>
    <w:family w:val="modern"/>
    <w:pitch w:val="default"/>
    <w:sig w:usb0="00000001" w:usb1="080E0000" w:usb2="00000000" w:usb3="00000000" w:csb0="00040000" w:csb1="00000000"/>
    <w:embedRegular r:id="rId9" w:fontKey="{BD760AF8-4572-47AD-8058-10A78C35C09E}"/>
  </w:font>
  <w:font w:name="方正兰亭黑_GBK">
    <w:altName w:val="Arial Unicode MS"/>
    <w:panose1 w:val="00000000000000000000"/>
    <w:charset w:val="01"/>
    <w:family w:val="auto"/>
    <w:pitch w:val="default"/>
    <w:sig w:usb0="00000000" w:usb1="00000000" w:usb2="00000000" w:usb3="00000000" w:csb0="00000000" w:csb1="00000000"/>
    <w:embedRegular r:id="rId10" w:fontKey="{FEE537E3-7DE7-40F6-AF00-EE9E405ED7E0}"/>
  </w:font>
  <w:font w:name="Lucida Sans">
    <w:panose1 w:val="020B0602030504020204"/>
    <w:charset w:val="01"/>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仿宋_GB2312">
    <w:panose1 w:val="02000000000000000000"/>
    <w:charset w:val="86"/>
    <w:family w:val="auto"/>
    <w:pitch w:val="default"/>
    <w:sig w:usb0="A00002BF" w:usb1="184F6CFA" w:usb2="00000012" w:usb3="00000000" w:csb0="00040001" w:csb1="00000000"/>
    <w:embedRegular r:id="rId11" w:fontKey="{56BCB765-3D99-4825-8E6B-955F9278C9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sz w:val="24"/>
        <w:szCs w:val="24"/>
        <w:lang w:bidi="ar-SA"/>
      </w:rPr>
    </w:pPr>
    <w:r>
      <w:rPr>
        <w:rFonts w:ascii="Arial" w:hAnsi="Arial" w:cs="Arial"/>
        <w:sz w:val="24"/>
        <w:szCs w:val="24"/>
        <w:lang w:bidi="ar-SA"/>
      </w:rPr>
      <w:fldChar w:fldCharType="begin"/>
    </w:r>
    <w:r>
      <w:rPr>
        <w:rFonts w:ascii="Arial" w:hAnsi="Arial" w:cs="Arial"/>
        <w:sz w:val="24"/>
        <w:szCs w:val="24"/>
        <w:lang w:bidi="ar-SA"/>
      </w:rPr>
      <w:instrText xml:space="preserve"> PAGE   \* MERGEFORMAT </w:instrText>
    </w:r>
    <w:r>
      <w:rPr>
        <w:rFonts w:ascii="Arial" w:hAnsi="Arial" w:cs="Arial"/>
        <w:sz w:val="24"/>
        <w:szCs w:val="24"/>
        <w:lang w:bidi="ar-SA"/>
      </w:rPr>
      <w:fldChar w:fldCharType="separate"/>
    </w:r>
    <w:r>
      <w:rPr>
        <w:rFonts w:ascii="Arial" w:hAnsi="Arial" w:cs="Arial"/>
        <w:sz w:val="24"/>
        <w:szCs w:val="24"/>
        <w:lang w:val="zh-CN" w:bidi="ar-SA"/>
      </w:rPr>
      <w:t>24</w:t>
    </w:r>
    <w:r>
      <w:rPr>
        <w:rFonts w:ascii="Arial" w:hAnsi="Arial" w:cs="Arial"/>
        <w:sz w:val="24"/>
        <w:szCs w:val="24"/>
        <w:lang w:bidi="ar-SA"/>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6562967"/>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0CE92"/>
    <w:multiLevelType w:val="singleLevel"/>
    <w:tmpl w:val="83E0CE92"/>
    <w:lvl w:ilvl="0" w:tentative="0">
      <w:start w:val="1"/>
      <w:numFmt w:val="decimal"/>
      <w:lvlText w:val="%1."/>
      <w:lvlJc w:val="left"/>
      <w:pPr>
        <w:tabs>
          <w:tab w:val="left" w:pos="0"/>
        </w:tabs>
        <w:ind w:left="0" w:firstLine="0"/>
      </w:pPr>
    </w:lvl>
  </w:abstractNum>
  <w:abstractNum w:abstractNumId="1">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rPr>
    </w:lvl>
  </w:abstractNum>
  <w:abstractNum w:abstractNumId="3">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4">
    <w:nsid w:val="16ED09CE"/>
    <w:multiLevelType w:val="singleLevel"/>
    <w:tmpl w:val="16ED09CE"/>
    <w:lvl w:ilvl="0" w:tentative="0">
      <w:start w:val="1"/>
      <w:numFmt w:val="decimal"/>
      <w:suff w:val="nothing"/>
      <w:lvlText w:val="%1．"/>
      <w:lvlJc w:val="left"/>
      <w:pPr>
        <w:tabs>
          <w:tab w:val="left" w:pos="0"/>
        </w:tabs>
        <w:ind w:left="0" w:firstLine="0"/>
      </w:pPr>
    </w:lvl>
  </w:abstractNum>
  <w:abstractNum w:abstractNumId="5">
    <w:nsid w:val="3064A595"/>
    <w:multiLevelType w:val="singleLevel"/>
    <w:tmpl w:val="3064A595"/>
    <w:lvl w:ilvl="0" w:tentative="0">
      <w:start w:val="1"/>
      <w:numFmt w:val="chineseCounting"/>
      <w:suff w:val="nothing"/>
      <w:lvlText w:val="%1、"/>
      <w:lvlJc w:val="left"/>
      <w:pPr>
        <w:tabs>
          <w:tab w:val="left" w:pos="0"/>
        </w:tabs>
        <w:ind w:left="0" w:firstLine="0"/>
      </w:pPr>
      <w:rPr>
        <w:rFonts w:hint="eastAsia"/>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YzdhNWFjZjM0YTA4Yzg1MmUzY2RlMjUwZWNkN2ViNTYifQ=="/>
  </w:docVars>
  <w:rsids>
    <w:rsidRoot w:val="00000000"/>
    <w:rsid w:val="01640F16"/>
    <w:rsid w:val="01AB3726"/>
    <w:rsid w:val="01D01B0A"/>
    <w:rsid w:val="034D6AD7"/>
    <w:rsid w:val="039F7A96"/>
    <w:rsid w:val="05E82E5F"/>
    <w:rsid w:val="068119EC"/>
    <w:rsid w:val="075E5423"/>
    <w:rsid w:val="0762416A"/>
    <w:rsid w:val="07A73103"/>
    <w:rsid w:val="07AF6DA2"/>
    <w:rsid w:val="086C73D7"/>
    <w:rsid w:val="0923700D"/>
    <w:rsid w:val="09CB6DED"/>
    <w:rsid w:val="0A0016F3"/>
    <w:rsid w:val="0E6C489C"/>
    <w:rsid w:val="0EC15DF7"/>
    <w:rsid w:val="0F664825"/>
    <w:rsid w:val="136369C2"/>
    <w:rsid w:val="19BD5F58"/>
    <w:rsid w:val="1BDF3BDF"/>
    <w:rsid w:val="1C6451B1"/>
    <w:rsid w:val="1DDB726C"/>
    <w:rsid w:val="1E447D49"/>
    <w:rsid w:val="1FEA2617"/>
    <w:rsid w:val="24C66471"/>
    <w:rsid w:val="2752743B"/>
    <w:rsid w:val="2A8A7DEC"/>
    <w:rsid w:val="2C7444CF"/>
    <w:rsid w:val="2E0C31B8"/>
    <w:rsid w:val="2F243389"/>
    <w:rsid w:val="3088221A"/>
    <w:rsid w:val="33FE0C23"/>
    <w:rsid w:val="35A20D08"/>
    <w:rsid w:val="365315C9"/>
    <w:rsid w:val="36AF0BAB"/>
    <w:rsid w:val="371913BE"/>
    <w:rsid w:val="378D461B"/>
    <w:rsid w:val="37FE75BB"/>
    <w:rsid w:val="38016261"/>
    <w:rsid w:val="38EE6F0C"/>
    <w:rsid w:val="3B3F7088"/>
    <w:rsid w:val="3BA35F48"/>
    <w:rsid w:val="3C0D5D66"/>
    <w:rsid w:val="3C4D783E"/>
    <w:rsid w:val="3C787B2C"/>
    <w:rsid w:val="3E1C4D45"/>
    <w:rsid w:val="3F065BC9"/>
    <w:rsid w:val="3F3241AD"/>
    <w:rsid w:val="403714E7"/>
    <w:rsid w:val="435A0E61"/>
    <w:rsid w:val="439E414F"/>
    <w:rsid w:val="446C54AC"/>
    <w:rsid w:val="44964C96"/>
    <w:rsid w:val="461F5A82"/>
    <w:rsid w:val="46882A19"/>
    <w:rsid w:val="48B049D3"/>
    <w:rsid w:val="4A485D2D"/>
    <w:rsid w:val="4A8179E9"/>
    <w:rsid w:val="4B31050A"/>
    <w:rsid w:val="4C8C2F86"/>
    <w:rsid w:val="4E414E54"/>
    <w:rsid w:val="4E5E41E1"/>
    <w:rsid w:val="4EB147B3"/>
    <w:rsid w:val="4EFA38DC"/>
    <w:rsid w:val="508437A4"/>
    <w:rsid w:val="50BF1224"/>
    <w:rsid w:val="57751D31"/>
    <w:rsid w:val="59AE1BAC"/>
    <w:rsid w:val="5AF65668"/>
    <w:rsid w:val="5C633D0A"/>
    <w:rsid w:val="5C95789C"/>
    <w:rsid w:val="5D401EF4"/>
    <w:rsid w:val="5E853841"/>
    <w:rsid w:val="5EAA59CA"/>
    <w:rsid w:val="5EB3225B"/>
    <w:rsid w:val="60F51C6C"/>
    <w:rsid w:val="619839AD"/>
    <w:rsid w:val="65CA185A"/>
    <w:rsid w:val="67320EEA"/>
    <w:rsid w:val="67970435"/>
    <w:rsid w:val="68463483"/>
    <w:rsid w:val="69044E3E"/>
    <w:rsid w:val="69116EA1"/>
    <w:rsid w:val="6A8555DF"/>
    <w:rsid w:val="6AD15297"/>
    <w:rsid w:val="6BD0129A"/>
    <w:rsid w:val="6E9D291D"/>
    <w:rsid w:val="6F925985"/>
    <w:rsid w:val="705138F6"/>
    <w:rsid w:val="714465D1"/>
    <w:rsid w:val="73753409"/>
    <w:rsid w:val="746A4EBA"/>
    <w:rsid w:val="74753425"/>
    <w:rsid w:val="750F3E3B"/>
    <w:rsid w:val="75EE6020"/>
    <w:rsid w:val="7A9A344D"/>
    <w:rsid w:val="7C345B5A"/>
    <w:rsid w:val="7F97750B"/>
    <w:rsid w:val="7FB053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3"/>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4"/>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4">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25">
    <w:name w:val="fontstyle01"/>
    <w:basedOn w:val="13"/>
    <w:qFormat/>
    <w:uiPriority w:val="0"/>
    <w:rPr>
      <w:rFonts w:ascii="仿宋_GB2312" w:eastAsia="仿宋_GB2312"/>
      <w:color w:val="000000"/>
      <w:sz w:val="32"/>
      <w:szCs w:val="32"/>
    </w:rPr>
  </w:style>
  <w:style w:type="character" w:customStyle="1" w:styleId="26">
    <w:name w:val="font51"/>
    <w:basedOn w:val="13"/>
    <w:qFormat/>
    <w:uiPriority w:val="0"/>
    <w:rPr>
      <w:rFonts w:ascii="方正小标宋_GBK" w:eastAsia="方正小标宋_GBK" w:cs="方正小标宋_GBK"/>
      <w:color w:val="000000"/>
      <w:sz w:val="28"/>
      <w:szCs w:val="28"/>
      <w:u w:val="none"/>
    </w:rPr>
  </w:style>
  <w:style w:type="character" w:customStyle="1" w:styleId="27">
    <w:name w:val="font41"/>
    <w:basedOn w:val="13"/>
    <w:qFormat/>
    <w:uiPriority w:val="0"/>
    <w:rPr>
      <w:rFonts w:ascii="Times New Roman" w:hAnsi="Times New Roman" w:cs="Times New Roman"/>
      <w:color w:val="000000"/>
      <w:sz w:val="28"/>
      <w:szCs w:val="28"/>
      <w:u w:val="none"/>
    </w:rPr>
  </w:style>
  <w:style w:type="character" w:customStyle="1" w:styleId="28">
    <w:name w:val="font81"/>
    <w:basedOn w:val="13"/>
    <w:qFormat/>
    <w:uiPriority w:val="0"/>
    <w:rPr>
      <w:rFonts w:ascii="宋体" w:eastAsia="宋体" w:cs="宋体"/>
      <w:color w:val="000000"/>
      <w:sz w:val="24"/>
      <w:szCs w:val="24"/>
      <w:u w:val="none"/>
    </w:rPr>
  </w:style>
  <w:style w:type="character" w:customStyle="1" w:styleId="29">
    <w:name w:val="font61"/>
    <w:basedOn w:val="13"/>
    <w:qFormat/>
    <w:uiPriority w:val="0"/>
    <w:rPr>
      <w:rFonts w:ascii="仿宋_GB2312" w:eastAsia="仿宋_GB2312" w:cs="仿宋_GB2312"/>
      <w:color w:val="000000"/>
      <w:sz w:val="24"/>
      <w:szCs w:val="24"/>
      <w:u w:val="none"/>
    </w:rPr>
  </w:style>
  <w:style w:type="character" w:customStyle="1" w:styleId="30">
    <w:name w:val="font21"/>
    <w:basedOn w:val="13"/>
    <w:qFormat/>
    <w:uiPriority w:val="0"/>
    <w:rPr>
      <w:rFonts w:ascii="Times New Roman" w:hAnsi="Times New Roman" w:cs="Times New Roman"/>
      <w:color w:val="000000"/>
      <w:sz w:val="24"/>
      <w:szCs w:val="24"/>
      <w:u w:val="none"/>
    </w:rPr>
  </w:style>
  <w:style w:type="character" w:customStyle="1" w:styleId="31">
    <w:name w:val="font31"/>
    <w:basedOn w:val="13"/>
    <w:qFormat/>
    <w:uiPriority w:val="0"/>
    <w:rPr>
      <w:rFonts w:ascii="Times New Roman" w:hAnsi="Times New Roman" w:cs="Times New Roman"/>
      <w:color w:val="000000"/>
      <w:sz w:val="24"/>
      <w:szCs w:val="24"/>
      <w:u w:val="none"/>
    </w:rPr>
  </w:style>
  <w:style w:type="character" w:customStyle="1" w:styleId="32">
    <w:name w:val="font71"/>
    <w:basedOn w:val="13"/>
    <w:qFormat/>
    <w:uiPriority w:val="0"/>
    <w:rPr>
      <w:rFonts w:ascii="仿宋_GB2312" w:eastAsia="仿宋_GB2312" w:cs="仿宋_GB2312"/>
      <w:color w:val="000000"/>
      <w:sz w:val="24"/>
      <w:szCs w:val="24"/>
      <w:u w:val="none"/>
    </w:rPr>
  </w:style>
  <w:style w:type="character" w:customStyle="1" w:styleId="33">
    <w:name w:val="font11"/>
    <w:basedOn w:val="13"/>
    <w:qFormat/>
    <w:uiPriority w:val="0"/>
    <w:rPr>
      <w:rFonts w:ascii="Arial" w:hAnsi="Arial" w:cs="Arial"/>
      <w:color w:val="000000"/>
      <w:sz w:val="20"/>
      <w:szCs w:val="20"/>
      <w:u w:val="none"/>
    </w:rPr>
  </w:style>
  <w:style w:type="character" w:customStyle="1" w:styleId="34">
    <w:name w:val="font01"/>
    <w:basedOn w:val="1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方正兰亭黑_GBK"/>
                <a:ea typeface="方正兰亭黑_GBK"/>
                <a:cs typeface="Lucida Sans" panose="020B0602030504020204"/>
              </a:defRPr>
            </a:pPr>
            <a:r>
              <a:rPr lang="zh-CN" sz="1400" b="0" i="0" u="none" strike="noStrike" baseline="0">
                <a:solidFill>
                  <a:srgbClr val="595959"/>
                </a:solidFill>
                <a:latin typeface="方正兰亭黑_GBK"/>
                <a:ea typeface="方正兰亭黑_GBK"/>
                <a:cs typeface="Lucida Sans" panose="020B0602030504020204"/>
              </a:rPr>
              <a:t>2020年、2019年收支变动表（单位：万元）</a:t>
            </a:r>
            <a:endParaRPr lang="zh-CN" sz="1400" b="0" i="0" u="none" strike="noStrike" baseline="0">
              <a:solidFill>
                <a:srgbClr val="595959"/>
              </a:solidFill>
              <a:latin typeface="方正兰亭黑_GBK"/>
              <a:ea typeface="方正兰亭黑_GBK"/>
              <a:cs typeface="Lucida Sans" panose="020B0602030504020204"/>
            </a:endParaRPr>
          </a:p>
        </c:rich>
      </c:tx>
      <c:layout/>
      <c:overlay val="0"/>
      <c:spPr>
        <a:noFill/>
        <a:ln>
          <a:noFill/>
        </a:ln>
      </c:spPr>
    </c:title>
    <c:autoTitleDeleted val="0"/>
    <c:plotArea>
      <c:layout/>
      <c:barChart>
        <c:barDir val="col"/>
        <c:grouping val="clustered"/>
        <c:varyColors val="0"/>
        <c:ser>
          <c:idx val="0"/>
          <c:order val="0"/>
          <c:tx>
            <c:strRef>
              <c:f>2020年</c:f>
              <c:strCache>
                <c:ptCount val="1"/>
                <c:pt idx="0">
                  <c:v>2020年</c:v>
                </c:pt>
              </c:strCache>
            </c:strRef>
          </c:tx>
          <c:spPr>
            <a:solidFill>
              <a:srgbClr val="4F81BD"/>
            </a:solid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{"收入","支出"}</c:f>
              <c:strCache>
                <c:ptCount val="2"/>
                <c:pt idx="0">
                  <c:v>收入</c:v>
                </c:pt>
                <c:pt idx="1">
                  <c:v>支出</c:v>
                </c:pt>
              </c:strCache>
            </c:strRef>
          </c:cat>
          <c:val>
            <c:numRef>
              <c:f>{34804.38,34804.38}</c:f>
              <c:numCache>
                <c:formatCode>#,##0.00_ </c:formatCode>
                <c:ptCount val="2"/>
                <c:pt idx="0">
                  <c:v>34804.38</c:v>
                </c:pt>
                <c:pt idx="1">
                  <c:v>34804.38</c:v>
                </c:pt>
              </c:numCache>
            </c:numRef>
          </c:val>
        </c:ser>
        <c:ser>
          <c:idx val="1"/>
          <c:order val="1"/>
          <c:tx>
            <c:strRef>
              <c:f>2019年</c:f>
              <c:strCache>
                <c:ptCount val="1"/>
                <c:pt idx="0">
                  <c:v>2019年</c:v>
                </c:pt>
              </c:strCache>
            </c:strRef>
          </c:tx>
          <c:spPr>
            <a:solidFill>
              <a:srgbClr val="C0504D"/>
            </a:solid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{"收入","支出"}</c:f>
              <c:strCache>
                <c:ptCount val="2"/>
                <c:pt idx="0">
                  <c:v>收入</c:v>
                </c:pt>
                <c:pt idx="1">
                  <c:v>支出</c:v>
                </c:pt>
              </c:strCache>
            </c:strRef>
          </c:cat>
          <c:val>
            <c:numRef>
              <c:f>{32558.96,32558.96}</c:f>
              <c:numCache>
                <c:formatCode>#,##0.00_ </c:formatCode>
                <c:ptCount val="2"/>
                <c:pt idx="0">
                  <c:v>32558.96</c:v>
                </c:pt>
                <c:pt idx="1">
                  <c:v>32558.96</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0.00_ "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r>
              <a:rPr lang="zh-CN"/>
              <a:t>收入机构图</a:t>
            </a:r>
            <a:endParaRPr lang="zh-CN"/>
          </a:p>
        </c:rich>
      </c:tx>
      <c:layout/>
      <c:overlay val="0"/>
      <c:spPr>
        <a:noFill/>
        <a:ln>
          <a:noFill/>
        </a:ln>
      </c:spPr>
    </c:title>
    <c:autoTitleDeleted val="0"/>
    <c:plotArea>
      <c:layout>
        <c:manualLayout>
          <c:layoutTarget val="inner"/>
          <c:xMode val="edge"/>
          <c:yMode val="edge"/>
          <c:x val="0.33150482"/>
          <c:y val="0.32746428"/>
          <c:w val="0.34254616"/>
          <c:h val="0.5709103"/>
        </c:manualLayout>
      </c:layout>
      <c:pieChart>
        <c:varyColors val="1"/>
        <c:ser>
          <c:idx val="0"/>
          <c:order val="0"/>
          <c:spPr>
            <a:solidFill>
              <a:srgbClr val="FA6600"/>
            </a:solidFill>
            <a:ln>
              <a:noFill/>
            </a:ln>
            <a:effectLst>
              <a:outerShdw dist="35921" dir="2700000" algn="br">
                <a:srgbClr val="000000"/>
              </a:outerShdw>
            </a:effectLst>
          </c:spPr>
          <c:explosion val="3"/>
          <c:dPt>
            <c:idx val="0"/>
            <c:bubble3D val="0"/>
            <c:spPr>
              <a:solidFill>
                <a:srgbClr val="FA6600"/>
              </a:solidFill>
              <a:ln w="19050">
                <a:solidFill>
                  <a:srgbClr val="FFFFFF"/>
                </a:solidFill>
                <a:prstDash val="sysDash"/>
              </a:ln>
              <a:effectLst>
                <a:outerShdw dist="35921" dir="2700000" algn="br">
                  <a:srgbClr val="000000"/>
                </a:outerShdw>
              </a:effectLst>
            </c:spPr>
          </c:dPt>
          <c:dPt>
            <c:idx val="1"/>
            <c:bubble3D val="0"/>
            <c:spPr>
              <a:solidFill>
                <a:srgbClr val="F1F5DE"/>
              </a:solidFill>
              <a:ln w="19050">
                <a:solidFill>
                  <a:srgbClr val="FFFFFF"/>
                </a:solidFill>
                <a:prstDash val="sysDash"/>
              </a:ln>
              <a:effectLst>
                <a:outerShdw dist="35921" dir="2700000" algn="br">
                  <a:srgbClr val="000000"/>
                </a:outerShdw>
              </a:effectLst>
            </c:spPr>
          </c:dPt>
          <c:dPt>
            <c:idx val="2"/>
            <c:bubble3D val="0"/>
            <c:spPr>
              <a:solidFill>
                <a:srgbClr val="45C4C5"/>
              </a:solidFill>
              <a:ln w="19050">
                <a:solidFill>
                  <a:srgbClr val="FFFFFF"/>
                </a:solidFill>
                <a:prstDash val="sysDash"/>
              </a:ln>
              <a:effectLst>
                <a:outerShdw dist="35921" dir="2700000" algn="br">
                  <a:srgbClr val="000000"/>
                </a:outerShdw>
              </a:effectLst>
            </c:spPr>
          </c:dPt>
          <c:dPt>
            <c:idx val="3"/>
            <c:bubble3D val="0"/>
            <c:spPr>
              <a:solidFill>
                <a:srgbClr val="FA6600"/>
              </a:solidFill>
              <a:ln>
                <a:noFill/>
              </a:ln>
              <a:effectLst>
                <a:outerShdw dist="35921" dir="2700000" algn="br">
                  <a:srgbClr val="000000"/>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{"一般公共预算财政拨款","政府性基金预算财政拨款","上级补助","事业收入"}</c:f>
              <c:strCache>
                <c:ptCount val="4"/>
                <c:pt idx="0">
                  <c:v>一般公共预算财政拨款</c:v>
                </c:pt>
                <c:pt idx="1">
                  <c:v>政府性基金预算财政拨款</c:v>
                </c:pt>
                <c:pt idx="2">
                  <c:v>上级补助</c:v>
                </c:pt>
                <c:pt idx="3">
                  <c:v>事业收入</c:v>
                </c:pt>
              </c:strCache>
            </c:strRef>
          </c:cat>
          <c:val>
            <c:numRef>
              <c:f>{29151.19,853.95,14,4781.81}</c:f>
              <c:numCache>
                <c:formatCode>General</c:formatCode>
                <c:ptCount val="4"/>
                <c:pt idx="0">
                  <c:v>29151.19</c:v>
                </c:pt>
                <c:pt idx="1">
                  <c:v>853.95</c:v>
                </c:pt>
                <c:pt idx="2">
                  <c:v>14</c:v>
                </c:pt>
                <c:pt idx="3">
                  <c:v>4781.81</c:v>
                </c:pt>
              </c:numCache>
            </c:numRef>
          </c:val>
        </c:ser>
        <c:dLbls>
          <c:showLegendKey val="0"/>
          <c:showVal val="0"/>
          <c:showCatName val="0"/>
          <c:showSerName val="0"/>
          <c:showPercent val="1"/>
          <c:showBubbleSize val="0"/>
          <c:showLeaderLines val="1"/>
        </c:dLbls>
        <c:firstSliceAng val="0"/>
      </c:pieChart>
      <c:spPr>
        <a:noFill/>
        <a:ln>
          <a:noFill/>
        </a:ln>
      </c:spPr>
    </c:plotArea>
    <c:legend>
      <c:legendPos val="t"/>
      <c:layout>
        <c:manualLayout>
          <c:xMode val="edge"/>
          <c:yMode val="edge"/>
          <c:x val="0.26472223"/>
          <c:y val="0.4298541"/>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p>
      </c:txPr>
    </c:legend>
    <c:plotVisOnly val="1"/>
    <c:dispBlanksAs val="gap"/>
    <c:showDLblsOverMax val="0"/>
  </c:chart>
  <c:spPr>
    <a:gradFill rotWithShape="1">
      <a:gsLst>
        <a:gs pos="0">
          <a:srgbClr val="126A78">
            <a:alpha val="100000"/>
          </a:srgbClr>
        </a:gs>
        <a:gs pos="50000">
          <a:srgbClr val="168595">
            <a:alpha val="100000"/>
          </a:srgbClr>
        </a:gs>
        <a:gs pos="100000">
          <a:srgbClr val="126A78">
            <a:alpha val="100000"/>
          </a:srgbClr>
        </a:gs>
      </a:gsLst>
      <a:lin ang="5400000" scaled="1"/>
    </a:gradFill>
    <a:ln w="6350" cap="flat" cmpd="sng" algn="ctr">
      <a:solidFill>
        <a:srgbClr val="D9D9D9"/>
      </a:solidFill>
      <a:prstDash val="solid"/>
      <a:round/>
    </a:ln>
    <a:effectLst>
      <a:outerShdw blurRad="50800" dist="38100" dir="2700000" algn="tl" rotWithShape="0">
        <a:prstClr val="black">
          <a:alpha val="40000"/>
        </a:prstClr>
      </a:outerShdw>
    </a:effectLst>
  </c:spPr>
  <c:txPr>
    <a:bodyPr/>
    <a:lstStyle/>
    <a:p>
      <a:pPr>
        <a:defRPr lang="zh-CN" sz="1000" b="0" i="0" u="none" strike="noStrike" baseline="0">
          <a:solidFill>
            <a:srgbClr val="D9D9D9"/>
          </a:solidFill>
          <a:latin typeface="微软雅黑" panose="020B0503020204020204" charset="-122"/>
          <a:ea typeface="微软雅黑" panose="020B0503020204020204"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r>
              <a:rPr lang="zh-CN"/>
              <a:t>支出决算结构图</a:t>
            </a:r>
            <a:endParaRPr lang="zh-CN"/>
          </a:p>
        </c:rich>
      </c:tx>
      <c:layout/>
      <c:overlay val="0"/>
      <c:spPr>
        <a:noFill/>
        <a:ln>
          <a:noFill/>
        </a:ln>
      </c:spPr>
    </c:title>
    <c:autoTitleDeleted val="0"/>
    <c:plotArea>
      <c:layout>
        <c:manualLayout>
          <c:layoutTarget val="inner"/>
          <c:xMode val="edge"/>
          <c:yMode val="edge"/>
          <c:x val="0.33150482"/>
          <c:y val="0.32746428"/>
          <c:w val="0.34254616"/>
          <c:h val="0.5709103"/>
        </c:manualLayout>
      </c:layout>
      <c:pieChart>
        <c:varyColors val="1"/>
        <c:ser>
          <c:idx val="0"/>
          <c:order val="0"/>
          <c:spPr>
            <a:solidFill>
              <a:srgbClr val="FA6600"/>
            </a:solidFill>
            <a:ln>
              <a:noFill/>
            </a:ln>
            <a:effectLst>
              <a:outerShdw dist="35921" dir="2700000" algn="br">
                <a:srgbClr val="000000"/>
              </a:outerShdw>
            </a:effectLst>
          </c:spPr>
          <c:explosion val="3"/>
          <c:dPt>
            <c:idx val="0"/>
            <c:bubble3D val="0"/>
            <c:spPr>
              <a:solidFill>
                <a:srgbClr val="FA6600"/>
              </a:solidFill>
              <a:ln w="19050">
                <a:solidFill>
                  <a:srgbClr val="FFFFFF"/>
                </a:solidFill>
                <a:prstDash val="sysDash"/>
              </a:ln>
              <a:effectLst>
                <a:outerShdw dist="35921" dir="2700000" algn="br">
                  <a:srgbClr val="000000"/>
                </a:outerShdw>
              </a:effectLst>
            </c:spPr>
          </c:dPt>
          <c:dPt>
            <c:idx val="1"/>
            <c:bubble3D val="0"/>
            <c:spPr>
              <a:solidFill>
                <a:srgbClr val="F1F5DE"/>
              </a:solidFill>
              <a:ln w="19050">
                <a:solidFill>
                  <a:srgbClr val="FFFFFF"/>
                </a:solidFill>
                <a:prstDash val="sysDash"/>
              </a:ln>
              <a:effectLst>
                <a:outerShdw dist="35921" dir="2700000" algn="br">
                  <a:srgbClr val="000000"/>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{16647.06,17984.08}</c:f>
              <c:numCache>
                <c:formatCode>General</c:formatCode>
                <c:ptCount val="2"/>
                <c:pt idx="0">
                  <c:v>16647.06</c:v>
                </c:pt>
                <c:pt idx="1">
                  <c:v>17984.08</c:v>
                </c:pt>
              </c:numCache>
            </c:numRef>
          </c:val>
        </c:ser>
        <c:dLbls>
          <c:showLegendKey val="0"/>
          <c:showVal val="0"/>
          <c:showCatName val="0"/>
          <c:showSerName val="0"/>
          <c:showPercent val="1"/>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p>
      </c:txPr>
    </c:legend>
    <c:plotVisOnly val="1"/>
    <c:dispBlanksAs val="gap"/>
    <c:showDLblsOverMax val="0"/>
  </c:chart>
  <c:spPr>
    <a:gradFill rotWithShape="1">
      <a:gsLst>
        <a:gs pos="0">
          <a:srgbClr val="126A78">
            <a:alpha val="100000"/>
          </a:srgbClr>
        </a:gs>
        <a:gs pos="50000">
          <a:srgbClr val="168595">
            <a:alpha val="100000"/>
          </a:srgbClr>
        </a:gs>
        <a:gs pos="100000">
          <a:srgbClr val="126A78">
            <a:alpha val="100000"/>
          </a:srgbClr>
        </a:gs>
      </a:gsLst>
      <a:lin ang="5400000" scaled="1"/>
    </a:gradFill>
    <a:ln w="6350" cap="flat" cmpd="sng" algn="ctr">
      <a:solidFill>
        <a:srgbClr val="D9D9D9"/>
      </a:solidFill>
      <a:prstDash val="solid"/>
      <a:round/>
    </a:ln>
    <a:effectLst>
      <a:outerShdw blurRad="50800" dist="38100" dir="2700000" algn="tl" rotWithShape="0">
        <a:prstClr val="black">
          <a:alpha val="40000"/>
        </a:prstClr>
      </a:outerShdw>
    </a:effectLst>
  </c:spPr>
  <c:txPr>
    <a:bodyPr/>
    <a:lstStyle/>
    <a:p>
      <a:pPr>
        <a:defRPr lang="zh-CN" sz="1000" b="0" i="0" u="none" strike="noStrike" baseline="0">
          <a:solidFill>
            <a:srgbClr val="D9D9D9"/>
          </a:solidFill>
          <a:latin typeface="微软雅黑" panose="020B0503020204020204" charset="-122"/>
          <a:ea typeface="微软雅黑" panose="020B0503020204020204"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方正兰亭黑_GBK"/>
                <a:ea typeface="方正兰亭黑_GBK"/>
                <a:cs typeface="Lucida Sans" panose="020B0602030504020204"/>
              </a:defRPr>
            </a:pPr>
            <a:r>
              <a:rPr lang="zh-CN" sz="1400" b="0" i="0" u="none" strike="noStrike" baseline="0">
                <a:solidFill>
                  <a:srgbClr val="595959"/>
                </a:solidFill>
                <a:latin typeface="方正兰亭黑_GBK"/>
                <a:ea typeface="方正兰亭黑_GBK"/>
                <a:cs typeface="Lucida Sans" panose="020B0602030504020204"/>
              </a:rPr>
              <a:t>2020年、2019年财政拨款收支变动表（单位：万元）</a:t>
            </a:r>
            <a:endParaRPr lang="zh-CN" sz="1400" b="0" i="0" u="none" strike="noStrike" baseline="0">
              <a:solidFill>
                <a:srgbClr val="595959"/>
              </a:solidFill>
              <a:latin typeface="方正兰亭黑_GBK"/>
              <a:ea typeface="方正兰亭黑_GBK"/>
              <a:cs typeface="Lucida Sans" panose="020B0602030504020204"/>
            </a:endParaRPr>
          </a:p>
        </c:rich>
      </c:tx>
      <c:layout/>
      <c:overlay val="0"/>
      <c:spPr>
        <a:noFill/>
        <a:ln>
          <a:noFill/>
        </a:ln>
      </c:spPr>
    </c:title>
    <c:autoTitleDeleted val="0"/>
    <c:plotArea>
      <c:layout/>
      <c:barChart>
        <c:barDir val="col"/>
        <c:grouping val="clustered"/>
        <c:varyColors val="0"/>
        <c:ser>
          <c:idx val="0"/>
          <c:order val="0"/>
          <c:tx>
            <c:strRef>
              <c:f>2020年</c:f>
              <c:strCache>
                <c:ptCount val="1"/>
                <c:pt idx="0">
                  <c:v>2020年</c:v>
                </c:pt>
              </c:strCache>
            </c:strRef>
          </c:tx>
          <c:spPr>
            <a:solidFill>
              <a:srgbClr val="4F81BD"/>
            </a:solid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{"收入","支出"}</c:f>
              <c:strCache>
                <c:ptCount val="2"/>
                <c:pt idx="0">
                  <c:v>收入</c:v>
                </c:pt>
                <c:pt idx="1">
                  <c:v>支出</c:v>
                </c:pt>
              </c:strCache>
            </c:strRef>
          </c:cat>
          <c:val>
            <c:numRef>
              <c:f>{34804.38,34804.38}</c:f>
              <c:numCache>
                <c:formatCode>#,##0.00_ </c:formatCode>
                <c:ptCount val="2"/>
                <c:pt idx="0">
                  <c:v>34804.38</c:v>
                </c:pt>
                <c:pt idx="1">
                  <c:v>34804.38</c:v>
                </c:pt>
              </c:numCache>
            </c:numRef>
          </c:val>
        </c:ser>
        <c:ser>
          <c:idx val="1"/>
          <c:order val="1"/>
          <c:tx>
            <c:strRef>
              <c:f>2019年</c:f>
              <c:strCache>
                <c:ptCount val="1"/>
                <c:pt idx="0">
                  <c:v>2019年</c:v>
                </c:pt>
              </c:strCache>
            </c:strRef>
          </c:tx>
          <c:spPr>
            <a:solidFill>
              <a:srgbClr val="C0504D"/>
            </a:solid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{"收入","支出"}</c:f>
              <c:strCache>
                <c:ptCount val="2"/>
                <c:pt idx="0">
                  <c:v>收入</c:v>
                </c:pt>
                <c:pt idx="1">
                  <c:v>支出</c:v>
                </c:pt>
              </c:strCache>
            </c:strRef>
          </c:cat>
          <c:val>
            <c:numRef>
              <c:f>{32558.96,32558.96}</c:f>
              <c:numCache>
                <c:formatCode>#,##0.00_ </c:formatCode>
                <c:ptCount val="2"/>
                <c:pt idx="0">
                  <c:v>32558.96</c:v>
                </c:pt>
                <c:pt idx="1">
                  <c:v>32558.96</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0.00_ "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方正兰亭黑_GBK"/>
                <a:ea typeface="方正兰亭黑_GBK"/>
                <a:cs typeface="Lucida Sans" panose="020B0602030504020204"/>
              </a:defRPr>
            </a:pPr>
            <a:r>
              <a:rPr lang="zh-CN"/>
              <a:t>一般公共预算财政拨款收支变动图（单位：万元）</a:t>
            </a:r>
            <a:endParaRPr lang="zh-CN"/>
          </a:p>
        </c:rich>
      </c:tx>
      <c:layout/>
      <c:overlay val="0"/>
      <c:spPr>
        <a:noFill/>
        <a:ln>
          <a:noFill/>
        </a:ln>
      </c:spPr>
    </c:title>
    <c:autoTitleDeleted val="0"/>
    <c:plotArea>
      <c:layout/>
      <c:barChart>
        <c:barDir val="col"/>
        <c:grouping val="clustered"/>
        <c:varyColors val="0"/>
        <c:ser>
          <c:idx val="0"/>
          <c:order val="0"/>
          <c:spPr>
            <a:solidFill>
              <a:srgbClr val="4F81BD"/>
            </a:solid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{"2020年","2019年"}</c:f>
              <c:strCache>
                <c:ptCount val="2"/>
                <c:pt idx="0">
                  <c:v>2020年</c:v>
                </c:pt>
                <c:pt idx="1">
                  <c:v>2019年</c:v>
                </c:pt>
              </c:strCache>
            </c:strRef>
          </c:cat>
          <c:val>
            <c:numRef>
              <c:f>{29151.19,28825.52}</c:f>
              <c:numCache>
                <c:formatCode>General</c:formatCode>
                <c:ptCount val="2"/>
                <c:pt idx="0">
                  <c:v>29151.19</c:v>
                </c:pt>
                <c:pt idx="1">
                  <c:v>28825.52</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r>
              <a:rPr lang="zh-CN"/>
              <a:t>一般公共预算财政拨款支出决算结图</a:t>
            </a:r>
            <a:endParaRPr lang="zh-CN"/>
          </a:p>
        </c:rich>
      </c:tx>
      <c:layout/>
      <c:overlay val="0"/>
      <c:spPr>
        <a:noFill/>
        <a:ln>
          <a:noFill/>
        </a:ln>
      </c:spPr>
    </c:title>
    <c:autoTitleDeleted val="0"/>
    <c:plotArea>
      <c:layout>
        <c:manualLayout>
          <c:layoutTarget val="inner"/>
          <c:xMode val="edge"/>
          <c:yMode val="edge"/>
          <c:x val="0.33150482"/>
          <c:y val="0.32746428"/>
          <c:w val="0.34254616"/>
          <c:h val="0.5709103"/>
        </c:manualLayout>
      </c:layout>
      <c:pieChart>
        <c:varyColors val="1"/>
        <c:ser>
          <c:idx val="0"/>
          <c:order val="0"/>
          <c:spPr>
            <a:solidFill>
              <a:srgbClr val="FA6600"/>
            </a:solidFill>
            <a:ln>
              <a:noFill/>
            </a:ln>
            <a:effectLst>
              <a:outerShdw dist="35921" dir="2700000" algn="br">
                <a:srgbClr val="000000"/>
              </a:outerShdw>
            </a:effectLst>
          </c:spPr>
          <c:explosion val="3"/>
          <c:dPt>
            <c:idx val="0"/>
            <c:bubble3D val="0"/>
            <c:spPr>
              <a:solidFill>
                <a:srgbClr val="FA6600"/>
              </a:solidFill>
              <a:ln w="19050">
                <a:solidFill>
                  <a:srgbClr val="FFFFFF"/>
                </a:solidFill>
                <a:prstDash val="sysDash"/>
              </a:ln>
              <a:effectLst>
                <a:outerShdw dist="35921" dir="2700000" algn="br">
                  <a:srgbClr val="000000"/>
                </a:outerShdw>
              </a:effectLst>
            </c:spPr>
          </c:dPt>
          <c:dPt>
            <c:idx val="1"/>
            <c:bubble3D val="0"/>
            <c:spPr>
              <a:solidFill>
                <a:srgbClr val="F1F5DE"/>
              </a:solidFill>
              <a:ln w="19050">
                <a:solidFill>
                  <a:srgbClr val="FFFFFF"/>
                </a:solidFill>
                <a:prstDash val="sysDash"/>
              </a:ln>
              <a:effectLst>
                <a:outerShdw dist="35921" dir="2700000" algn="br">
                  <a:srgbClr val="000000"/>
                </a:outerShdw>
              </a:effectLst>
            </c:spPr>
          </c:dPt>
          <c:dPt>
            <c:idx val="2"/>
            <c:bubble3D val="0"/>
            <c:spPr>
              <a:solidFill>
                <a:srgbClr val="45C4C5"/>
              </a:solidFill>
              <a:ln w="19050">
                <a:solidFill>
                  <a:srgbClr val="FFFFFF"/>
                </a:solidFill>
                <a:prstDash val="sysDash"/>
              </a:ln>
              <a:effectLst>
                <a:outerShdw dist="35921" dir="2700000" algn="br">
                  <a:srgbClr val="000000"/>
                </a:outerShdw>
              </a:effectLst>
            </c:spPr>
          </c:dPt>
          <c:dPt>
            <c:idx val="3"/>
            <c:bubble3D val="0"/>
            <c:spPr>
              <a:solidFill>
                <a:srgbClr val="E7A80F"/>
              </a:solidFill>
              <a:ln w="19050">
                <a:solidFill>
                  <a:srgbClr val="FFFFFF"/>
                </a:solidFill>
                <a:prstDash val="sysDash"/>
              </a:ln>
              <a:effectLst>
                <a:outerShdw dist="35921" dir="2700000" algn="br">
                  <a:srgbClr val="000000"/>
                </a:outerShdw>
              </a:effectLst>
            </c:spPr>
          </c:dPt>
          <c:dPt>
            <c:idx val="4"/>
            <c:bubble3D val="0"/>
            <c:spPr>
              <a:solidFill>
                <a:srgbClr val="FA6600"/>
              </a:solidFill>
              <a:ln>
                <a:noFill/>
              </a:ln>
              <a:effectLst>
                <a:outerShdw dist="35921" dir="2700000" algn="br">
                  <a:srgbClr val="000000"/>
                </a:outerShdw>
              </a:effectLst>
            </c:spPr>
          </c:dPt>
          <c:dPt>
            <c:idx val="5"/>
            <c:bubble3D val="0"/>
            <c:spPr>
              <a:solidFill>
                <a:srgbClr val="FA6600"/>
              </a:solidFill>
              <a:ln>
                <a:noFill/>
              </a:ln>
              <a:effectLst>
                <a:outerShdw dist="35921" dir="2700000" algn="br">
                  <a:srgbClr val="000000"/>
                </a:outerShdw>
              </a:effectLst>
            </c:spPr>
          </c:dPt>
          <c:dPt>
            <c:idx val="6"/>
            <c:bubble3D val="0"/>
            <c:spPr>
              <a:solidFill>
                <a:srgbClr val="FA6600"/>
              </a:solidFill>
              <a:ln>
                <a:noFill/>
              </a:ln>
              <a:effectLst>
                <a:outerShdw dist="35921" dir="2700000" algn="br">
                  <a:srgbClr val="000000"/>
                </a:outerShdw>
              </a:effectLst>
            </c:spPr>
          </c:dPt>
          <c:dPt>
            <c:idx val="7"/>
            <c:bubble3D val="0"/>
            <c:spPr>
              <a:solidFill>
                <a:srgbClr val="FA6600"/>
              </a:solidFill>
              <a:ln>
                <a:noFill/>
              </a:ln>
              <a:effectLst>
                <a:outerShdw dist="35921" dir="2700000" algn="br">
                  <a:srgbClr val="000000"/>
                </a:outerShdw>
              </a:effectLst>
            </c:spPr>
          </c:dPt>
          <c:dPt>
            <c:idx val="8"/>
            <c:bubble3D val="0"/>
            <c:spPr>
              <a:solidFill>
                <a:srgbClr val="FA6600"/>
              </a:solidFill>
              <a:ln>
                <a:noFill/>
              </a:ln>
              <a:effectLst>
                <a:outerShdw dist="35921" dir="2700000" algn="br">
                  <a:srgbClr val="000000"/>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{"一般公共预算财政拨款支出决算结图","一般公共服务类","教育支出类","文化旅游体育与传媒类","社会保障和就业类","卫生健康","住房保障","灾害防治及应急管理","其他"}</c:f>
              <c:strCache>
                <c:ptCount val="9"/>
                <c:pt idx="0">
                  <c:v>一般公共预算财政拨款支出决算结图</c:v>
                </c:pt>
                <c:pt idx="1">
                  <c:v>一般公共服务类</c:v>
                </c:pt>
                <c:pt idx="2">
                  <c:v>教育支出类</c:v>
                </c:pt>
                <c:pt idx="3">
                  <c:v>文化旅游体育与传媒类</c:v>
                </c:pt>
                <c:pt idx="4">
                  <c:v>社会保障和就业类</c:v>
                </c:pt>
                <c:pt idx="5">
                  <c:v>卫生健康</c:v>
                </c:pt>
                <c:pt idx="6">
                  <c:v>住房保障</c:v>
                </c:pt>
                <c:pt idx="7">
                  <c:v>灾害防治及应急管理</c:v>
                </c:pt>
                <c:pt idx="8">
                  <c:v>其他</c:v>
                </c:pt>
              </c:strCache>
            </c:strRef>
          </c:cat>
          <c:val>
            <c:numRef>
              <c:f>{#N/A,4897,11880.93,10245.79,1168.91,262.91,534.72,7.93,152.99}</c:f>
              <c:numCache>
                <c:formatCode>General</c:formatCode>
                <c:ptCount val="9"/>
                <c:pt idx="1">
                  <c:v>4897</c:v>
                </c:pt>
                <c:pt idx="2">
                  <c:v>11880.93</c:v>
                </c:pt>
                <c:pt idx="3">
                  <c:v>10245.79</c:v>
                </c:pt>
                <c:pt idx="4">
                  <c:v>1168.91</c:v>
                </c:pt>
                <c:pt idx="5">
                  <c:v>262.91</c:v>
                </c:pt>
                <c:pt idx="6">
                  <c:v>534.72</c:v>
                </c:pt>
                <c:pt idx="7">
                  <c:v>7.93</c:v>
                </c:pt>
                <c:pt idx="8">
                  <c:v>152.99</c:v>
                </c:pt>
              </c:numCache>
            </c:numRef>
          </c:val>
        </c:ser>
        <c:dLbls>
          <c:showLegendKey val="0"/>
          <c:showVal val="0"/>
          <c:showCatName val="0"/>
          <c:showSerName val="0"/>
          <c:showPercent val="1"/>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p>
      </c:txPr>
    </c:legend>
    <c:plotVisOnly val="1"/>
    <c:dispBlanksAs val="gap"/>
    <c:showDLblsOverMax val="0"/>
  </c:chart>
  <c:spPr>
    <a:gradFill rotWithShape="1">
      <a:gsLst>
        <a:gs pos="0">
          <a:srgbClr val="126A78">
            <a:alpha val="100000"/>
          </a:srgbClr>
        </a:gs>
        <a:gs pos="50000">
          <a:srgbClr val="168595">
            <a:alpha val="100000"/>
          </a:srgbClr>
        </a:gs>
        <a:gs pos="100000">
          <a:srgbClr val="126A78">
            <a:alpha val="100000"/>
          </a:srgbClr>
        </a:gs>
      </a:gsLst>
      <a:lin ang="5400000" scaled="1"/>
    </a:gradFill>
    <a:ln w="6350" cap="flat" cmpd="sng" algn="ctr">
      <a:solidFill>
        <a:srgbClr val="D9D9D9"/>
      </a:solidFill>
      <a:prstDash val="solid"/>
      <a:round/>
    </a:ln>
    <a:effectLst>
      <a:outerShdw blurRad="50800" dist="38100" dir="2700000" algn="tl" rotWithShape="0">
        <a:prstClr val="black">
          <a:alpha val="40000"/>
        </a:prstClr>
      </a:outerShdw>
    </a:effectLst>
  </c:spPr>
  <c:txPr>
    <a:bodyPr/>
    <a:lstStyle/>
    <a:p>
      <a:pPr>
        <a:defRPr lang="zh-CN" sz="1000" b="0" i="0" u="none" strike="noStrike" baseline="0">
          <a:solidFill>
            <a:srgbClr val="D9D9D9"/>
          </a:solidFill>
          <a:latin typeface="微软雅黑" panose="020B0503020204020204" charset="-122"/>
          <a:ea typeface="微软雅黑" panose="020B0503020204020204"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r>
              <a:rPr lang="zh-CN"/>
              <a:t>“三公”经费经费财政拨款支出结构图</a:t>
            </a:r>
            <a:endParaRPr lang="zh-CN"/>
          </a:p>
        </c:rich>
      </c:tx>
      <c:layout>
        <c:manualLayout>
          <c:xMode val="edge"/>
          <c:yMode val="edge"/>
          <c:x val="0.16375"/>
          <c:y val="0.0063492064"/>
        </c:manualLayout>
      </c:layout>
      <c:overlay val="0"/>
      <c:spPr>
        <a:noFill/>
        <a:ln>
          <a:noFill/>
        </a:ln>
      </c:spPr>
    </c:title>
    <c:autoTitleDeleted val="0"/>
    <c:plotArea>
      <c:layout>
        <c:manualLayout>
          <c:layoutTarget val="inner"/>
          <c:xMode val="edge"/>
          <c:yMode val="edge"/>
          <c:x val="0.33150482"/>
          <c:y val="0.32746428"/>
          <c:w val="0.34254616"/>
          <c:h val="0.5709103"/>
        </c:manualLayout>
      </c:layout>
      <c:pieChart>
        <c:varyColors val="1"/>
        <c:ser>
          <c:idx val="0"/>
          <c:order val="0"/>
          <c:spPr>
            <a:solidFill>
              <a:srgbClr val="FA6600"/>
            </a:solidFill>
            <a:ln>
              <a:noFill/>
            </a:ln>
            <a:effectLst>
              <a:outerShdw dist="35921" dir="2700000" algn="br">
                <a:srgbClr val="000000"/>
              </a:outerShdw>
            </a:effectLst>
          </c:spPr>
          <c:explosion val="3"/>
          <c:dPt>
            <c:idx val="0"/>
            <c:bubble3D val="0"/>
            <c:spPr>
              <a:solidFill>
                <a:srgbClr val="FA6600"/>
              </a:solidFill>
              <a:ln w="19050">
                <a:solidFill>
                  <a:srgbClr val="FFFFFF"/>
                </a:solidFill>
                <a:prstDash val="sysDash"/>
              </a:ln>
              <a:effectLst>
                <a:outerShdw dist="35921" dir="2700000" algn="br">
                  <a:srgbClr val="000000"/>
                </a:outerShdw>
              </a:effectLst>
            </c:spPr>
          </c:dPt>
          <c:dPt>
            <c:idx val="1"/>
            <c:bubble3D val="0"/>
            <c:spPr>
              <a:solidFill>
                <a:srgbClr val="F1F5DE"/>
              </a:solidFill>
              <a:ln w="19050">
                <a:solidFill>
                  <a:srgbClr val="FFFFFF"/>
                </a:solidFill>
                <a:prstDash val="sysDash"/>
              </a:ln>
              <a:effectLst>
                <a:outerShdw dist="35921" dir="2700000" algn="br">
                  <a:srgbClr val="000000"/>
                </a:outerShdw>
              </a:effectLst>
            </c:spPr>
          </c:dPt>
          <c:dPt>
            <c:idx val="2"/>
            <c:bubble3D val="0"/>
            <c:spPr>
              <a:solidFill>
                <a:srgbClr val="45C4C5"/>
              </a:solidFill>
              <a:ln w="19050">
                <a:solidFill>
                  <a:srgbClr val="FFFFFF"/>
                </a:solidFill>
                <a:prstDash val="sysDash"/>
              </a:ln>
              <a:effectLst>
                <a:outerShdw dist="35921" dir="2700000" algn="br">
                  <a:srgbClr val="000000"/>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{0,59.13,11.93}</c:f>
              <c:numCache>
                <c:formatCode>General</c:formatCode>
                <c:ptCount val="3"/>
                <c:pt idx="0">
                  <c:v>0</c:v>
                </c:pt>
                <c:pt idx="1">
                  <c:v>59.13</c:v>
                </c:pt>
                <c:pt idx="2">
                  <c:v>11.93</c:v>
                </c:pt>
              </c:numCache>
            </c:numRef>
          </c:val>
        </c:ser>
        <c:dLbls>
          <c:showLegendKey val="0"/>
          <c:showVal val="0"/>
          <c:showCatName val="0"/>
          <c:showSerName val="0"/>
          <c:showPercent val="1"/>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D9D9D9"/>
              </a:solidFill>
              <a:latin typeface="微软雅黑" panose="020B0503020204020204" charset="-122"/>
              <a:ea typeface="微软雅黑" panose="020B0503020204020204" charset="-122"/>
              <a:cs typeface="Lucida Sans" panose="020B0602030504020204"/>
            </a:defRPr>
          </a:pPr>
        </a:p>
      </c:txPr>
    </c:legend>
    <c:plotVisOnly val="1"/>
    <c:dispBlanksAs val="gap"/>
    <c:showDLblsOverMax val="0"/>
  </c:chart>
  <c:spPr>
    <a:gradFill rotWithShape="1">
      <a:gsLst>
        <a:gs pos="0">
          <a:srgbClr val="126A78">
            <a:alpha val="100000"/>
          </a:srgbClr>
        </a:gs>
        <a:gs pos="50000">
          <a:srgbClr val="168595">
            <a:alpha val="100000"/>
          </a:srgbClr>
        </a:gs>
        <a:gs pos="100000">
          <a:srgbClr val="126A78">
            <a:alpha val="100000"/>
          </a:srgbClr>
        </a:gs>
      </a:gsLst>
      <a:lin ang="5400000" scaled="1"/>
    </a:gradFill>
    <a:ln w="6350" cap="flat" cmpd="sng" algn="ctr">
      <a:solidFill>
        <a:srgbClr val="D9D9D9"/>
      </a:solidFill>
      <a:prstDash val="solid"/>
      <a:round/>
    </a:ln>
    <a:effectLst>
      <a:outerShdw blurRad="50800" dist="38100" dir="2700000" algn="tl" rotWithShape="0">
        <a:prstClr val="black">
          <a:alpha val="40000"/>
        </a:prstClr>
      </a:outerShdw>
    </a:effectLst>
  </c:spPr>
  <c:txPr>
    <a:bodyPr/>
    <a:lstStyle/>
    <a:p>
      <a:pPr>
        <a:defRPr lang="zh-CN" sz="1000" b="0" i="0" u="none" strike="noStrike" baseline="0">
          <a:solidFill>
            <a:srgbClr val="D9D9D9"/>
          </a:solidFill>
          <a:latin typeface="微软雅黑" panose="020B0503020204020204" charset="-122"/>
          <a:ea typeface="微软雅黑" panose="020B0503020204020204"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73</Pages>
  <Words>33368</Words>
  <Characters>35758</Characters>
  <Lines>2095</Lines>
  <Paragraphs>739</Paragraphs>
  <TotalTime>4</TotalTime>
  <ScaleCrop>false</ScaleCrop>
  <LinksUpToDate>false</LinksUpToDate>
  <CharactersWithSpaces>36041</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大海</cp:lastModifiedBy>
  <cp:lastPrinted>2020-08-24T05:32:00Z</cp:lastPrinted>
  <dcterms:modified xsi:type="dcterms:W3CDTF">2022-08-12T06:44:04Z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KSOSaveFontToCloudKey">
    <vt:lpwstr>771900086_btnclosed</vt:lpwstr>
  </property>
  <property fmtid="{D5CDD505-2E9C-101B-9397-08002B2CF9AE}" pid="4" name="ICV">
    <vt:lpwstr>2AF38CB55A2E4B9E9B9A4A71769884DE</vt:lpwstr>
  </property>
</Properties>
</file>