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4765" w14:textId="77777777" w:rsidR="00C47EC5" w:rsidRDefault="00C47EC5">
      <w:pPr>
        <w:spacing w:line="600" w:lineRule="exact"/>
        <w:jc w:val="left"/>
        <w:outlineLvl w:val="0"/>
        <w:rPr>
          <w:rFonts w:ascii="方正小标宋简体" w:eastAsia="方正小标宋简体" w:hAnsi="宋体"/>
          <w:color w:val="000000"/>
          <w:sz w:val="30"/>
          <w:szCs w:val="30"/>
        </w:rPr>
      </w:pPr>
      <w:bookmarkStart w:id="0" w:name="_Toc15306267"/>
    </w:p>
    <w:p w14:paraId="49EEAFDA" w14:textId="77777777" w:rsidR="00C47EC5" w:rsidRDefault="00C47EC5">
      <w:pPr>
        <w:spacing w:line="600" w:lineRule="exact"/>
        <w:jc w:val="center"/>
        <w:outlineLvl w:val="0"/>
        <w:rPr>
          <w:rFonts w:ascii="方正小标宋简体" w:eastAsia="方正小标宋简体" w:hAnsi="宋体"/>
          <w:color w:val="000000"/>
          <w:sz w:val="72"/>
          <w:szCs w:val="72"/>
        </w:rPr>
      </w:pPr>
    </w:p>
    <w:p w14:paraId="64DD26F1" w14:textId="77777777" w:rsidR="00C47EC5" w:rsidRDefault="00C47EC5">
      <w:pPr>
        <w:spacing w:line="600" w:lineRule="exact"/>
        <w:jc w:val="center"/>
        <w:outlineLvl w:val="0"/>
        <w:rPr>
          <w:rFonts w:ascii="方正小标宋简体" w:eastAsia="方正小标宋简体" w:hAnsi="宋体"/>
          <w:color w:val="000000"/>
          <w:sz w:val="72"/>
          <w:szCs w:val="72"/>
        </w:rPr>
      </w:pPr>
    </w:p>
    <w:p w14:paraId="132BE935" w14:textId="77777777" w:rsidR="00C47EC5" w:rsidRDefault="00C47EC5">
      <w:pPr>
        <w:spacing w:line="600" w:lineRule="exact"/>
        <w:jc w:val="center"/>
        <w:outlineLvl w:val="0"/>
        <w:rPr>
          <w:rFonts w:ascii="方正小标宋简体" w:eastAsia="方正小标宋简体" w:hAnsi="宋体"/>
          <w:color w:val="000000"/>
          <w:sz w:val="72"/>
          <w:szCs w:val="72"/>
        </w:rPr>
      </w:pPr>
    </w:p>
    <w:p w14:paraId="169E612F" w14:textId="77777777" w:rsidR="00C47EC5" w:rsidRDefault="00DA151C">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77193"/>
      <w:bookmarkStart w:id="3" w:name="_Toc15396597"/>
      <w:bookmarkStart w:id="4" w:name="_Toc15378441"/>
      <w:bookmarkStart w:id="5" w:name="_Toc15396475"/>
      <w:r>
        <w:rPr>
          <w:rFonts w:ascii="黑体" w:eastAsia="黑体" w:hAnsi="黑体"/>
          <w:color w:val="000000"/>
          <w:sz w:val="72"/>
          <w:szCs w:val="72"/>
        </w:rPr>
        <w:t>20</w:t>
      </w:r>
      <w:r>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r>
        <w:rPr>
          <w:rFonts w:ascii="方正小标宋简体" w:eastAsia="方正小标宋简体" w:hAnsi="宋体" w:hint="eastAsia"/>
          <w:color w:val="000000"/>
          <w:sz w:val="72"/>
          <w:szCs w:val="72"/>
        </w:rPr>
        <w:t>四川省台湾</w:t>
      </w:r>
    </w:p>
    <w:p w14:paraId="55031420" w14:textId="77777777" w:rsidR="00C47EC5" w:rsidRDefault="00DA151C">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同胞联谊会部门决算</w:t>
      </w:r>
    </w:p>
    <w:bookmarkEnd w:id="0"/>
    <w:p w14:paraId="7227F779" w14:textId="77777777" w:rsidR="00C47EC5" w:rsidRDefault="00DA151C">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 录</w:t>
      </w:r>
    </w:p>
    <w:p w14:paraId="024DD3B9" w14:textId="77777777" w:rsidR="00C47EC5" w:rsidRDefault="00C47EC5">
      <w:pPr>
        <w:widowControl/>
        <w:jc w:val="center"/>
        <w:rPr>
          <w:rFonts w:ascii="黑体" w:eastAsia="黑体" w:hAnsi="黑体" w:cstheme="minorBidi"/>
          <w:sz w:val="28"/>
          <w:szCs w:val="28"/>
        </w:rPr>
      </w:pPr>
    </w:p>
    <w:p w14:paraId="7EC00FEF" w14:textId="6BF8217C" w:rsidR="00C47EC5" w:rsidRDefault="00DA151C">
      <w:pPr>
        <w:pStyle w:val="TOC1"/>
        <w:spacing w:before="0" w:line="560" w:lineRule="exact"/>
      </w:pPr>
      <w:r>
        <w:rPr>
          <w:rFonts w:hint="eastAsia"/>
        </w:rPr>
        <w:t>公开时间：2021年9月</w:t>
      </w:r>
      <w:r w:rsidR="00E305CD">
        <w:t>6</w:t>
      </w:r>
      <w:r>
        <w:rPr>
          <w:rFonts w:hint="eastAsia"/>
        </w:rPr>
        <w:t>日</w:t>
      </w:r>
    </w:p>
    <w:p w14:paraId="293038B7" w14:textId="77777777" w:rsidR="00C47EC5" w:rsidRDefault="00C47EC5">
      <w:pPr>
        <w:spacing w:line="560" w:lineRule="exact"/>
      </w:pPr>
    </w:p>
    <w:p w14:paraId="39FC9CD2" w14:textId="77777777" w:rsidR="00C47EC5" w:rsidRDefault="00DA151C">
      <w:pPr>
        <w:pStyle w:val="TOC1"/>
        <w:adjustRightInd w:val="0"/>
        <w:snapToGrid w:val="0"/>
        <w:spacing w:before="0" w:line="560" w:lineRule="exact"/>
        <w:jc w:val="left"/>
        <w:rPr>
          <w:rFonts w:ascii="方正仿宋_GBK" w:eastAsia="方正仿宋_GBK" w:cstheme="minorBidi"/>
        </w:rPr>
      </w:pPr>
      <w:r>
        <w:rPr>
          <w:rFonts w:ascii="方正仿宋_GBK" w:eastAsia="方正仿宋_GBK" w:hint="eastAsia"/>
        </w:rPr>
        <w:t>第一部分 单位概况....................................................................4</w:t>
      </w:r>
    </w:p>
    <w:p w14:paraId="2B19040D"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一、职能简介.......................................................................4</w:t>
      </w:r>
    </w:p>
    <w:p w14:paraId="79BD1F71" w14:textId="1BFE9A1C" w:rsidR="00C47EC5" w:rsidRDefault="00DA151C">
      <w:pPr>
        <w:pStyle w:val="TOC2"/>
        <w:adjustRightInd w:val="0"/>
        <w:snapToGrid w:val="0"/>
        <w:spacing w:line="560" w:lineRule="exact"/>
        <w:jc w:val="left"/>
        <w:rPr>
          <w:rFonts w:ascii="方正仿宋_GBK" w:eastAsia="方正仿宋_GBK" w:hAnsiTheme="minorEastAsia" w:cstheme="minorEastAsia"/>
          <w:sz w:val="28"/>
          <w:szCs w:val="28"/>
        </w:rPr>
      </w:pPr>
      <w:r>
        <w:rPr>
          <w:rFonts w:ascii="方正仿宋_GBK" w:eastAsia="方正仿宋_GBK" w:hAnsiTheme="minorEastAsia" w:cstheme="minorEastAsia" w:hint="eastAsia"/>
          <w:sz w:val="28"/>
          <w:szCs w:val="28"/>
        </w:rPr>
        <w:t>二、2020年重点工作完成情况...............................................5</w:t>
      </w:r>
    </w:p>
    <w:p w14:paraId="116AE00B" w14:textId="7AC05011" w:rsidR="00942D28" w:rsidRPr="00942D28" w:rsidRDefault="00942D28" w:rsidP="00942D28">
      <w:pPr>
        <w:pStyle w:val="TOC2"/>
        <w:adjustRightInd w:val="0"/>
        <w:snapToGrid w:val="0"/>
        <w:spacing w:line="560" w:lineRule="exact"/>
        <w:jc w:val="left"/>
        <w:rPr>
          <w:rFonts w:ascii="方正仿宋_GBK" w:eastAsia="方正仿宋_GBK" w:hAnsiTheme="minorEastAsia" w:cstheme="minorEastAsia"/>
          <w:sz w:val="28"/>
          <w:szCs w:val="28"/>
        </w:rPr>
      </w:pPr>
      <w:r>
        <w:rPr>
          <w:rFonts w:ascii="方正仿宋_GBK" w:eastAsia="方正仿宋_GBK" w:hAnsiTheme="minorEastAsia" w:cstheme="minorEastAsia" w:hint="eastAsia"/>
          <w:sz w:val="28"/>
          <w:szCs w:val="28"/>
        </w:rPr>
        <w:t>三、机构设置情况………………………………………………………</w:t>
      </w:r>
      <w:r>
        <w:rPr>
          <w:rFonts w:ascii="方正仿宋_GBK" w:eastAsia="方正仿宋_GBK" w:hAnsiTheme="minorEastAsia" w:cstheme="minorEastAsia"/>
          <w:sz w:val="28"/>
          <w:szCs w:val="28"/>
        </w:rPr>
        <w:t>9</w:t>
      </w:r>
    </w:p>
    <w:p w14:paraId="676C1F25" w14:textId="77777777" w:rsidR="00C47EC5" w:rsidRDefault="00DA151C">
      <w:pPr>
        <w:pStyle w:val="TOC1"/>
        <w:adjustRightInd w:val="0"/>
        <w:snapToGrid w:val="0"/>
        <w:spacing w:before="0" w:line="560" w:lineRule="exact"/>
        <w:jc w:val="left"/>
        <w:rPr>
          <w:rFonts w:ascii="方正仿宋_GBK" w:eastAsia="方正仿宋_GBK"/>
        </w:rPr>
      </w:pPr>
      <w:r>
        <w:rPr>
          <w:rFonts w:ascii="方正仿宋_GBK" w:eastAsia="方正仿宋_GBK" w:hint="eastAsia"/>
        </w:rPr>
        <w:t>第二部分 2020年度部门决算情况说明.......................................10</w:t>
      </w:r>
    </w:p>
    <w:p w14:paraId="39F3BA44"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一、收入支出决算总体情况说明...........................................10</w:t>
      </w:r>
    </w:p>
    <w:p w14:paraId="563D84CA"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二、收入决算情况说明........................................................10</w:t>
      </w:r>
    </w:p>
    <w:p w14:paraId="111C1B2B"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三、支出决算情况说明........................................................11</w:t>
      </w:r>
    </w:p>
    <w:p w14:paraId="7E4AF5AB"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四、财政拨款收入支出决算总体情况说明.............................11</w:t>
      </w:r>
    </w:p>
    <w:p w14:paraId="1CBF920A"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五、一般公共预算财政拨款支出决算情况说明......................12</w:t>
      </w:r>
    </w:p>
    <w:p w14:paraId="7C525947"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六、一般公共预算财政拨款基本支出决算情况说明...............14</w:t>
      </w:r>
    </w:p>
    <w:p w14:paraId="7E37FC37"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七、“三公”经费财政拨款支出决算情况说明........................15</w:t>
      </w:r>
    </w:p>
    <w:p w14:paraId="44D3BAE6" w14:textId="77777777" w:rsidR="00C47EC5" w:rsidRDefault="00DA151C">
      <w:pPr>
        <w:pStyle w:val="TOC2"/>
        <w:adjustRightInd w:val="0"/>
        <w:snapToGrid w:val="0"/>
        <w:spacing w:line="560" w:lineRule="exact"/>
        <w:jc w:val="left"/>
        <w:rPr>
          <w:rFonts w:ascii="方正仿宋_GBK" w:eastAsia="方正仿宋_GBK" w:hAnsi="仿宋" w:cstheme="minorBidi"/>
          <w:sz w:val="28"/>
          <w:szCs w:val="28"/>
        </w:rPr>
      </w:pPr>
      <w:r>
        <w:rPr>
          <w:rFonts w:ascii="方正仿宋_GBK" w:eastAsia="方正仿宋_GBK" w:hint="eastAsia"/>
          <w:sz w:val="28"/>
          <w:szCs w:val="28"/>
        </w:rPr>
        <w:t>八、政府性基金预算支出决算情况说明.................................17</w:t>
      </w:r>
    </w:p>
    <w:p w14:paraId="09B5D935"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九、国有资本经营预算支出决算情况说明..............................17</w:t>
      </w:r>
    </w:p>
    <w:p w14:paraId="205A7CF4"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十、其他重要事项的情况说明...............................................17</w:t>
      </w:r>
    </w:p>
    <w:p w14:paraId="4A78670B" w14:textId="77777777" w:rsidR="00C47EC5" w:rsidRDefault="00DA151C">
      <w:pPr>
        <w:pStyle w:val="TOC1"/>
        <w:adjustRightInd w:val="0"/>
        <w:snapToGrid w:val="0"/>
        <w:spacing w:before="0" w:line="560" w:lineRule="exact"/>
        <w:jc w:val="left"/>
        <w:rPr>
          <w:rFonts w:ascii="方正仿宋_GBK" w:eastAsia="方正仿宋_GBK" w:cstheme="minorBidi"/>
        </w:rPr>
      </w:pPr>
      <w:r>
        <w:rPr>
          <w:rFonts w:ascii="方正仿宋_GBK" w:eastAsia="方正仿宋_GBK" w:hint="eastAsia"/>
        </w:rPr>
        <w:t>第三部分 名词解释...................................................................19</w:t>
      </w:r>
    </w:p>
    <w:p w14:paraId="0815F900" w14:textId="77777777" w:rsidR="00C47EC5" w:rsidRDefault="00DA151C">
      <w:pPr>
        <w:pStyle w:val="TOC1"/>
        <w:adjustRightInd w:val="0"/>
        <w:snapToGrid w:val="0"/>
        <w:spacing w:before="0" w:line="560" w:lineRule="exact"/>
        <w:jc w:val="left"/>
        <w:rPr>
          <w:rFonts w:ascii="方正仿宋_GBK" w:eastAsia="方正仿宋_GBK" w:cstheme="minorBidi"/>
        </w:rPr>
      </w:pPr>
      <w:r>
        <w:rPr>
          <w:rFonts w:ascii="方正仿宋_GBK" w:eastAsia="方正仿宋_GBK" w:hint="eastAsia"/>
        </w:rPr>
        <w:t>第四部分 附件..........................................................................22</w:t>
      </w:r>
    </w:p>
    <w:p w14:paraId="4DFE2CF9" w14:textId="77777777" w:rsidR="00C47EC5" w:rsidRDefault="00DA151C">
      <w:pPr>
        <w:pStyle w:val="TOC1"/>
        <w:adjustRightInd w:val="0"/>
        <w:snapToGrid w:val="0"/>
        <w:spacing w:before="0" w:line="560" w:lineRule="exact"/>
        <w:jc w:val="left"/>
        <w:rPr>
          <w:rFonts w:ascii="方正仿宋_GBK" w:eastAsia="方正仿宋_GBK" w:cstheme="minorBidi"/>
        </w:rPr>
      </w:pPr>
      <w:r>
        <w:rPr>
          <w:rFonts w:ascii="方正仿宋_GBK" w:eastAsia="方正仿宋_GBK" w:hint="eastAsia"/>
        </w:rPr>
        <w:t>第五部分 附表..........................................................................23</w:t>
      </w:r>
    </w:p>
    <w:p w14:paraId="2B101A3C"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一、收入支出决算总表.........................................................23</w:t>
      </w:r>
    </w:p>
    <w:p w14:paraId="23CB381B"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二、收入决算表...................................................................23</w:t>
      </w:r>
    </w:p>
    <w:p w14:paraId="46342226"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lastRenderedPageBreak/>
        <w:t>三、支出决算表...................................................................23</w:t>
      </w:r>
    </w:p>
    <w:p w14:paraId="590EEA70"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四、财政拨款收入支出决算总表..............................................23</w:t>
      </w:r>
    </w:p>
    <w:p w14:paraId="2C44B457"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五、财政拨款支出决算明细表.................................................23</w:t>
      </w:r>
    </w:p>
    <w:p w14:paraId="62C7256D"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六、一般公共预算财政拨款支出决算表...................................23</w:t>
      </w:r>
    </w:p>
    <w:p w14:paraId="0CF3ACCE"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七、一般公共预算财政拨款支出决算明细表............................23</w:t>
      </w:r>
    </w:p>
    <w:p w14:paraId="7B390504"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八、一般公共预算财政拨款基本支出决算表............................23</w:t>
      </w:r>
    </w:p>
    <w:p w14:paraId="558274C5"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九、一般公共预算财政拨款项目支出决算表............................23</w:t>
      </w:r>
    </w:p>
    <w:p w14:paraId="08C68F66"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十、一般公共预算财政拨款“三公”经费支出决算表..............23</w:t>
      </w:r>
    </w:p>
    <w:p w14:paraId="4477E9C3"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十一、政府性基金预算财政拨款收入支出决算表....................23</w:t>
      </w:r>
    </w:p>
    <w:p w14:paraId="474FB009"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十二、政府性基金预算财政拨款“三公”经费支出决算表......23</w:t>
      </w:r>
    </w:p>
    <w:p w14:paraId="57212D13" w14:textId="77777777" w:rsidR="00C47EC5" w:rsidRDefault="00DA151C">
      <w:pPr>
        <w:pStyle w:val="TOC2"/>
        <w:adjustRightInd w:val="0"/>
        <w:snapToGrid w:val="0"/>
        <w:spacing w:line="560" w:lineRule="exact"/>
        <w:jc w:val="left"/>
        <w:rPr>
          <w:rFonts w:ascii="方正仿宋_GBK" w:eastAsia="方正仿宋_GBK"/>
          <w:sz w:val="28"/>
          <w:szCs w:val="28"/>
        </w:rPr>
      </w:pPr>
      <w:r>
        <w:rPr>
          <w:rFonts w:ascii="方正仿宋_GBK" w:eastAsia="方正仿宋_GBK" w:hint="eastAsia"/>
          <w:sz w:val="28"/>
          <w:szCs w:val="28"/>
        </w:rPr>
        <w:t>十三、国有资本经营预算财政拨款收入支出决算表................23</w:t>
      </w:r>
    </w:p>
    <w:p w14:paraId="2ECB09A5" w14:textId="77777777" w:rsidR="00C47EC5" w:rsidRDefault="00DA151C">
      <w:pPr>
        <w:pStyle w:val="TOC2"/>
        <w:adjustRightInd w:val="0"/>
        <w:snapToGrid w:val="0"/>
        <w:spacing w:line="560" w:lineRule="exact"/>
        <w:jc w:val="left"/>
        <w:rPr>
          <w:rFonts w:ascii="方正仿宋_GBK" w:eastAsia="方正仿宋_GBK"/>
          <w:sz w:val="24"/>
        </w:rPr>
      </w:pPr>
      <w:r>
        <w:rPr>
          <w:rFonts w:ascii="方正仿宋_GBK" w:eastAsia="方正仿宋_GBK" w:hint="eastAsia"/>
          <w:sz w:val="28"/>
          <w:szCs w:val="28"/>
        </w:rPr>
        <w:t>十四、国有资本经营预算财政拨款支出决算表.......................23</w:t>
      </w:r>
    </w:p>
    <w:p w14:paraId="3E3DCD51" w14:textId="77777777" w:rsidR="00C47EC5" w:rsidRDefault="00C47EC5"/>
    <w:p w14:paraId="63FA761D" w14:textId="77777777" w:rsidR="00C47EC5" w:rsidRDefault="00DA151C">
      <w:pPr>
        <w:widowControl/>
        <w:spacing w:line="440" w:lineRule="exact"/>
        <w:jc w:val="left"/>
        <w:rPr>
          <w:rFonts w:ascii="仿宋" w:eastAsia="仿宋" w:hAnsi="仿宋"/>
          <w:bCs/>
          <w:kern w:val="44"/>
          <w:sz w:val="24"/>
        </w:rPr>
      </w:pPr>
      <w:bookmarkStart w:id="6" w:name="_Toc15377196"/>
      <w:bookmarkStart w:id="7" w:name="_Toc15396599"/>
      <w:r>
        <w:rPr>
          <w:rFonts w:ascii="仿宋" w:eastAsia="仿宋" w:hAnsi="仿宋"/>
          <w:b/>
          <w:sz w:val="24"/>
        </w:rPr>
        <w:br w:type="page"/>
      </w:r>
    </w:p>
    <w:p w14:paraId="1A9220A3" w14:textId="77777777" w:rsidR="00C47EC5" w:rsidRDefault="00DA151C">
      <w:pPr>
        <w:pStyle w:val="1"/>
        <w:spacing w:before="0" w:after="0" w:line="560" w:lineRule="exact"/>
        <w:jc w:val="center"/>
        <w:rPr>
          <w:rStyle w:val="10"/>
          <w:rFonts w:ascii="黑体" w:eastAsia="黑体" w:hAnsi="黑体"/>
        </w:rPr>
      </w:pPr>
      <w:r>
        <w:rPr>
          <w:rFonts w:ascii="黑体" w:eastAsia="黑体" w:hAnsi="黑体" w:hint="eastAsia"/>
          <w:b w:val="0"/>
        </w:rPr>
        <w:lastRenderedPageBreak/>
        <w:t>第一部分 单位</w:t>
      </w:r>
      <w:r>
        <w:rPr>
          <w:rStyle w:val="10"/>
          <w:rFonts w:ascii="黑体" w:eastAsia="黑体" w:hAnsi="黑体" w:hint="eastAsia"/>
        </w:rPr>
        <w:t>概况</w:t>
      </w:r>
      <w:bookmarkEnd w:id="6"/>
      <w:bookmarkEnd w:id="7"/>
    </w:p>
    <w:p w14:paraId="72FAC87B" w14:textId="77777777" w:rsidR="00C47EC5" w:rsidRDefault="00C47EC5">
      <w:pPr>
        <w:spacing w:line="560" w:lineRule="exact"/>
      </w:pPr>
    </w:p>
    <w:p w14:paraId="19EA0A87" w14:textId="77777777" w:rsidR="00C47EC5" w:rsidRDefault="00DA151C">
      <w:pPr>
        <w:pStyle w:val="2"/>
        <w:numPr>
          <w:ilvl w:val="0"/>
          <w:numId w:val="1"/>
        </w:numPr>
        <w:spacing w:before="0" w:after="0" w:line="560" w:lineRule="exact"/>
        <w:ind w:firstLineChars="200" w:firstLine="640"/>
        <w:rPr>
          <w:rFonts w:ascii="黑体" w:eastAsia="黑体" w:hAnsi="黑体"/>
          <w:b w:val="0"/>
          <w:bCs w:val="0"/>
        </w:rPr>
      </w:pPr>
      <w:bookmarkStart w:id="8" w:name="_Toc15377197"/>
      <w:bookmarkStart w:id="9" w:name="_Toc15396600"/>
      <w:r>
        <w:rPr>
          <w:rStyle w:val="20"/>
          <w:rFonts w:ascii="黑体" w:eastAsia="黑体" w:hAnsi="黑体" w:hint="eastAsia"/>
        </w:rPr>
        <w:t>职能简介</w:t>
      </w:r>
    </w:p>
    <w:p w14:paraId="42A289A0"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根据《四川省台湾同胞联谊会章程》，主要职责是：</w:t>
      </w:r>
    </w:p>
    <w:p w14:paraId="70869BE2"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1）团结依靠定居四川的台湾同胞，协助他们了解政府的方针政策和台湾局势；鼓励他们充分发挥聪明才智，积极参政议政，为祖国统一和中国特色社会主义建设多做贡献;了解和反映他们的意见和要求，配合有关部门按照法律和政策妥善处理。</w:t>
      </w:r>
    </w:p>
    <w:p w14:paraId="7717285B"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（2）关心和协助定居四川的台湾同胞返乡探亲、扫墓、访友、定居和进行经济、文化、教育、科技、体育等交流；帮助未与台湾亲友联系上的台胞沟通渠道、寻找亲友。</w:t>
      </w:r>
    </w:p>
    <w:p w14:paraId="4E74239E"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3）加强与台湾岛内同胞及其社会团体的联系，倾听和反映他们的意见和要求，充分理解岛内同胞当家做主的愿望；积极发挥桥梁和纽带作用，推动四川与台湾民间交流交往，为前来四川寻祖、访友、旅游、求医、考察等活动的台湾同胞提供帮助和服务。</w:t>
      </w:r>
    </w:p>
    <w:p w14:paraId="58874847"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4）密切联系常住四川的台湾同胞，帮助他们了解和理解祖国大陆的法律法规和有关方针政策，介绍省情，协助他们在四川投资、求学、就业、兴办公益和慈善事业等，认真听取和反映他们的意见和建议，维护他们的合法权益。</w:t>
      </w:r>
    </w:p>
    <w:p w14:paraId="58ECAA80"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（5）发展同香港、澳门和旅居海外台湾同胞及其社会团体的联谊关系，相互沟通，增进共识。</w:t>
      </w:r>
    </w:p>
    <w:p w14:paraId="0A55E11F"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（6）加强对成都市台湾同胞联谊会和各市州台胞台属联谊会的联系及工作指导，团结全省广大台籍同胞和台属，形成整体</w:t>
      </w:r>
      <w:r>
        <w:rPr>
          <w:rFonts w:ascii="方正仿宋_GBK" w:eastAsia="方正仿宋_GBK" w:hAnsi="仿宋" w:hint="eastAsia"/>
          <w:color w:val="000000"/>
          <w:sz w:val="32"/>
          <w:szCs w:val="32"/>
        </w:rPr>
        <w:lastRenderedPageBreak/>
        <w:t>合力，共同做好台湾人民工作。为四川的经济建设和祖国的和平统一作贡献。</w:t>
      </w:r>
    </w:p>
    <w:p w14:paraId="1BAA15F7" w14:textId="77777777" w:rsidR="00C47EC5" w:rsidRDefault="00DA151C">
      <w:pPr>
        <w:pStyle w:val="2"/>
        <w:numPr>
          <w:ilvl w:val="0"/>
          <w:numId w:val="1"/>
        </w:numPr>
        <w:spacing w:before="0" w:after="0" w:line="560" w:lineRule="exact"/>
        <w:ind w:firstLineChars="200" w:firstLine="640"/>
        <w:rPr>
          <w:rFonts w:ascii="黑体" w:eastAsia="黑体" w:hAnsi="黑体"/>
          <w:b w:val="0"/>
        </w:rPr>
      </w:pPr>
      <w:r>
        <w:rPr>
          <w:rFonts w:ascii="黑体" w:eastAsia="黑体" w:hAnsi="黑体" w:hint="eastAsia"/>
          <w:b w:val="0"/>
        </w:rPr>
        <w:t>2020年重点工作</w:t>
      </w:r>
      <w:bookmarkEnd w:id="8"/>
      <w:bookmarkEnd w:id="9"/>
      <w:r>
        <w:rPr>
          <w:rFonts w:ascii="黑体" w:eastAsia="黑体" w:hAnsi="黑体" w:hint="eastAsia"/>
          <w:b w:val="0"/>
        </w:rPr>
        <w:t>完成情况</w:t>
      </w:r>
    </w:p>
    <w:p w14:paraId="671964F1" w14:textId="77777777" w:rsidR="00C47EC5" w:rsidRDefault="00DA151C">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2020年，在省委的坚强领导下，在全国台联和省台办的关心指导下，全省台联系统以习近平新时代中国特色社会主义思想为引领，全面贯彻落实习近平总书记关于对台工作的重要论述，围绕中心，服务大局，坚持台联特色、主动担当作为、积极履职尽责，在抗击新冠肺炎疫情、服务台胞台属、推进两岸融合发展等方面取得了新进展新成效。回顾这一年，主要做了五个方面的工作。</w:t>
      </w:r>
    </w:p>
    <w:p w14:paraId="544264F0" w14:textId="77777777" w:rsidR="00C47EC5" w:rsidRDefault="00DA151C">
      <w:pPr>
        <w:pStyle w:val="ad"/>
        <w:widowControl/>
        <w:numPr>
          <w:ilvl w:val="0"/>
          <w:numId w:val="2"/>
        </w:numPr>
        <w:shd w:val="clear" w:color="auto" w:fill="FFFFFF"/>
        <w:spacing w:line="560" w:lineRule="exact"/>
        <w:ind w:firstLineChars="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抗击新冠肺炎疫情汇聚台联力量</w:t>
      </w:r>
    </w:p>
    <w:p w14:paraId="122740E7"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省台联先后三次向全省台胞台属发出倡议，号召全省台胞台属听党话、跟党走，统一思想，凝聚共识。经统计，疫情期间，全省台胞台属台企捐往湖北、武汉以及四川各市州红十字会及基层一线的抗疫物资折合人民币408万元，台联界别政协委员、人大代表围绕疫情防控提交意见建议、提案25件。</w:t>
      </w:r>
    </w:p>
    <w:p w14:paraId="06F19F1C" w14:textId="77777777" w:rsidR="00C47EC5" w:rsidRDefault="00DA151C">
      <w:pPr>
        <w:widowControl/>
        <w:shd w:val="clear" w:color="auto" w:fill="FFFFFF"/>
        <w:spacing w:line="560" w:lineRule="exact"/>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（二）坚持做好组织服务工作，全面增强在川台胞凝聚力</w:t>
      </w:r>
    </w:p>
    <w:p w14:paraId="7E71A9B1"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一是加强思想政治引领。</w:t>
      </w:r>
      <w:r>
        <w:rPr>
          <w:rFonts w:ascii="方正仿宋_GBK" w:eastAsia="方正仿宋_GBK" w:hAnsi="方正仿宋_GBK" w:cs="方正仿宋_GBK" w:hint="eastAsia"/>
          <w:color w:val="000000" w:themeColor="text1"/>
          <w:sz w:val="32"/>
          <w:szCs w:val="32"/>
        </w:rPr>
        <w:t>通过会议、调研、走访、座谈、观展、观影等形式，在定居台胞中广泛开展意识形态宣传教育。通过QQ群、微信群及时向全省台胞推送学习信息、热点政策、法律知识、文明倡议等，夯实在川台胞共同奋斗的思想基础。</w:t>
      </w:r>
    </w:p>
    <w:p w14:paraId="6987F82A"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二是服务台胞办实事。</w:t>
      </w:r>
      <w:r>
        <w:rPr>
          <w:rFonts w:ascii="方正仿宋_GBK" w:eastAsia="方正仿宋_GBK" w:hAnsi="方正仿宋_GBK" w:cs="方正仿宋_GBK" w:hint="eastAsia"/>
          <w:color w:val="000000" w:themeColor="text1"/>
          <w:sz w:val="32"/>
          <w:szCs w:val="32"/>
        </w:rPr>
        <w:t>一年来，省台联走访慰问老台胞、低收入台胞家庭、生病住院台胞超过200人次，动态更新全省台籍同胞资料库，协助5名台籍考生办理高考政策加分手续，为</w:t>
      </w:r>
      <w:r>
        <w:rPr>
          <w:rFonts w:ascii="方正仿宋_GBK" w:eastAsia="方正仿宋_GBK" w:hAnsi="方正仿宋_GBK" w:cs="方正仿宋_GBK" w:hint="eastAsia"/>
          <w:color w:val="000000" w:themeColor="text1"/>
          <w:sz w:val="32"/>
          <w:szCs w:val="32"/>
        </w:rPr>
        <w:lastRenderedPageBreak/>
        <w:t>88位年满60周岁的老台胞发放特殊津贴21.12万元，向符合《四川省城镇（农村）低收入定居台籍同胞扶贫帮困暂行办法》的64户台胞家庭发放补助18.5万元。</w:t>
      </w:r>
    </w:p>
    <w:p w14:paraId="20484FAE"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三是加强联谊聚人心。</w:t>
      </w:r>
      <w:r>
        <w:rPr>
          <w:rFonts w:ascii="方正仿宋_GBK" w:eastAsia="方正仿宋_GBK" w:hAnsi="方正仿宋_GBK" w:cs="方正仿宋_GBK" w:hint="eastAsia"/>
          <w:color w:val="000000" w:themeColor="text1"/>
          <w:sz w:val="32"/>
          <w:szCs w:val="32"/>
        </w:rPr>
        <w:t>在春节、中秋、重阳节等传统节日，各地台联以茶话座谈、参观考察等形式组织在川台胞台属共庆佳节，邀请在地台商台生参加，宣讲惠台措施，帮助他们了解四川、融入四川、热爱四川。举办“大手牵小手 共圆航空梦”在蓉台胞家庭庆六一亲子活动，居住在成都的20多个台胞家庭参加活动，以天府国际机场为主题，了解“东进”战略下成都焕发出的蓬勃生机。省台联与宜宾市台联共同</w:t>
      </w:r>
      <w:r>
        <w:rPr>
          <w:rFonts w:ascii="方正仿宋_GBK" w:eastAsia="方正仿宋_GBK" w:hAnsi="方正仿宋_GBK" w:cs="方正仿宋_GBK" w:hint="eastAsia"/>
          <w:sz w:val="32"/>
          <w:szCs w:val="32"/>
        </w:rPr>
        <w:t>组织在川老台胞40余人以“铭记历史 缅怀先烈”为主题，参观</w:t>
      </w:r>
      <w:r>
        <w:rPr>
          <w:rFonts w:ascii="方正仿宋_GBK" w:eastAsia="方正仿宋_GBK" w:hAnsi="方正仿宋_GBK" w:cs="方正仿宋_GBK" w:hint="eastAsia"/>
          <w:bCs/>
          <w:color w:val="000000"/>
          <w:sz w:val="32"/>
          <w:szCs w:val="32"/>
          <w:shd w:val="clear" w:color="auto" w:fill="FFFFFF"/>
        </w:rPr>
        <w:t>赵一曼纪念馆</w:t>
      </w:r>
      <w:r>
        <w:rPr>
          <w:rFonts w:ascii="方正仿宋_GBK" w:eastAsia="方正仿宋_GBK" w:hAnsi="方正仿宋_GBK" w:cs="方正仿宋_GBK" w:hint="eastAsia"/>
          <w:sz w:val="32"/>
          <w:szCs w:val="32"/>
        </w:rPr>
        <w:t>、李庄古镇等，以实际行动纪念中国人民抗日战争暨世界反法西斯战争胜利75周年。</w:t>
      </w:r>
    </w:p>
    <w:p w14:paraId="112599AF"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四是大力培养台胞后备人才。</w:t>
      </w:r>
      <w:r>
        <w:rPr>
          <w:rFonts w:ascii="方正仿宋_GBK" w:eastAsia="方正仿宋_GBK" w:hAnsi="方正仿宋_GBK" w:cs="方正仿宋_GBK" w:hint="eastAsia"/>
          <w:color w:val="000000" w:themeColor="text1"/>
          <w:sz w:val="32"/>
          <w:szCs w:val="32"/>
        </w:rPr>
        <w:t>省台联积极推荐优秀中青年台胞参加全国台联台籍干部培训班、优秀青年台胞志愿者集训营等培训学习。安排16名青年台胞参加在川台胞青年夏令营活动。联合重庆台联、湖北台联在福建漳州全国台联两岸交流培训基地——闽南师范大学举办台胞青年培训班，25名四川中青年台胞理事和台联系统干部参加学习。承办全国台联2020两岸婚姻暨青年台胞乡村振兴产业研习班，组织我省从事乡村振兴产业的常住两岸婚姻家庭成员参加研习。安排省台联机关台籍干部刘勤同志参加省直机关党校第27期青年公务员培训班学习。经成都市台联推荐，我省青年台胞陈贵静被评为成都市劳动模范，荣获彭州十佳社区专职工作者称号。</w:t>
      </w:r>
    </w:p>
    <w:p w14:paraId="6A858F63" w14:textId="77777777" w:rsidR="00C47EC5" w:rsidRDefault="00DA151C">
      <w:pPr>
        <w:widowControl/>
        <w:shd w:val="clear" w:color="auto" w:fill="FFFFFF"/>
        <w:spacing w:line="560" w:lineRule="exact"/>
        <w:ind w:left="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lastRenderedPageBreak/>
        <w:t>（三）结合实际精准施策，助力两岸融合发展</w:t>
      </w:r>
    </w:p>
    <w:p w14:paraId="20DAA760"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一是务实做好台湾青年工作</w:t>
      </w:r>
      <w:r>
        <w:rPr>
          <w:rFonts w:ascii="方正仿宋_GBK" w:eastAsia="方正仿宋_GBK" w:hAnsi="方正仿宋_GBK" w:cs="方正仿宋_GBK" w:hint="eastAsia"/>
          <w:color w:val="000000" w:themeColor="text1"/>
          <w:sz w:val="32"/>
          <w:szCs w:val="32"/>
        </w:rPr>
        <w:t>。由省台联、成都市台联主办，绵阳市台联、德阳市台联协办的“龙脉相传 青春中华2020年在川台胞青年夏令营”活动在暑期举行，夏令营开营式首次通过视频连线的方式在川台两地同步举行。为支持台湾青年在川发展，省台联多次组织在川青年台商收看全国台联台湾青年创业公益讲堂；组织常住两岸婚姻家庭子女参加全国台联“两岸婚生子女台胞夏令营”、两岸青年电商直播实战研习营活动。经成都市台联推荐，台湾青年、华灿工场·成都空间负责人李伟国成为四川省首位台籍劳动模范。</w:t>
      </w:r>
    </w:p>
    <w:p w14:paraId="7F53E29E"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二是积极推动川台人文交流。</w:t>
      </w:r>
      <w:r>
        <w:rPr>
          <w:rFonts w:ascii="方正仿宋_GBK" w:eastAsia="方正仿宋_GBK" w:hAnsi="方正仿宋_GBK" w:cs="方正仿宋_GBK" w:hint="eastAsia"/>
          <w:color w:val="000000" w:themeColor="text1"/>
          <w:sz w:val="32"/>
          <w:szCs w:val="32"/>
        </w:rPr>
        <w:t>省台联、成都市台联承办全国台联纪念台湾光复75周年历史图片展暨两岸书画陶瓷作品联展，70多位来自海峡两岸的专家学者和艺术界人士以参展交流、笔会写生等方式，回顾两岸共御外侮的英勇斗争，弘扬伟大的抗战精神。省台联、凉山州台联协助举办全国台联两岸记者大陆行四川参访活动，来自两岸10余家媒体近30名媒体人参访了白鹤滩水电站和凉山州改革开放三十周年成果展，感受了“国之重器”的魅力。</w:t>
      </w:r>
    </w:p>
    <w:p w14:paraId="5029B1F2"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三是努力推动川台经济交流合作。</w:t>
      </w:r>
      <w:r>
        <w:rPr>
          <w:rFonts w:ascii="方正仿宋_GBK" w:eastAsia="方正仿宋_GBK" w:hAnsi="方正仿宋_GBK" w:cs="方正仿宋_GBK" w:hint="eastAsia"/>
          <w:color w:val="000000" w:themeColor="text1"/>
          <w:sz w:val="32"/>
          <w:szCs w:val="32"/>
        </w:rPr>
        <w:t>协助北京市台联开展“在京台商凝心汇”四川参访活动，德阳市台联、绵阳市台联精心安排参访交流行程，积极宣传两地经济社会发展。</w:t>
      </w:r>
    </w:p>
    <w:p w14:paraId="6A9C7624" w14:textId="77777777" w:rsidR="00C47EC5" w:rsidRDefault="00DA151C">
      <w:pPr>
        <w:spacing w:line="560" w:lineRule="exact"/>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（四）服务中心工作，展现责任担当</w:t>
      </w:r>
    </w:p>
    <w:p w14:paraId="0F6D2C22" w14:textId="77777777" w:rsidR="00C47EC5" w:rsidRDefault="00DA151C">
      <w:pPr>
        <w:spacing w:line="560" w:lineRule="exact"/>
        <w:ind w:firstLineChars="200" w:firstLine="640"/>
        <w:rPr>
          <w:rFonts w:ascii="方正楷体_GBK" w:eastAsia="方正楷体_GBK" w:hAnsi="方正楷体_GBK" w:cs="方正楷体_GBK"/>
          <w:color w:val="000000" w:themeColor="text1"/>
          <w:sz w:val="32"/>
          <w:szCs w:val="32"/>
        </w:rPr>
      </w:pPr>
      <w:r>
        <w:rPr>
          <w:rFonts w:ascii="方正仿宋_GBK" w:eastAsia="方正仿宋_GBK" w:hAnsi="方正仿宋_GBK" w:cs="方正仿宋_GBK" w:hint="eastAsia"/>
          <w:b/>
          <w:bCs/>
          <w:color w:val="000000" w:themeColor="text1"/>
          <w:sz w:val="32"/>
          <w:szCs w:val="32"/>
        </w:rPr>
        <w:t>一是借势成渝地区双城经济圈建设，推动川渝两地台联携手发展。</w:t>
      </w:r>
      <w:r>
        <w:rPr>
          <w:rFonts w:ascii="方正仿宋_GBK" w:eastAsia="方正仿宋_GBK" w:hAnsi="方正仿宋_GBK" w:cs="方正仿宋_GBK" w:hint="eastAsia"/>
          <w:color w:val="000000" w:themeColor="text1"/>
          <w:sz w:val="32"/>
          <w:szCs w:val="32"/>
        </w:rPr>
        <w:t>省台联、成都市台联分别与重庆市台联签署服务成渝地区</w:t>
      </w:r>
      <w:r>
        <w:rPr>
          <w:rFonts w:ascii="方正仿宋_GBK" w:eastAsia="方正仿宋_GBK" w:hAnsi="方正仿宋_GBK" w:cs="方正仿宋_GBK" w:hint="eastAsia"/>
          <w:color w:val="000000" w:themeColor="text1"/>
          <w:sz w:val="32"/>
          <w:szCs w:val="32"/>
        </w:rPr>
        <w:lastRenderedPageBreak/>
        <w:t>双城经济圈建设合作协议。</w:t>
      </w:r>
    </w:p>
    <w:p w14:paraId="6A42BACA"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二是聚焦精准扶贫，助力脱贫攻坚。</w:t>
      </w:r>
      <w:r>
        <w:rPr>
          <w:rFonts w:ascii="方正仿宋_GBK" w:eastAsia="方正仿宋_GBK" w:hAnsi="方正仿宋_GBK" w:cs="方正仿宋_GBK" w:hint="eastAsia"/>
          <w:color w:val="000000" w:themeColor="text1"/>
          <w:kern w:val="0"/>
          <w:sz w:val="32"/>
          <w:szCs w:val="32"/>
        </w:rPr>
        <w:t>省</w:t>
      </w:r>
      <w:r>
        <w:rPr>
          <w:rFonts w:ascii="方正仿宋_GBK" w:eastAsia="方正仿宋_GBK" w:hAnsi="方正仿宋_GBK" w:cs="方正仿宋_GBK" w:hint="eastAsia"/>
          <w:color w:val="000000" w:themeColor="text1"/>
          <w:sz w:val="32"/>
          <w:szCs w:val="32"/>
        </w:rPr>
        <w:t>台联深入凉山州美姑县牛牛坝乡开展台胞爱心捐助活动，将海外台胞为该乡30户残疾家庭、20户老弱病孤家庭捐助的5万元现金送到困难群众手中，凉山州台联配套捐款5000元。牵线台胞董淑贞、俞潔分别为西南石油大学20名贫困学生捐助5万元助学款，为凉山州冕宁县受灾群众捐助1万元帮扶款, 为泸定县堡子村爱心捐助2万元。根据全国台联安排，省台联会长刘琪率队赴甘肃榆中县开展全国台联“东部台商西部行 公益帮扶进榆中”捐助活动，四川定居台胞、简阳川空精密铸钢有限公司董事长刘跃亮随团前往，并捐资1万元。</w:t>
      </w:r>
    </w:p>
    <w:p w14:paraId="1D04B831"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三是积极参政议政，服务地区经济社会发展。</w:t>
      </w:r>
      <w:r>
        <w:rPr>
          <w:rFonts w:ascii="方正仿宋_GBK" w:eastAsia="方正仿宋_GBK" w:hAnsi="方正仿宋_GBK" w:cs="方正仿宋_GBK" w:hint="eastAsia"/>
          <w:color w:val="000000" w:themeColor="text1"/>
          <w:sz w:val="32"/>
          <w:szCs w:val="32"/>
        </w:rPr>
        <w:t>全省各级台联围绕党委政府中心工作，组织代表、委员认真履职尽责、建言献策，全年台联系统提交提案（意见、建议）近百件（条）。</w:t>
      </w:r>
    </w:p>
    <w:p w14:paraId="591AFD5A" w14:textId="77777777" w:rsidR="00C47EC5" w:rsidRDefault="00DA151C">
      <w:pPr>
        <w:spacing w:line="560" w:lineRule="exact"/>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（五）强基固本，不断筑牢台联工作基础</w:t>
      </w:r>
    </w:p>
    <w:p w14:paraId="7B763F75"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一是切实加强台联政治建设。</w:t>
      </w:r>
      <w:r>
        <w:rPr>
          <w:rFonts w:ascii="方正仿宋_GBK" w:eastAsia="方正仿宋_GBK" w:hAnsi="方正仿宋_GBK" w:cs="方正仿宋_GBK" w:hint="eastAsia"/>
          <w:color w:val="000000" w:themeColor="text1"/>
          <w:sz w:val="32"/>
          <w:szCs w:val="32"/>
        </w:rPr>
        <w:t>坚持把政治建设摆在首位，在带头增强“四个意识”、坚定“四个自信”、做到“两个维护”上高站位、高标杆、严要求。</w:t>
      </w:r>
    </w:p>
    <w:p w14:paraId="026D5C93" w14:textId="77777777" w:rsidR="00C47EC5" w:rsidRDefault="00DA151C">
      <w:pPr>
        <w:widowControl/>
        <w:shd w:val="clear" w:color="auto" w:fill="FFFFFF"/>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二是扎实推进群团改革工作。</w:t>
      </w:r>
      <w:r>
        <w:rPr>
          <w:rFonts w:ascii="方正仿宋_GBK" w:eastAsia="方正仿宋_GBK" w:hAnsi="方正仿宋_GBK" w:cs="方正仿宋_GBK" w:hint="eastAsia"/>
          <w:color w:val="000000" w:themeColor="text1"/>
          <w:sz w:val="32"/>
          <w:szCs w:val="32"/>
        </w:rPr>
        <w:t>省台联制定《省台联理事会专门委员会设置原则和工作方案》，探索设立参政议政工作委员会、两岸青年及妇女工作委员会两个专门委员会，进一步强化省台联理事会功能，提升四川台联系统工作整体合力。深入开展四川省台胞人才队伍现状调研，在抗击新冠肺炎疫情期间，树立台胞抗</w:t>
      </w:r>
    </w:p>
    <w:p w14:paraId="38852AA0" w14:textId="77777777" w:rsidR="00C47EC5" w:rsidRDefault="00DA151C">
      <w:pPr>
        <w:pStyle w:val="a0"/>
        <w:spacing w:before="93"/>
      </w:pPr>
      <w:r>
        <w:rPr>
          <w:rFonts w:ascii="方正仿宋_GBK" w:eastAsia="方正仿宋_GBK" w:hAnsi="方正仿宋_GBK" w:cs="方正仿宋_GBK" w:hint="eastAsia"/>
          <w:color w:val="000000" w:themeColor="text1"/>
          <w:sz w:val="32"/>
          <w:szCs w:val="32"/>
        </w:rPr>
        <w:t>疫典型，引导、鼓励全省台胞奋发有为，打造了一支高素质、德</w:t>
      </w:r>
      <w:r>
        <w:rPr>
          <w:rFonts w:ascii="方正仿宋_GBK" w:eastAsia="方正仿宋_GBK" w:hAnsi="方正仿宋_GBK" w:cs="方正仿宋_GBK" w:hint="eastAsia"/>
          <w:color w:val="000000" w:themeColor="text1"/>
          <w:sz w:val="32"/>
          <w:szCs w:val="32"/>
        </w:rPr>
        <w:lastRenderedPageBreak/>
        <w:t>才德才兼备的台籍人才队伍。</w:t>
      </w:r>
    </w:p>
    <w:p w14:paraId="67C110F2" w14:textId="77777777" w:rsidR="00C47EC5" w:rsidRDefault="00DA151C">
      <w:pPr>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三是地方台联工作力量得到加强。</w:t>
      </w:r>
      <w:r>
        <w:rPr>
          <w:rFonts w:ascii="方正仿宋_GBK" w:eastAsia="方正仿宋_GBK" w:hAnsi="方正仿宋_GBK" w:cs="方正仿宋_GBK" w:hint="eastAsia"/>
          <w:color w:val="000000" w:themeColor="text1"/>
          <w:sz w:val="32"/>
          <w:szCs w:val="32"/>
        </w:rPr>
        <w:t>广元市台联在市委统战部设立办公室，并对外挂牌。广安市台联积极争取市委的关心支持，市台联“三定方案”得到进一步完善，编制增加1个，内设科室增加1个，领导职数增加2个，工作力量得到显著加强。眉山市台联在机构改革中增加一名编制，目前有参公编制2人，其中一个为科级领导职数，一个为非领导主任科员职数。</w:t>
      </w:r>
    </w:p>
    <w:p w14:paraId="74B3F611" w14:textId="77777777" w:rsidR="00151108" w:rsidRPr="005C00B3" w:rsidRDefault="00151108" w:rsidP="00151108">
      <w:pPr>
        <w:pStyle w:val="a0"/>
        <w:spacing w:before="93" w:line="560" w:lineRule="exact"/>
        <w:ind w:firstLineChars="200" w:firstLine="600"/>
        <w:rPr>
          <w:rFonts w:ascii="黑体" w:eastAsia="黑体" w:hAnsi="黑体"/>
        </w:rPr>
      </w:pPr>
      <w:r w:rsidRPr="005C00B3">
        <w:rPr>
          <w:rFonts w:ascii="黑体" w:eastAsia="黑体" w:hAnsi="黑体" w:hint="eastAsia"/>
        </w:rPr>
        <w:t>三、机构设置情况</w:t>
      </w:r>
    </w:p>
    <w:p w14:paraId="36F3E86E" w14:textId="77777777" w:rsidR="00823F1C" w:rsidRDefault="00151108" w:rsidP="00151108">
      <w:pPr>
        <w:pStyle w:val="a0"/>
        <w:spacing w:before="93" w:line="560" w:lineRule="exact"/>
        <w:ind w:firstLineChars="200" w:firstLine="600"/>
      </w:pPr>
      <w:r>
        <w:rPr>
          <w:rFonts w:hint="eastAsia"/>
        </w:rPr>
        <w:t>四川省</w:t>
      </w:r>
      <w:r w:rsidR="00A71A85">
        <w:rPr>
          <w:rFonts w:hint="eastAsia"/>
        </w:rPr>
        <w:t>台湾</w:t>
      </w:r>
      <w:r>
        <w:rPr>
          <w:rFonts w:hint="eastAsia"/>
        </w:rPr>
        <w:t>同胞联谊会</w:t>
      </w:r>
      <w:r w:rsidR="00823F1C">
        <w:rPr>
          <w:rFonts w:hint="eastAsia"/>
        </w:rPr>
        <w:t>的办事机构设在省委对台工作办公室。</w:t>
      </w:r>
    </w:p>
    <w:p w14:paraId="4628A059" w14:textId="77777777" w:rsidR="00C47EC5" w:rsidRDefault="00DA151C">
      <w:pPr>
        <w:widowControl/>
        <w:spacing w:line="560" w:lineRule="exact"/>
        <w:jc w:val="center"/>
        <w:rPr>
          <w:rFonts w:ascii="仿宋" w:eastAsia="仿宋" w:hAnsi="仿宋"/>
          <w:color w:val="000000"/>
          <w:sz w:val="32"/>
          <w:szCs w:val="32"/>
        </w:rPr>
      </w:pPr>
      <w:r>
        <w:rPr>
          <w:rFonts w:ascii="仿宋" w:eastAsia="仿宋" w:hAnsi="仿宋"/>
          <w:color w:val="000000"/>
          <w:sz w:val="32"/>
          <w:szCs w:val="32"/>
        </w:rPr>
        <w:br w:type="page"/>
      </w:r>
    </w:p>
    <w:p w14:paraId="1F9C4EC0" w14:textId="77777777" w:rsidR="00C47EC5" w:rsidRDefault="00DA151C">
      <w:pPr>
        <w:pStyle w:val="1"/>
        <w:ind w:right="442"/>
        <w:jc w:val="center"/>
        <w:rPr>
          <w:rStyle w:val="10"/>
          <w:rFonts w:ascii="黑体" w:eastAsia="黑体" w:hAnsi="黑体"/>
          <w:bCs/>
        </w:rPr>
      </w:pPr>
      <w:bookmarkStart w:id="10" w:name="_Toc15377204"/>
      <w:bookmarkStart w:id="11" w:name="_Toc15396602"/>
      <w:r>
        <w:rPr>
          <w:rFonts w:ascii="黑体" w:eastAsia="黑体" w:hAnsi="黑体" w:hint="eastAsia"/>
          <w:b w:val="0"/>
        </w:rPr>
        <w:lastRenderedPageBreak/>
        <w:t>第二部分 2020年度</w:t>
      </w:r>
      <w:r>
        <w:rPr>
          <w:rStyle w:val="10"/>
          <w:rFonts w:ascii="黑体" w:eastAsia="黑体" w:hAnsi="黑体" w:hint="eastAsia"/>
          <w:bCs/>
        </w:rPr>
        <w:t>部门决算情况说明</w:t>
      </w:r>
      <w:bookmarkEnd w:id="10"/>
      <w:bookmarkEnd w:id="11"/>
    </w:p>
    <w:p w14:paraId="4A85DC1D" w14:textId="77777777" w:rsidR="00C47EC5" w:rsidRDefault="00C47EC5">
      <w:pPr>
        <w:spacing w:line="560" w:lineRule="exact"/>
      </w:pPr>
    </w:p>
    <w:p w14:paraId="0C5A1F80" w14:textId="77777777" w:rsidR="00C47EC5" w:rsidRDefault="00DA151C">
      <w:pPr>
        <w:pStyle w:val="ad"/>
        <w:numPr>
          <w:ilvl w:val="0"/>
          <w:numId w:val="3"/>
        </w:numPr>
        <w:spacing w:line="560" w:lineRule="exact"/>
        <w:ind w:firstLineChars="0"/>
        <w:outlineLvl w:val="1"/>
        <w:rPr>
          <w:rStyle w:val="20"/>
          <w:rFonts w:ascii="黑体" w:eastAsia="黑体" w:hAnsi="黑体"/>
          <w:b w:val="0"/>
        </w:rPr>
      </w:pPr>
      <w:bookmarkStart w:id="12" w:name="_Toc15377205"/>
      <w:bookmarkStart w:id="13" w:name="_Toc15396603"/>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12"/>
      <w:bookmarkEnd w:id="13"/>
    </w:p>
    <w:p w14:paraId="7877389B" w14:textId="77777777" w:rsidR="00C47EC5" w:rsidRDefault="00DA151C">
      <w:pPr>
        <w:spacing w:line="560" w:lineRule="exact"/>
        <w:ind w:firstLineChars="200" w:firstLine="640"/>
        <w:rPr>
          <w:rFonts w:ascii="方正仿宋_GBK" w:eastAsia="方正仿宋_GBK" w:hAnsi="仿宋"/>
          <w:sz w:val="32"/>
          <w:szCs w:val="32"/>
        </w:rPr>
      </w:pPr>
      <w:r>
        <w:rPr>
          <w:rFonts w:ascii="方正仿宋_GBK" w:eastAsia="方正仿宋_GBK" w:hAnsi="仿宋" w:hint="eastAsia"/>
          <w:color w:val="000000"/>
          <w:sz w:val="32"/>
          <w:szCs w:val="32"/>
        </w:rPr>
        <w:t>2020年度收、支总计251.25万元。与2019年相比，收、支总计各减少112.46万元，下降30.92%。主要变动原因是</w:t>
      </w:r>
      <w:r>
        <w:rPr>
          <w:rFonts w:ascii="方正仿宋_GBK" w:eastAsia="方正仿宋_GBK" w:hAnsi="仿宋" w:hint="eastAsia"/>
          <w:sz w:val="32"/>
          <w:szCs w:val="32"/>
        </w:rPr>
        <w:t>受疫情和两岸形势影响，来川交流参访台胞人数大大减少，部分对台交流联谊活动取消，接待费和对台业务经费支出相应减少。</w:t>
      </w:r>
    </w:p>
    <w:p w14:paraId="10C37A9D" w14:textId="77777777" w:rsidR="00C47EC5" w:rsidRDefault="00DA151C">
      <w:pPr>
        <w:pStyle w:val="a0"/>
        <w:spacing w:before="93"/>
        <w:rPr>
          <w:rFonts w:ascii="楷体" w:eastAsia="楷体" w:hAnsi="楷体"/>
        </w:rPr>
      </w:pPr>
      <w:r>
        <w:rPr>
          <w:rFonts w:hint="eastAsia"/>
        </w:rPr>
        <w:t xml:space="preserve">                                               </w:t>
      </w:r>
      <w:r>
        <w:rPr>
          <w:rFonts w:ascii="楷体" w:eastAsia="楷体" w:hAnsi="楷体" w:hint="eastAsia"/>
        </w:rPr>
        <w:t>单位：万元</w:t>
      </w:r>
    </w:p>
    <w:p w14:paraId="36438684" w14:textId="77777777" w:rsidR="00C47EC5" w:rsidRDefault="00DA151C">
      <w:pPr>
        <w:pStyle w:val="a0"/>
        <w:spacing w:before="93"/>
      </w:pPr>
      <w:r>
        <w:rPr>
          <w:rFonts w:hint="eastAsia"/>
          <w:noProof/>
        </w:rPr>
        <w:drawing>
          <wp:inline distT="0" distB="0" distL="0" distR="0" wp14:anchorId="37410646" wp14:editId="549A704A">
            <wp:extent cx="5162550" cy="2905125"/>
            <wp:effectExtent l="57150" t="0" r="57150" b="666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8C599B" w14:textId="77777777" w:rsidR="00C47EC5" w:rsidRDefault="00DA151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w:t>
      </w:r>
    </w:p>
    <w:p w14:paraId="3E567F7A" w14:textId="77777777" w:rsidR="00C47EC5" w:rsidRDefault="00DA151C">
      <w:pPr>
        <w:pStyle w:val="ad"/>
        <w:numPr>
          <w:ilvl w:val="0"/>
          <w:numId w:val="3"/>
        </w:numPr>
        <w:spacing w:line="560" w:lineRule="exact"/>
        <w:ind w:firstLineChars="0"/>
        <w:outlineLvl w:val="1"/>
        <w:rPr>
          <w:rStyle w:val="20"/>
          <w:rFonts w:ascii="黑体" w:eastAsia="黑体" w:hAnsi="黑体"/>
          <w:b w:val="0"/>
        </w:rPr>
      </w:pPr>
      <w:bookmarkStart w:id="14" w:name="_Toc15396604"/>
      <w:bookmarkStart w:id="15" w:name="_Toc15377206"/>
      <w:r>
        <w:rPr>
          <w:rFonts w:ascii="黑体" w:eastAsia="黑体" w:hAnsi="黑体" w:hint="eastAsia"/>
          <w:color w:val="000000"/>
          <w:sz w:val="32"/>
          <w:szCs w:val="32"/>
        </w:rPr>
        <w:t>收</w:t>
      </w:r>
      <w:r>
        <w:rPr>
          <w:rStyle w:val="20"/>
          <w:rFonts w:ascii="黑体" w:eastAsia="黑体" w:hAnsi="黑体" w:hint="eastAsia"/>
          <w:b w:val="0"/>
        </w:rPr>
        <w:t>入决算情况说明</w:t>
      </w:r>
      <w:bookmarkEnd w:id="14"/>
      <w:bookmarkEnd w:id="15"/>
    </w:p>
    <w:p w14:paraId="176541F1"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2020年本年收入合计251.25万元，其中：一般公共预算财政拨款收入251.25万元，占100%；政府性基金预算财政拨款收入0万元，占0%；</w:t>
      </w:r>
      <w:r>
        <w:rPr>
          <w:rFonts w:ascii="方正仿宋_GBK" w:eastAsia="方正仿宋_GBK" w:hAnsi="仿宋" w:hint="eastAsia"/>
          <w:color w:val="000000" w:themeColor="text1"/>
          <w:sz w:val="32"/>
          <w:szCs w:val="32"/>
        </w:rPr>
        <w:t>上级补助收入0</w:t>
      </w:r>
      <w:r>
        <w:rPr>
          <w:rFonts w:ascii="方正仿宋_GBK" w:eastAsia="方正仿宋_GBK" w:hAnsi="仿宋" w:hint="eastAsia"/>
          <w:color w:val="000000"/>
          <w:sz w:val="32"/>
          <w:szCs w:val="32"/>
        </w:rPr>
        <w:t>万元，占0%；事业收入0万元，占0%；经营收入0万元，占0%；附属单位上缴收</w:t>
      </w:r>
      <w:r>
        <w:rPr>
          <w:rFonts w:ascii="方正仿宋_GBK" w:eastAsia="方正仿宋_GBK" w:hAnsi="仿宋" w:hint="eastAsia"/>
          <w:color w:val="000000"/>
          <w:sz w:val="32"/>
          <w:szCs w:val="32"/>
        </w:rPr>
        <w:lastRenderedPageBreak/>
        <w:t>入0万元，占0%；其他收入0万元，占0%。</w:t>
      </w:r>
    </w:p>
    <w:p w14:paraId="229F6D21" w14:textId="77777777" w:rsidR="00C47EC5" w:rsidRDefault="00DA151C">
      <w:pPr>
        <w:pStyle w:val="a0"/>
        <w:spacing w:before="93"/>
        <w:jc w:val="center"/>
      </w:pPr>
      <w:r>
        <w:rPr>
          <w:rFonts w:hint="eastAsia"/>
          <w:noProof/>
        </w:rPr>
        <w:drawing>
          <wp:inline distT="0" distB="0" distL="0" distR="0" wp14:anchorId="43D29DF3" wp14:editId="02024FAB">
            <wp:extent cx="5048250" cy="2609850"/>
            <wp:effectExtent l="57150" t="0" r="57150" b="762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2A55C4" w14:textId="77777777" w:rsidR="00C47EC5" w:rsidRDefault="00DA151C">
      <w:pPr>
        <w:spacing w:line="600" w:lineRule="exact"/>
        <w:rPr>
          <w:rFonts w:ascii="仿宋" w:eastAsia="仿宋" w:hAnsi="仿宋"/>
          <w:color w:val="000000" w:themeColor="text1"/>
          <w:sz w:val="32"/>
          <w:szCs w:val="32"/>
        </w:rPr>
      </w:pPr>
      <w:r>
        <w:rPr>
          <w:rFonts w:ascii="仿宋_GB2312" w:eastAsia="仿宋_GB2312" w:hint="eastAsia"/>
          <w:kern w:val="0"/>
          <w:sz w:val="30"/>
        </w:rPr>
        <w:t xml:space="preserve">                 </w:t>
      </w:r>
      <w:r>
        <w:rPr>
          <w:rFonts w:ascii="仿宋" w:eastAsia="仿宋" w:hAnsi="仿宋" w:hint="eastAsia"/>
          <w:color w:val="000000" w:themeColor="text1"/>
          <w:sz w:val="32"/>
          <w:szCs w:val="32"/>
        </w:rPr>
        <w:t>（图2：收入决算结构图）</w:t>
      </w:r>
    </w:p>
    <w:p w14:paraId="482924AF" w14:textId="77777777" w:rsidR="00C47EC5" w:rsidRDefault="00DA151C">
      <w:pPr>
        <w:pStyle w:val="ad"/>
        <w:numPr>
          <w:ilvl w:val="0"/>
          <w:numId w:val="3"/>
        </w:numPr>
        <w:spacing w:line="600" w:lineRule="exact"/>
        <w:ind w:firstLineChars="0"/>
        <w:outlineLvl w:val="1"/>
        <w:rPr>
          <w:rStyle w:val="20"/>
          <w:rFonts w:ascii="黑体" w:eastAsia="黑体" w:hAnsi="黑体"/>
          <w:b w:val="0"/>
        </w:rPr>
      </w:pPr>
      <w:bookmarkStart w:id="16" w:name="_Toc15396605"/>
      <w:bookmarkStart w:id="17" w:name="_Toc15377207"/>
      <w:r>
        <w:rPr>
          <w:rFonts w:ascii="黑体" w:eastAsia="黑体" w:hAnsi="黑体" w:hint="eastAsia"/>
          <w:color w:val="000000"/>
          <w:sz w:val="32"/>
          <w:szCs w:val="32"/>
        </w:rPr>
        <w:t>支</w:t>
      </w:r>
      <w:r>
        <w:rPr>
          <w:rStyle w:val="20"/>
          <w:rFonts w:ascii="黑体" w:eastAsia="黑体" w:hAnsi="黑体" w:hint="eastAsia"/>
          <w:b w:val="0"/>
        </w:rPr>
        <w:t>出决算情况说明</w:t>
      </w:r>
      <w:bookmarkEnd w:id="16"/>
      <w:bookmarkEnd w:id="17"/>
    </w:p>
    <w:p w14:paraId="6D71174D" w14:textId="77777777" w:rsidR="00C47EC5" w:rsidRDefault="00DA151C">
      <w:pPr>
        <w:spacing w:line="560" w:lineRule="exact"/>
        <w:ind w:firstLineChars="200" w:firstLine="640"/>
        <w:outlineLvl w:val="1"/>
        <w:rPr>
          <w:rFonts w:ascii="方正仿宋_GBK" w:eastAsia="方正仿宋_GBK" w:hAnsi="仿宋"/>
          <w:color w:val="000000"/>
          <w:sz w:val="32"/>
          <w:szCs w:val="32"/>
        </w:rPr>
      </w:pPr>
      <w:r>
        <w:rPr>
          <w:rFonts w:ascii="方正仿宋_GBK" w:eastAsia="方正仿宋_GBK" w:hAnsi="仿宋" w:hint="eastAsia"/>
          <w:color w:val="000000"/>
          <w:sz w:val="32"/>
          <w:szCs w:val="32"/>
        </w:rPr>
        <w:t>2020年本年支出合计251.25万元，其中：基本支出176.36万元，占70.19%；项目支出74.89万元，占29.81%；上缴上级支出0万元，占0%；经营支出0万元，占0%；对附属单位补助支出0万元，占0%。</w:t>
      </w:r>
    </w:p>
    <w:p w14:paraId="2697DAFD" w14:textId="77777777" w:rsidR="00C47EC5" w:rsidRDefault="00DA151C">
      <w:pPr>
        <w:pStyle w:val="a0"/>
        <w:spacing w:before="93"/>
        <w:jc w:val="center"/>
      </w:pPr>
      <w:r>
        <w:rPr>
          <w:rFonts w:hint="eastAsia"/>
          <w:noProof/>
        </w:rPr>
        <w:drawing>
          <wp:inline distT="0" distB="0" distL="0" distR="0" wp14:anchorId="2DB7052D" wp14:editId="614E4FB6">
            <wp:extent cx="4648200" cy="2295525"/>
            <wp:effectExtent l="57150" t="0" r="57150" b="6667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B8D2AF" w14:textId="77777777" w:rsidR="00C47EC5" w:rsidRDefault="00DA151C">
      <w:pPr>
        <w:spacing w:line="600" w:lineRule="exact"/>
        <w:ind w:firstLineChars="200" w:firstLine="420"/>
        <w:rPr>
          <w:rFonts w:ascii="仿宋" w:eastAsia="仿宋" w:hAnsi="仿宋"/>
          <w:color w:val="000000" w:themeColor="text1"/>
          <w:sz w:val="32"/>
          <w:szCs w:val="32"/>
        </w:rPr>
      </w:pPr>
      <w:r>
        <w:rPr>
          <w:rFonts w:hint="eastAsia"/>
        </w:rPr>
        <w:t xml:space="preserve">                  </w:t>
      </w:r>
      <w:r>
        <w:rPr>
          <w:rFonts w:ascii="仿宋" w:eastAsia="仿宋" w:hAnsi="仿宋" w:hint="eastAsia"/>
          <w:color w:val="000000" w:themeColor="text1"/>
          <w:sz w:val="32"/>
          <w:szCs w:val="32"/>
        </w:rPr>
        <w:t>（图3：支出决算结构图）</w:t>
      </w:r>
    </w:p>
    <w:p w14:paraId="0F7754F3" w14:textId="77777777" w:rsidR="00C47EC5" w:rsidRDefault="00DA151C">
      <w:pPr>
        <w:spacing w:line="600" w:lineRule="exact"/>
        <w:ind w:firstLineChars="200" w:firstLine="640"/>
        <w:outlineLvl w:val="1"/>
        <w:rPr>
          <w:rStyle w:val="20"/>
          <w:rFonts w:ascii="黑体" w:eastAsia="黑体" w:hAnsi="黑体"/>
          <w:b w:val="0"/>
        </w:rPr>
      </w:pPr>
      <w:bookmarkStart w:id="18" w:name="_Toc15377208"/>
      <w:bookmarkStart w:id="19" w:name="_Toc15396606"/>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18"/>
      <w:bookmarkEnd w:id="19"/>
    </w:p>
    <w:p w14:paraId="7002ABCA" w14:textId="77777777" w:rsidR="00C47EC5" w:rsidRDefault="00DA151C">
      <w:pPr>
        <w:spacing w:line="560" w:lineRule="exact"/>
        <w:ind w:firstLine="641"/>
        <w:rPr>
          <w:rFonts w:ascii="方正仿宋_GBK" w:eastAsia="方正仿宋_GBK" w:hAnsi="仿宋"/>
          <w:color w:val="000000"/>
          <w:sz w:val="32"/>
          <w:szCs w:val="32"/>
        </w:rPr>
      </w:pPr>
      <w:r>
        <w:rPr>
          <w:rFonts w:ascii="方正仿宋_GBK" w:eastAsia="方正仿宋_GBK" w:hAnsi="仿宋" w:hint="eastAsia"/>
          <w:color w:val="000000"/>
          <w:sz w:val="32"/>
          <w:szCs w:val="32"/>
        </w:rPr>
        <w:lastRenderedPageBreak/>
        <w:t>2020年财政拨款收、支总计251.25万元。与2019年相比，财政拨款收、支总计各减少112.46万元，下降30.92%。主要变动原因与上述相同。</w:t>
      </w:r>
    </w:p>
    <w:p w14:paraId="31856975" w14:textId="77777777" w:rsidR="00C47EC5" w:rsidRDefault="00DA151C">
      <w:pPr>
        <w:pStyle w:val="a0"/>
        <w:spacing w:before="93"/>
        <w:rPr>
          <w:rFonts w:ascii="楷体" w:eastAsia="楷体" w:hAnsi="楷体"/>
        </w:rPr>
      </w:pPr>
      <w:r>
        <w:rPr>
          <w:rFonts w:hint="eastAsia"/>
        </w:rPr>
        <w:t xml:space="preserve">                                              </w:t>
      </w:r>
      <w:r>
        <w:rPr>
          <w:rFonts w:ascii="楷体" w:eastAsia="楷体" w:hAnsi="楷体" w:hint="eastAsia"/>
        </w:rPr>
        <w:t>单位：万元</w:t>
      </w:r>
    </w:p>
    <w:p w14:paraId="662B77C1" w14:textId="77777777" w:rsidR="00C47EC5" w:rsidRDefault="00DA151C">
      <w:pPr>
        <w:pStyle w:val="a0"/>
        <w:spacing w:before="93"/>
        <w:jc w:val="center"/>
      </w:pPr>
      <w:r>
        <w:rPr>
          <w:rFonts w:hint="eastAsia"/>
          <w:noProof/>
        </w:rPr>
        <w:drawing>
          <wp:inline distT="0" distB="0" distL="0" distR="0" wp14:anchorId="1454EB16" wp14:editId="18CB6909">
            <wp:extent cx="5048250" cy="2638425"/>
            <wp:effectExtent l="57150" t="0" r="57150" b="6667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9E278B" w14:textId="77777777" w:rsidR="00C47EC5" w:rsidRDefault="00DA151C">
      <w:p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（图4：财政拨款收、支决算总计变动情况）</w:t>
      </w:r>
    </w:p>
    <w:p w14:paraId="4A5FBFB6" w14:textId="77777777" w:rsidR="00C47EC5" w:rsidRDefault="00DA151C">
      <w:pPr>
        <w:spacing w:line="560" w:lineRule="exact"/>
        <w:ind w:firstLineChars="200" w:firstLine="640"/>
        <w:outlineLvl w:val="1"/>
        <w:rPr>
          <w:rStyle w:val="20"/>
          <w:rFonts w:ascii="黑体" w:eastAsia="黑体" w:hAnsi="黑体"/>
          <w:b w:val="0"/>
        </w:rPr>
      </w:pPr>
      <w:bookmarkStart w:id="20" w:name="_Toc15377209"/>
      <w:bookmarkStart w:id="21"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20"/>
      <w:bookmarkEnd w:id="21"/>
    </w:p>
    <w:p w14:paraId="564A7624" w14:textId="77777777" w:rsidR="00C47EC5" w:rsidRDefault="00DA151C">
      <w:pPr>
        <w:spacing w:line="560" w:lineRule="exact"/>
        <w:ind w:firstLineChars="200" w:firstLine="640"/>
        <w:outlineLvl w:val="2"/>
        <w:rPr>
          <w:rFonts w:ascii="方正仿宋_GBK" w:eastAsia="方正仿宋_GBK" w:hAnsi="仿宋"/>
          <w:b/>
          <w:color w:val="000000"/>
          <w:sz w:val="32"/>
          <w:szCs w:val="32"/>
        </w:rPr>
      </w:pPr>
      <w:bookmarkStart w:id="22" w:name="_Toc15377210"/>
      <w:r>
        <w:rPr>
          <w:rFonts w:ascii="方正仿宋_GBK" w:eastAsia="方正仿宋_GBK" w:hAnsi="仿宋" w:hint="eastAsia"/>
          <w:b/>
          <w:color w:val="000000"/>
          <w:sz w:val="32"/>
          <w:szCs w:val="32"/>
        </w:rPr>
        <w:t>（一）一般公共预算财政拨款支出决算总体情况</w:t>
      </w:r>
      <w:bookmarkEnd w:id="22"/>
    </w:p>
    <w:p w14:paraId="01A338CB" w14:textId="77777777" w:rsidR="00C47EC5" w:rsidRDefault="00DA151C">
      <w:pPr>
        <w:spacing w:line="56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2020年一般公共预算财政拨款支出251.25万元，占本年支出合计的100%。与2019年相比，一般公共预算财政拨款减少112.47万元，下降30.92%。主要变动原与上述相同。</w:t>
      </w:r>
    </w:p>
    <w:p w14:paraId="6DC684EE" w14:textId="77777777" w:rsidR="00C47EC5" w:rsidRDefault="00C47EC5">
      <w:pPr>
        <w:pStyle w:val="a0"/>
        <w:spacing w:before="93"/>
      </w:pPr>
    </w:p>
    <w:p w14:paraId="73E69FB6" w14:textId="77777777" w:rsidR="00C47EC5" w:rsidRDefault="00C47EC5">
      <w:pPr>
        <w:pStyle w:val="a0"/>
        <w:spacing w:before="93"/>
      </w:pPr>
    </w:p>
    <w:p w14:paraId="7189FB3B" w14:textId="77777777" w:rsidR="00C47EC5" w:rsidRDefault="00DA151C">
      <w:pPr>
        <w:pStyle w:val="a0"/>
        <w:spacing w:before="93"/>
        <w:jc w:val="center"/>
      </w:pPr>
      <w:r>
        <w:rPr>
          <w:rFonts w:hint="eastAsia"/>
          <w:noProof/>
        </w:rPr>
        <w:lastRenderedPageBreak/>
        <w:drawing>
          <wp:inline distT="0" distB="0" distL="0" distR="0" wp14:anchorId="4E894108" wp14:editId="0290A3AE">
            <wp:extent cx="4895850" cy="2266950"/>
            <wp:effectExtent l="57150" t="0" r="57150" b="7620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77F8D9" w14:textId="77777777" w:rsidR="00C47EC5" w:rsidRDefault="00DA151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w:t>
      </w:r>
    </w:p>
    <w:p w14:paraId="769284C1" w14:textId="77777777" w:rsidR="00C47EC5" w:rsidRDefault="00DA151C">
      <w:pPr>
        <w:spacing w:line="600" w:lineRule="exact"/>
        <w:ind w:firstLineChars="200" w:firstLine="640"/>
        <w:outlineLvl w:val="2"/>
        <w:rPr>
          <w:rFonts w:ascii="方正仿宋_GBK" w:eastAsia="方正仿宋_GBK" w:hAnsi="仿宋"/>
          <w:b/>
          <w:color w:val="000000"/>
          <w:sz w:val="32"/>
          <w:szCs w:val="32"/>
        </w:rPr>
      </w:pPr>
      <w:bookmarkStart w:id="23" w:name="_Toc15377211"/>
      <w:r>
        <w:rPr>
          <w:rFonts w:ascii="方正仿宋_GBK" w:eastAsia="方正仿宋_GBK" w:hAnsi="仿宋" w:hint="eastAsia"/>
          <w:b/>
          <w:color w:val="000000"/>
          <w:sz w:val="32"/>
          <w:szCs w:val="32"/>
        </w:rPr>
        <w:t>（二）一般公共预算财政拨款支出决算结构情况</w:t>
      </w:r>
      <w:bookmarkEnd w:id="23"/>
    </w:p>
    <w:p w14:paraId="6DFBDDD7" w14:textId="77777777" w:rsidR="00C47EC5" w:rsidRDefault="00DA151C">
      <w:pPr>
        <w:spacing w:line="600" w:lineRule="exact"/>
        <w:ind w:firstLine="640"/>
        <w:rPr>
          <w:rFonts w:ascii="方正仿宋_GBK" w:eastAsia="方正仿宋_GBK" w:hAnsi="仿宋"/>
          <w:b/>
          <w:color w:val="000000" w:themeColor="text1"/>
          <w:sz w:val="32"/>
          <w:szCs w:val="32"/>
        </w:rPr>
      </w:pPr>
      <w:r>
        <w:rPr>
          <w:rFonts w:ascii="方正仿宋_GBK" w:eastAsia="方正仿宋_GBK" w:hAnsi="仿宋" w:hint="eastAsia"/>
          <w:color w:val="000000"/>
          <w:sz w:val="32"/>
          <w:szCs w:val="32"/>
        </w:rPr>
        <w:t>2020年一般公共预算财</w:t>
      </w:r>
      <w:r>
        <w:rPr>
          <w:rFonts w:ascii="方正仿宋_GBK" w:eastAsia="方正仿宋_GBK" w:hAnsi="仿宋" w:hint="eastAsia"/>
          <w:color w:val="000000" w:themeColor="text1"/>
          <w:sz w:val="32"/>
          <w:szCs w:val="32"/>
        </w:rPr>
        <w:t>政拨款支出251.25万元，主要用于以下方面:</w:t>
      </w:r>
      <w:r>
        <w:rPr>
          <w:rFonts w:ascii="方正仿宋_GBK" w:eastAsia="方正仿宋_GBK" w:hAnsi="仿宋" w:hint="eastAsia"/>
          <w:b/>
          <w:color w:val="000000" w:themeColor="text1"/>
          <w:sz w:val="32"/>
          <w:szCs w:val="32"/>
        </w:rPr>
        <w:t>一般公共服务（类）</w:t>
      </w:r>
      <w:r>
        <w:rPr>
          <w:rFonts w:ascii="方正仿宋_GBK" w:eastAsia="方正仿宋_GBK" w:hAnsi="仿宋" w:hint="eastAsia"/>
          <w:color w:val="000000" w:themeColor="text1"/>
          <w:sz w:val="32"/>
          <w:szCs w:val="32"/>
        </w:rPr>
        <w:t>支出193.44万元，占76.99%；</w:t>
      </w:r>
      <w:r>
        <w:rPr>
          <w:rFonts w:ascii="方正仿宋_GBK" w:eastAsia="方正仿宋_GBK" w:hAnsi="仿宋" w:hint="eastAsia"/>
          <w:b/>
          <w:color w:val="000000" w:themeColor="text1"/>
          <w:sz w:val="32"/>
          <w:szCs w:val="32"/>
        </w:rPr>
        <w:t>教育支出（类）</w:t>
      </w:r>
      <w:r>
        <w:rPr>
          <w:rFonts w:ascii="方正仿宋_GBK" w:eastAsia="方正仿宋_GBK" w:hAnsi="仿宋" w:hint="eastAsia"/>
          <w:color w:val="000000" w:themeColor="text1"/>
          <w:sz w:val="32"/>
          <w:szCs w:val="32"/>
        </w:rPr>
        <w:t>0.05万元，占0.02%；</w:t>
      </w:r>
      <w:r>
        <w:rPr>
          <w:rFonts w:ascii="方正仿宋_GBK" w:eastAsia="方正仿宋_GBK" w:hAnsi="仿宋" w:hint="eastAsia"/>
          <w:b/>
          <w:color w:val="000000" w:themeColor="text1"/>
          <w:sz w:val="32"/>
          <w:szCs w:val="32"/>
        </w:rPr>
        <w:t>社会保障和就业（类）</w:t>
      </w:r>
      <w:r>
        <w:rPr>
          <w:rFonts w:ascii="方正仿宋_GBK" w:eastAsia="方正仿宋_GBK" w:hAnsi="仿宋" w:hint="eastAsia"/>
          <w:color w:val="000000" w:themeColor="text1"/>
          <w:sz w:val="32"/>
          <w:szCs w:val="32"/>
        </w:rPr>
        <w:t>支出24.42万元，占9.72%；</w:t>
      </w:r>
      <w:r>
        <w:rPr>
          <w:rFonts w:ascii="方正仿宋_GBK" w:eastAsia="方正仿宋_GBK" w:hAnsi="仿宋" w:hint="eastAsia"/>
          <w:b/>
          <w:bCs/>
          <w:color w:val="000000" w:themeColor="text1"/>
          <w:sz w:val="32"/>
          <w:szCs w:val="32"/>
        </w:rPr>
        <w:t>卫生健康支出</w:t>
      </w:r>
      <w:r>
        <w:rPr>
          <w:rFonts w:ascii="方正仿宋_GBK" w:eastAsia="方正仿宋_GBK" w:hAnsi="仿宋" w:hint="eastAsia"/>
          <w:color w:val="000000" w:themeColor="text1"/>
          <w:sz w:val="32"/>
          <w:szCs w:val="32"/>
        </w:rPr>
        <w:t>7.48万元，占2.98%；住房保障支出25.85万元，占10.29%。</w:t>
      </w:r>
    </w:p>
    <w:p w14:paraId="727A7983" w14:textId="77777777" w:rsidR="00C47EC5" w:rsidRDefault="00DA151C">
      <w:pPr>
        <w:pStyle w:val="a0"/>
        <w:spacing w:before="93"/>
        <w:jc w:val="center"/>
      </w:pPr>
      <w:r>
        <w:rPr>
          <w:rFonts w:hint="eastAsia"/>
          <w:noProof/>
        </w:rPr>
        <w:drawing>
          <wp:inline distT="0" distB="0" distL="0" distR="0" wp14:anchorId="01E4008A" wp14:editId="22F555B3">
            <wp:extent cx="5419725" cy="2209800"/>
            <wp:effectExtent l="19050" t="0" r="9525" b="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9492E5" w14:textId="77777777" w:rsidR="00C47EC5" w:rsidRDefault="00DA151C">
      <w:pPr>
        <w:pStyle w:val="a0"/>
        <w:spacing w:before="93"/>
      </w:pPr>
      <w:r>
        <w:rPr>
          <w:rFonts w:ascii="仿宋" w:eastAsia="仿宋" w:hAnsi="仿宋" w:hint="eastAsia"/>
          <w:color w:val="000000"/>
          <w:sz w:val="32"/>
          <w:szCs w:val="32"/>
        </w:rPr>
        <w:t xml:space="preserve">        （图6：一般公共预算财政拨款支出决算结构）</w:t>
      </w:r>
    </w:p>
    <w:p w14:paraId="61D44237" w14:textId="77777777" w:rsidR="00C47EC5" w:rsidRDefault="00C47EC5">
      <w:pPr>
        <w:pStyle w:val="a0"/>
        <w:spacing w:before="93"/>
      </w:pPr>
    </w:p>
    <w:p w14:paraId="26FD2ED2" w14:textId="77777777" w:rsidR="00C47EC5" w:rsidRDefault="00DA151C">
      <w:pPr>
        <w:spacing w:line="560" w:lineRule="exact"/>
        <w:outlineLvl w:val="2"/>
        <w:rPr>
          <w:rFonts w:ascii="方正仿宋_GBK" w:eastAsia="方正仿宋_GBK" w:hAnsi="仿宋"/>
          <w:b/>
          <w:color w:val="000000"/>
          <w:sz w:val="32"/>
          <w:szCs w:val="32"/>
        </w:rPr>
      </w:pPr>
      <w:bookmarkStart w:id="24" w:name="_Toc15377212"/>
      <w:r>
        <w:rPr>
          <w:rFonts w:ascii="仿宋" w:eastAsia="仿宋" w:hAnsi="仿宋" w:hint="eastAsia"/>
          <w:color w:val="000000"/>
          <w:sz w:val="32"/>
          <w:szCs w:val="32"/>
        </w:rPr>
        <w:lastRenderedPageBreak/>
        <w:t xml:space="preserve">  </w:t>
      </w:r>
      <w:r>
        <w:rPr>
          <w:rFonts w:ascii="方正仿宋_GBK" w:eastAsia="方正仿宋_GBK" w:hAnsi="仿宋" w:hint="eastAsia"/>
          <w:color w:val="000000"/>
          <w:sz w:val="32"/>
          <w:szCs w:val="32"/>
        </w:rPr>
        <w:t xml:space="preserve"> </w:t>
      </w:r>
      <w:r>
        <w:rPr>
          <w:rFonts w:ascii="方正仿宋_GBK" w:eastAsia="方正仿宋_GBK" w:hAnsi="仿宋" w:hint="eastAsia"/>
          <w:b/>
          <w:color w:val="000000"/>
          <w:sz w:val="32"/>
          <w:szCs w:val="32"/>
        </w:rPr>
        <w:t>（三）一般公共预算财政拨款支出决算具体情况</w:t>
      </w:r>
      <w:bookmarkEnd w:id="24"/>
    </w:p>
    <w:p w14:paraId="59F9E4E9" w14:textId="77777777" w:rsidR="00C47EC5" w:rsidRDefault="00DA151C">
      <w:pPr>
        <w:spacing w:line="560" w:lineRule="exact"/>
        <w:ind w:firstLineChars="200" w:firstLine="640"/>
        <w:outlineLvl w:val="2"/>
        <w:rPr>
          <w:rFonts w:ascii="方正仿宋_GBK" w:eastAsia="方正仿宋_GBK" w:hAnsi="仿宋"/>
          <w:color w:val="FF0000"/>
          <w:sz w:val="32"/>
          <w:szCs w:val="32"/>
        </w:rPr>
      </w:pPr>
      <w:bookmarkStart w:id="25" w:name="_Toc15377213"/>
      <w:bookmarkStart w:id="26" w:name="_Toc15378460"/>
      <w:bookmarkStart w:id="27" w:name="_Toc15377444"/>
      <w:r>
        <w:rPr>
          <w:rFonts w:ascii="方正仿宋_GBK" w:eastAsia="方正仿宋_GBK" w:hAnsi="仿宋" w:hint="eastAsia"/>
          <w:b/>
          <w:color w:val="000000" w:themeColor="text1"/>
          <w:sz w:val="32"/>
          <w:szCs w:val="32"/>
        </w:rPr>
        <w:t>2020年一般公共预算支出决算数为251.25</w:t>
      </w:r>
      <w:r>
        <w:rPr>
          <w:rFonts w:ascii="方正仿宋_GBK" w:eastAsia="方正仿宋_GBK" w:hAnsi="仿宋" w:hint="eastAsia"/>
          <w:color w:val="000000" w:themeColor="text1"/>
          <w:sz w:val="32"/>
          <w:szCs w:val="32"/>
        </w:rPr>
        <w:t>，</w:t>
      </w:r>
      <w:r>
        <w:rPr>
          <w:rStyle w:val="ab"/>
          <w:rFonts w:ascii="方正仿宋_GBK" w:eastAsia="方正仿宋_GBK" w:hAnsi="仿宋" w:hint="eastAsia"/>
          <w:bCs/>
          <w:color w:val="000000" w:themeColor="text1"/>
          <w:sz w:val="32"/>
          <w:szCs w:val="32"/>
        </w:rPr>
        <w:t>完成</w:t>
      </w:r>
      <w:r>
        <w:rPr>
          <w:rStyle w:val="ab"/>
          <w:rFonts w:ascii="方正仿宋_GBK" w:eastAsia="方正仿宋_GBK" w:hAnsi="仿宋" w:hint="eastAsia"/>
          <w:bCs/>
          <w:color w:val="000000"/>
          <w:sz w:val="32"/>
          <w:szCs w:val="32"/>
        </w:rPr>
        <w:t>预算100%。其中：</w:t>
      </w:r>
      <w:bookmarkEnd w:id="25"/>
      <w:bookmarkEnd w:id="26"/>
      <w:bookmarkEnd w:id="27"/>
    </w:p>
    <w:p w14:paraId="62CFA871"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1.</w:t>
      </w:r>
      <w:r>
        <w:rPr>
          <w:rStyle w:val="ab"/>
          <w:rFonts w:ascii="方正仿宋_GBK" w:eastAsia="方正仿宋_GBK" w:hAnsi="仿宋"/>
          <w:b w:val="0"/>
          <w:bCs/>
          <w:color w:val="000000"/>
          <w:sz w:val="32"/>
          <w:szCs w:val="32"/>
        </w:rPr>
        <w:t xml:space="preserve"> </w:t>
      </w:r>
      <w:r>
        <w:rPr>
          <w:rStyle w:val="ab"/>
          <w:rFonts w:ascii="方正仿宋_GBK" w:eastAsia="方正仿宋_GBK" w:hAnsi="仿宋" w:hint="eastAsia"/>
          <w:bCs/>
          <w:color w:val="000000"/>
          <w:sz w:val="32"/>
          <w:szCs w:val="32"/>
        </w:rPr>
        <w:t>一般公共服务（类）群众团体事务（款）行政运行（项）：</w:t>
      </w:r>
      <w:r>
        <w:rPr>
          <w:rStyle w:val="ab"/>
          <w:rFonts w:ascii="方正仿宋_GBK" w:eastAsia="方正仿宋_GBK" w:hAnsi="仿宋" w:hint="eastAsia"/>
          <w:b w:val="0"/>
          <w:bCs/>
          <w:color w:val="000000"/>
          <w:sz w:val="32"/>
          <w:szCs w:val="32"/>
        </w:rPr>
        <w:t>支出决算为118.56万，完成预算100%；</w:t>
      </w:r>
    </w:p>
    <w:p w14:paraId="537DE32C" w14:textId="77777777" w:rsidR="00C47EC5" w:rsidRDefault="00DA151C">
      <w:pPr>
        <w:spacing w:line="60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一般公共服务（类）群众团体事务（款）一般行政管理事务（项）:</w:t>
      </w:r>
      <w:r>
        <w:rPr>
          <w:rStyle w:val="ab"/>
          <w:rFonts w:ascii="方正仿宋_GBK" w:eastAsia="方正仿宋_GBK" w:hAnsi="仿宋" w:hint="eastAsia"/>
          <w:b w:val="0"/>
          <w:bCs/>
          <w:color w:val="000000"/>
          <w:sz w:val="32"/>
          <w:szCs w:val="32"/>
        </w:rPr>
        <w:t xml:space="preserve"> 支出决算为74.89万元，完成预算100%。</w:t>
      </w:r>
    </w:p>
    <w:p w14:paraId="1F80ECF2" w14:textId="77777777" w:rsidR="00C47EC5" w:rsidRDefault="00DA151C">
      <w:pPr>
        <w:spacing w:line="560" w:lineRule="exact"/>
        <w:ind w:firstLineChars="200" w:firstLine="640"/>
        <w:rPr>
          <w:rFonts w:ascii="方正仿宋_GBK" w:eastAsia="方正仿宋_GBK" w:hAnsi="仿宋"/>
          <w:color w:val="000000"/>
          <w:sz w:val="32"/>
          <w:szCs w:val="32"/>
        </w:rPr>
      </w:pPr>
      <w:r>
        <w:rPr>
          <w:rStyle w:val="ab"/>
          <w:rFonts w:ascii="方正仿宋_GBK" w:eastAsia="方正仿宋_GBK" w:hAnsi="仿宋" w:hint="eastAsia"/>
          <w:bCs/>
          <w:color w:val="000000"/>
          <w:sz w:val="32"/>
          <w:szCs w:val="32"/>
        </w:rPr>
        <w:t>2.教育（类）进修及培训（款）培训支出（项）:</w:t>
      </w:r>
      <w:r>
        <w:rPr>
          <w:rStyle w:val="ab"/>
          <w:rFonts w:ascii="方正仿宋_GBK" w:eastAsia="方正仿宋_GBK" w:hAnsi="仿宋" w:hint="eastAsia"/>
          <w:b w:val="0"/>
          <w:bCs/>
          <w:color w:val="000000"/>
          <w:sz w:val="32"/>
          <w:szCs w:val="32"/>
        </w:rPr>
        <w:t xml:space="preserve"> 支出决算为0.05万元，完成预算100%。</w:t>
      </w:r>
    </w:p>
    <w:p w14:paraId="300ED136"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3.社会保障和就业（类）行政事业单位养老支出（款）行政单位离退休（项）:</w:t>
      </w:r>
      <w:r>
        <w:rPr>
          <w:rStyle w:val="ab"/>
          <w:rFonts w:ascii="方正仿宋_GBK" w:eastAsia="方正仿宋_GBK" w:hAnsi="仿宋" w:hint="eastAsia"/>
          <w:b w:val="0"/>
          <w:bCs/>
          <w:color w:val="000000"/>
          <w:sz w:val="32"/>
          <w:szCs w:val="32"/>
        </w:rPr>
        <w:t xml:space="preserve"> 支出决算为16.98万元，完成预算100%；</w:t>
      </w:r>
    </w:p>
    <w:p w14:paraId="437CE187"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社会保障和就业（类）行政事业单位养老支出（款）机关事业单位基本养老保险缴费支出（项）:</w:t>
      </w:r>
      <w:r>
        <w:rPr>
          <w:rStyle w:val="ab"/>
          <w:rFonts w:ascii="方正仿宋_GBK" w:eastAsia="方正仿宋_GBK" w:hAnsi="仿宋" w:hint="eastAsia"/>
          <w:b w:val="0"/>
          <w:bCs/>
          <w:color w:val="000000"/>
          <w:sz w:val="32"/>
          <w:szCs w:val="32"/>
        </w:rPr>
        <w:t xml:space="preserve"> 支出决算为7.44万元，完成预算100%。</w:t>
      </w:r>
    </w:p>
    <w:p w14:paraId="28E4DAE0"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4.卫生健康（类）行政事业单位医疗（款）行政单位医疗（项）:</w:t>
      </w:r>
      <w:r>
        <w:rPr>
          <w:rStyle w:val="ab"/>
          <w:rFonts w:ascii="方正仿宋_GBK" w:eastAsia="方正仿宋_GBK" w:hAnsi="仿宋" w:hint="eastAsia"/>
          <w:b w:val="0"/>
          <w:bCs/>
          <w:color w:val="000000"/>
          <w:sz w:val="32"/>
          <w:szCs w:val="32"/>
        </w:rPr>
        <w:t>支出决算为5.64万元，完成预算100%；</w:t>
      </w:r>
    </w:p>
    <w:p w14:paraId="6EAD8D40"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卫生健康（类）行政事业单位医疗（款）公务员医疗补助（项）:</w:t>
      </w:r>
      <w:r>
        <w:rPr>
          <w:rStyle w:val="ab"/>
          <w:rFonts w:ascii="方正仿宋_GBK" w:eastAsia="方正仿宋_GBK" w:hAnsi="仿宋" w:hint="eastAsia"/>
          <w:b w:val="0"/>
          <w:bCs/>
          <w:color w:val="000000"/>
          <w:sz w:val="32"/>
          <w:szCs w:val="32"/>
        </w:rPr>
        <w:t>支出决算为1.84万元，完成预算100%。</w:t>
      </w:r>
    </w:p>
    <w:p w14:paraId="1310D434" w14:textId="77777777" w:rsidR="00C47EC5" w:rsidRDefault="00DA151C">
      <w:pPr>
        <w:spacing w:line="560" w:lineRule="exact"/>
        <w:ind w:firstLineChars="200" w:firstLine="640"/>
        <w:jc w:val="left"/>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5.住房保障支出（类）住房改革支出（款）住房公积金（项）：</w:t>
      </w:r>
      <w:r>
        <w:rPr>
          <w:rStyle w:val="ab"/>
          <w:rFonts w:ascii="方正仿宋_GBK" w:eastAsia="方正仿宋_GBK" w:hAnsi="仿宋" w:hint="eastAsia"/>
          <w:b w:val="0"/>
          <w:bCs/>
          <w:color w:val="000000"/>
          <w:sz w:val="32"/>
          <w:szCs w:val="32"/>
        </w:rPr>
        <w:t>支出决算为7.53万元，完成预算100%；</w:t>
      </w:r>
    </w:p>
    <w:p w14:paraId="07A97D6D"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Cs/>
          <w:color w:val="000000"/>
          <w:sz w:val="32"/>
          <w:szCs w:val="32"/>
        </w:rPr>
        <w:t>住房保障支出（类）住房改革支出（款）购房补贴（项）：</w:t>
      </w:r>
      <w:r>
        <w:rPr>
          <w:rStyle w:val="ab"/>
          <w:rFonts w:ascii="方正仿宋_GBK" w:eastAsia="方正仿宋_GBK" w:hAnsi="仿宋" w:hint="eastAsia"/>
          <w:b w:val="0"/>
          <w:bCs/>
          <w:color w:val="000000"/>
          <w:sz w:val="32"/>
          <w:szCs w:val="32"/>
        </w:rPr>
        <w:t>支出决算为18.32万元，完成预算100%。</w:t>
      </w:r>
    </w:p>
    <w:p w14:paraId="0C3D6A5C" w14:textId="77777777" w:rsidR="00C47EC5" w:rsidRDefault="00DA151C">
      <w:pPr>
        <w:tabs>
          <w:tab w:val="right" w:pos="8306"/>
        </w:tabs>
        <w:spacing w:line="560" w:lineRule="exact"/>
        <w:ind w:firstLine="640"/>
        <w:outlineLvl w:val="1"/>
        <w:rPr>
          <w:rStyle w:val="20"/>
        </w:rPr>
      </w:pPr>
      <w:bookmarkStart w:id="28" w:name="_Toc15377214"/>
      <w:bookmarkStart w:id="29"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28"/>
      <w:bookmarkEnd w:id="29"/>
    </w:p>
    <w:p w14:paraId="2B2601E5" w14:textId="77777777" w:rsidR="00C47EC5" w:rsidRDefault="00DA151C">
      <w:pPr>
        <w:spacing w:line="560" w:lineRule="exact"/>
        <w:ind w:firstLine="646"/>
        <w:rPr>
          <w:rFonts w:ascii="方正仿宋_GBK" w:eastAsia="方正仿宋_GBK" w:hAnsi="仿宋"/>
          <w:color w:val="000000"/>
          <w:sz w:val="32"/>
          <w:szCs w:val="32"/>
        </w:rPr>
      </w:pPr>
      <w:r>
        <w:rPr>
          <w:rFonts w:ascii="方正仿宋_GBK" w:eastAsia="方正仿宋_GBK" w:hAnsi="仿宋" w:hint="eastAsia"/>
          <w:color w:val="000000"/>
          <w:sz w:val="32"/>
          <w:szCs w:val="32"/>
        </w:rPr>
        <w:t>2020年一般公共预算财政拨款基本支出251.25万元，其</w:t>
      </w:r>
      <w:r>
        <w:rPr>
          <w:rFonts w:ascii="方正仿宋_GBK" w:eastAsia="方正仿宋_GBK" w:hAnsi="仿宋" w:hint="eastAsia"/>
          <w:color w:val="000000"/>
          <w:sz w:val="32"/>
          <w:szCs w:val="32"/>
        </w:rPr>
        <w:lastRenderedPageBreak/>
        <w:t>中：</w:t>
      </w:r>
    </w:p>
    <w:p w14:paraId="6C238A0D" w14:textId="77777777" w:rsidR="00C47EC5" w:rsidRDefault="00DA151C">
      <w:pPr>
        <w:spacing w:line="560" w:lineRule="exact"/>
        <w:ind w:firstLine="646"/>
        <w:rPr>
          <w:rFonts w:ascii="方正仿宋_GBK" w:eastAsia="方正仿宋_GBK" w:hAnsi="仿宋"/>
          <w:color w:val="000000"/>
          <w:sz w:val="32"/>
          <w:szCs w:val="32"/>
        </w:rPr>
      </w:pPr>
      <w:r>
        <w:rPr>
          <w:rFonts w:ascii="方正仿宋_GBK" w:eastAsia="方正仿宋_GBK" w:hAnsi="仿宋" w:hint="eastAsia"/>
          <w:color w:val="000000"/>
          <w:sz w:val="32"/>
          <w:szCs w:val="32"/>
        </w:rPr>
        <w:t>人员经费121.18万元，主要包括：基本工资、津贴补贴、奖金、机关事业单位基本养老保险缴费、职工基本医疗保险缴费、公务员医疗补助缴费、其他工资福利支出、住房公积金、其他对个人和家庭的补助支出等。</w:t>
      </w:r>
    </w:p>
    <w:p w14:paraId="2A740917" w14:textId="77777777" w:rsidR="00C47EC5" w:rsidRDefault="00DA151C">
      <w:pPr>
        <w:spacing w:line="560" w:lineRule="exact"/>
        <w:ind w:firstLine="646"/>
        <w:rPr>
          <w:rFonts w:ascii="仿宋" w:eastAsia="仿宋" w:hAnsi="仿宋"/>
          <w:color w:val="000000"/>
          <w:sz w:val="32"/>
          <w:szCs w:val="32"/>
        </w:rPr>
      </w:pPr>
      <w:r>
        <w:rPr>
          <w:rFonts w:ascii="方正仿宋_GBK" w:eastAsia="方正仿宋_GBK" w:hAnsi="仿宋" w:hint="eastAsia"/>
          <w:sz w:val="32"/>
          <w:szCs w:val="32"/>
        </w:rPr>
        <w:t>公用经费55.18</w:t>
      </w:r>
      <w:r>
        <w:rPr>
          <w:rFonts w:ascii="方正仿宋_GBK" w:eastAsia="方正仿宋_GBK" w:hAnsi="仿宋" w:hint="eastAsia"/>
          <w:color w:val="000000"/>
          <w:sz w:val="32"/>
          <w:szCs w:val="32"/>
        </w:rPr>
        <w:t>万元，主要包括：办公费、水费、电费、邮电费、差旅费、会议费、培训费、公务接待费、工会经费、福利费、公务用 车运行维护费、其他交通费、其他商品和服务支出。</w:t>
      </w:r>
    </w:p>
    <w:p w14:paraId="408D6E47" w14:textId="77777777" w:rsidR="00C47EC5" w:rsidRDefault="00DA151C">
      <w:pPr>
        <w:spacing w:line="560" w:lineRule="exact"/>
        <w:ind w:firstLine="640"/>
        <w:outlineLvl w:val="1"/>
        <w:rPr>
          <w:rStyle w:val="20"/>
          <w:rFonts w:ascii="黑体" w:eastAsia="黑体" w:hAnsi="黑体"/>
          <w:b w:val="0"/>
        </w:rPr>
      </w:pPr>
      <w:bookmarkStart w:id="30" w:name="_Toc15396609"/>
      <w:bookmarkStart w:id="31" w:name="_Toc15377215"/>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30"/>
      <w:bookmarkEnd w:id="31"/>
    </w:p>
    <w:p w14:paraId="0CCC791B" w14:textId="77777777" w:rsidR="00C47EC5" w:rsidRDefault="00DA151C">
      <w:pPr>
        <w:spacing w:line="560" w:lineRule="exact"/>
        <w:ind w:firstLine="640"/>
        <w:outlineLvl w:val="2"/>
        <w:rPr>
          <w:rFonts w:ascii="方正仿宋_GBK" w:eastAsia="方正仿宋_GBK" w:hAnsi="仿宋"/>
          <w:b/>
          <w:color w:val="000000"/>
          <w:sz w:val="32"/>
          <w:szCs w:val="32"/>
        </w:rPr>
      </w:pPr>
      <w:bookmarkStart w:id="32" w:name="_Toc15377216"/>
      <w:r>
        <w:rPr>
          <w:rFonts w:ascii="方正仿宋_GBK" w:eastAsia="方正仿宋_GBK" w:hAnsi="仿宋" w:hint="eastAsia"/>
          <w:b/>
          <w:color w:val="000000"/>
          <w:sz w:val="32"/>
          <w:szCs w:val="32"/>
        </w:rPr>
        <w:t>（一）“三公”经费财政拨款支出决算总体情况说明</w:t>
      </w:r>
      <w:bookmarkEnd w:id="32"/>
    </w:p>
    <w:p w14:paraId="1B4EB616" w14:textId="77777777" w:rsidR="00C47EC5" w:rsidRDefault="00DA151C">
      <w:pPr>
        <w:spacing w:line="560" w:lineRule="exact"/>
        <w:ind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2020年“三公”经费财政拨款支出决算为12.40万元，完成预算57.78%。</w:t>
      </w:r>
    </w:p>
    <w:p w14:paraId="35AC2317" w14:textId="77777777" w:rsidR="00C47EC5" w:rsidRDefault="00DA151C">
      <w:pPr>
        <w:spacing w:line="560" w:lineRule="exact"/>
        <w:ind w:firstLine="640"/>
        <w:outlineLvl w:val="2"/>
        <w:rPr>
          <w:rFonts w:ascii="方正仿宋_GBK" w:eastAsia="方正仿宋_GBK" w:hAnsi="仿宋"/>
          <w:b/>
          <w:color w:val="000000"/>
          <w:sz w:val="32"/>
          <w:szCs w:val="32"/>
        </w:rPr>
      </w:pPr>
      <w:bookmarkStart w:id="33" w:name="_Toc15377217"/>
      <w:r>
        <w:rPr>
          <w:rFonts w:ascii="方正仿宋_GBK" w:eastAsia="方正仿宋_GBK" w:hAnsi="仿宋" w:hint="eastAsia"/>
          <w:b/>
          <w:color w:val="000000"/>
          <w:sz w:val="32"/>
          <w:szCs w:val="32"/>
        </w:rPr>
        <w:t>（二）“三公”经费财政拨款支出决算具体情况说明</w:t>
      </w:r>
      <w:bookmarkEnd w:id="33"/>
    </w:p>
    <w:p w14:paraId="27CAEC91" w14:textId="77777777" w:rsidR="00C47EC5" w:rsidRDefault="00DA151C">
      <w:pPr>
        <w:spacing w:line="560" w:lineRule="exact"/>
        <w:ind w:firstLine="640"/>
        <w:rPr>
          <w:rFonts w:ascii="仿宋" w:eastAsia="仿宋" w:hAnsi="仿宋"/>
          <w:color w:val="000000"/>
          <w:sz w:val="32"/>
          <w:szCs w:val="32"/>
        </w:rPr>
      </w:pPr>
      <w:r>
        <w:rPr>
          <w:rFonts w:ascii="方正仿宋_GBK" w:eastAsia="方正仿宋_GBK" w:hAnsi="仿宋" w:hint="eastAsia"/>
          <w:color w:val="000000"/>
          <w:sz w:val="32"/>
          <w:szCs w:val="32"/>
        </w:rPr>
        <w:t>2020年“三公”经费财政拨款支出决算中，因公出国（境）费支出决算0万元，占0%；公务用车购置及运行维护费支出决算3.30万元，占26.61%；公务接待费支出决算9.10万元，占73.39%。具体情况如下：</w:t>
      </w:r>
    </w:p>
    <w:p w14:paraId="2EE24DE5" w14:textId="77777777" w:rsidR="00C47EC5" w:rsidRDefault="00C47EC5">
      <w:pPr>
        <w:pStyle w:val="a0"/>
        <w:spacing w:before="93"/>
      </w:pPr>
    </w:p>
    <w:p w14:paraId="3AD30E27" w14:textId="77777777" w:rsidR="00C47EC5" w:rsidRDefault="00C47EC5">
      <w:pPr>
        <w:pStyle w:val="a0"/>
        <w:spacing w:before="93"/>
      </w:pPr>
    </w:p>
    <w:p w14:paraId="4DD2BE57" w14:textId="77777777" w:rsidR="00C47EC5" w:rsidRDefault="00C47EC5">
      <w:pPr>
        <w:pStyle w:val="a0"/>
        <w:spacing w:before="93"/>
      </w:pPr>
    </w:p>
    <w:p w14:paraId="28DCF715" w14:textId="77777777" w:rsidR="00C47EC5" w:rsidRDefault="00C47EC5">
      <w:pPr>
        <w:pStyle w:val="a0"/>
        <w:spacing w:before="93"/>
      </w:pPr>
    </w:p>
    <w:p w14:paraId="3FFFB48D" w14:textId="77777777" w:rsidR="00C47EC5" w:rsidRDefault="00C47EC5">
      <w:pPr>
        <w:pStyle w:val="a0"/>
        <w:spacing w:before="93"/>
      </w:pPr>
    </w:p>
    <w:p w14:paraId="4FBE497B" w14:textId="77777777" w:rsidR="00C47EC5" w:rsidRDefault="00C47EC5">
      <w:pPr>
        <w:pStyle w:val="a0"/>
        <w:spacing w:before="93"/>
      </w:pPr>
    </w:p>
    <w:p w14:paraId="5215DFBB" w14:textId="77777777" w:rsidR="00C47EC5" w:rsidRDefault="00DA151C">
      <w:pPr>
        <w:pStyle w:val="a0"/>
        <w:spacing w:before="93"/>
        <w:jc w:val="center"/>
      </w:pPr>
      <w:r>
        <w:rPr>
          <w:rFonts w:hint="eastAsia"/>
          <w:noProof/>
        </w:rPr>
        <w:drawing>
          <wp:inline distT="0" distB="0" distL="0" distR="0" wp14:anchorId="38E57AE8" wp14:editId="56A8E208">
            <wp:extent cx="5248275" cy="2324100"/>
            <wp:effectExtent l="19050" t="0" r="9525"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4DFED" w14:textId="77777777" w:rsidR="00C47EC5" w:rsidRDefault="00DA151C">
      <w:pPr>
        <w:spacing w:line="600" w:lineRule="exact"/>
        <w:ind w:firstLine="640"/>
        <w:rPr>
          <w:rFonts w:ascii="仿宋" w:eastAsia="仿宋" w:hAnsi="仿宋"/>
          <w:color w:val="000000"/>
          <w:sz w:val="32"/>
          <w:szCs w:val="32"/>
        </w:rPr>
      </w:pPr>
      <w:r>
        <w:rPr>
          <w:rFonts w:hint="eastAsia"/>
        </w:rPr>
        <w:t xml:space="preserve">       </w:t>
      </w:r>
      <w:r>
        <w:rPr>
          <w:rFonts w:ascii="仿宋" w:eastAsia="仿宋" w:hAnsi="仿宋" w:hint="eastAsia"/>
          <w:color w:val="000000"/>
          <w:sz w:val="32"/>
          <w:szCs w:val="32"/>
        </w:rPr>
        <w:t>（图7：“三公”经费财政拨款支出结构）</w:t>
      </w:r>
    </w:p>
    <w:p w14:paraId="037F5C85" w14:textId="77777777" w:rsidR="00C47EC5" w:rsidRDefault="00DA151C">
      <w:pPr>
        <w:spacing w:line="560" w:lineRule="exact"/>
        <w:ind w:firstLine="640"/>
        <w:rPr>
          <w:rStyle w:val="ab"/>
          <w:rFonts w:ascii="方正仿宋_GBK" w:eastAsia="方正仿宋_GBK" w:hAnsi="仿宋"/>
          <w:b w:val="0"/>
          <w:bCs/>
          <w:color w:val="000000"/>
          <w:sz w:val="32"/>
          <w:szCs w:val="32"/>
        </w:rPr>
      </w:pPr>
      <w:r>
        <w:rPr>
          <w:rFonts w:ascii="方正仿宋_GBK" w:eastAsia="方正仿宋_GBK" w:hint="eastAsia"/>
          <w:b/>
          <w:color w:val="000000"/>
          <w:sz w:val="32"/>
          <w:szCs w:val="32"/>
        </w:rPr>
        <w:t>1.因公出国（境）经费支出</w:t>
      </w:r>
      <w:r>
        <w:rPr>
          <w:rFonts w:ascii="方正仿宋_GBK" w:eastAsia="方正仿宋_GBK" w:hint="eastAsia"/>
          <w:color w:val="000000"/>
          <w:sz w:val="32"/>
          <w:szCs w:val="32"/>
        </w:rPr>
        <w:t>0万元，</w:t>
      </w:r>
      <w:r>
        <w:rPr>
          <w:rStyle w:val="ab"/>
          <w:rFonts w:ascii="方正仿宋_GBK" w:eastAsia="方正仿宋_GBK" w:hAnsi="仿宋" w:hint="eastAsia"/>
          <w:b w:val="0"/>
          <w:bCs/>
          <w:color w:val="000000"/>
          <w:sz w:val="32"/>
          <w:szCs w:val="32"/>
        </w:rPr>
        <w:t>2020年受疫情影响，因公出国任务取消，因公出国（境）经费收回财政，较上年减少5万元减少率100%。</w:t>
      </w:r>
    </w:p>
    <w:p w14:paraId="480D107D" w14:textId="77777777" w:rsidR="00C47EC5" w:rsidRDefault="00DA151C">
      <w:pPr>
        <w:spacing w:line="560" w:lineRule="exact"/>
        <w:ind w:firstLine="640"/>
        <w:rPr>
          <w:rFonts w:ascii="方正仿宋_GBK" w:eastAsia="方正仿宋_GBK" w:hAnsi="仿宋"/>
          <w:color w:val="000000"/>
          <w:sz w:val="32"/>
          <w:szCs w:val="32"/>
        </w:rPr>
      </w:pPr>
      <w:r>
        <w:rPr>
          <w:rFonts w:ascii="方正仿宋_GBK" w:eastAsia="方正仿宋_GBK" w:hint="eastAsia"/>
          <w:b/>
          <w:color w:val="000000"/>
          <w:sz w:val="32"/>
          <w:szCs w:val="32"/>
        </w:rPr>
        <w:t>2.公务用车购置及运行维护费支出</w:t>
      </w:r>
      <w:r>
        <w:rPr>
          <w:rFonts w:ascii="方正仿宋_GBK" w:eastAsia="方正仿宋_GBK" w:hint="eastAsia"/>
          <w:color w:val="000000"/>
          <w:sz w:val="32"/>
          <w:szCs w:val="32"/>
        </w:rPr>
        <w:t>3.3万元,</w:t>
      </w:r>
      <w:r>
        <w:rPr>
          <w:rStyle w:val="ab"/>
          <w:rFonts w:ascii="方正仿宋_GBK" w:eastAsia="方正仿宋_GBK" w:hAnsi="仿宋" w:hint="eastAsia"/>
          <w:b w:val="0"/>
          <w:bCs/>
          <w:color w:val="000000"/>
          <w:sz w:val="32"/>
          <w:szCs w:val="32"/>
        </w:rPr>
        <w:t>完成预算88.71%。公务车保有量1辆，</w:t>
      </w:r>
      <w:r>
        <w:rPr>
          <w:rFonts w:ascii="方正仿宋_GBK" w:eastAsia="方正仿宋_GBK" w:hint="eastAsia"/>
          <w:color w:val="000000"/>
          <w:sz w:val="32"/>
          <w:szCs w:val="32"/>
        </w:rPr>
        <w:t>公务用车购置及运行维护费支出决算比2019年减少1.67万元，下降33.60%。主要原因是</w:t>
      </w:r>
      <w:r>
        <w:rPr>
          <w:rFonts w:ascii="方正仿宋_GBK" w:eastAsia="方正仿宋_GBK" w:hAnsi="仿宋" w:hint="eastAsia"/>
          <w:color w:val="000000"/>
          <w:sz w:val="32"/>
          <w:szCs w:val="32"/>
        </w:rPr>
        <w:t>受疫情影响，公务用车出行减少，相应运行维护费支出减少。</w:t>
      </w:r>
    </w:p>
    <w:p w14:paraId="383E71C3" w14:textId="77777777" w:rsidR="00C47EC5" w:rsidRDefault="00DA151C">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其中：</w:t>
      </w:r>
      <w:r>
        <w:rPr>
          <w:rFonts w:ascii="方正仿宋_GBK" w:eastAsia="方正仿宋_GBK" w:hint="eastAsia"/>
          <w:b/>
          <w:color w:val="000000"/>
          <w:sz w:val="32"/>
          <w:szCs w:val="32"/>
        </w:rPr>
        <w:t>公务用车购置支出</w:t>
      </w:r>
      <w:r>
        <w:rPr>
          <w:rFonts w:ascii="方正仿宋_GBK" w:eastAsia="方正仿宋_GBK" w:hint="eastAsia"/>
          <w:color w:val="000000"/>
          <w:sz w:val="32"/>
          <w:szCs w:val="32"/>
        </w:rPr>
        <w:t>0万元。全年无更新购置公务车辆。</w:t>
      </w:r>
    </w:p>
    <w:p w14:paraId="4E9F2453" w14:textId="77777777" w:rsidR="00C47EC5" w:rsidRDefault="00DA151C">
      <w:pPr>
        <w:spacing w:line="560" w:lineRule="exact"/>
        <w:ind w:firstLine="640"/>
        <w:rPr>
          <w:rFonts w:ascii="方正仿宋_GBK" w:eastAsia="方正仿宋_GBK"/>
          <w:color w:val="000000"/>
          <w:sz w:val="32"/>
          <w:szCs w:val="32"/>
        </w:rPr>
      </w:pPr>
      <w:r>
        <w:rPr>
          <w:rFonts w:ascii="方正仿宋_GBK" w:eastAsia="方正仿宋_GBK" w:hint="eastAsia"/>
          <w:b/>
          <w:color w:val="000000"/>
          <w:sz w:val="32"/>
          <w:szCs w:val="32"/>
        </w:rPr>
        <w:t>公务用车运行维护费支出</w:t>
      </w:r>
      <w:r>
        <w:rPr>
          <w:rFonts w:ascii="方正仿宋_GBK" w:eastAsia="方正仿宋_GBK" w:hint="eastAsia"/>
          <w:color w:val="000000"/>
          <w:sz w:val="32"/>
          <w:szCs w:val="32"/>
        </w:rPr>
        <w:t>3.30万元。主要用于对台业务工作开展及机关正常运转等所需的公务用车燃料费、维修费、过路过桥费、保险费等支出。</w:t>
      </w:r>
    </w:p>
    <w:p w14:paraId="4A415FDD" w14:textId="77777777" w:rsidR="00C47EC5" w:rsidRDefault="00DA151C">
      <w:pPr>
        <w:spacing w:line="560" w:lineRule="exact"/>
        <w:ind w:firstLine="640"/>
        <w:rPr>
          <w:rFonts w:ascii="方正仿宋_GBK" w:eastAsia="方正仿宋_GBK"/>
          <w:color w:val="000000"/>
          <w:sz w:val="32"/>
          <w:szCs w:val="32"/>
        </w:rPr>
      </w:pPr>
      <w:r>
        <w:rPr>
          <w:rFonts w:ascii="方正仿宋_GBK" w:eastAsia="方正仿宋_GBK" w:hint="eastAsia"/>
          <w:b/>
          <w:color w:val="000000"/>
          <w:sz w:val="32"/>
          <w:szCs w:val="32"/>
        </w:rPr>
        <w:t>3.公务接待费支出</w:t>
      </w:r>
      <w:r>
        <w:rPr>
          <w:rFonts w:ascii="方正仿宋_GBK" w:eastAsia="方正仿宋_GBK" w:hint="eastAsia"/>
          <w:color w:val="000000"/>
          <w:sz w:val="32"/>
          <w:szCs w:val="32"/>
        </w:rPr>
        <w:t>9.10万元，</w:t>
      </w:r>
      <w:r>
        <w:rPr>
          <w:rStyle w:val="ab"/>
          <w:rFonts w:ascii="方正仿宋_GBK" w:eastAsia="方正仿宋_GBK" w:hAnsi="仿宋" w:hint="eastAsia"/>
          <w:b w:val="0"/>
          <w:bCs/>
          <w:color w:val="000000"/>
          <w:sz w:val="32"/>
          <w:szCs w:val="32"/>
        </w:rPr>
        <w:t>完成预算51.30%。</w:t>
      </w:r>
      <w:r>
        <w:rPr>
          <w:rFonts w:ascii="方正仿宋_GBK" w:eastAsia="方正仿宋_GBK" w:hint="eastAsia"/>
          <w:color w:val="000000"/>
          <w:sz w:val="32"/>
          <w:szCs w:val="32"/>
        </w:rPr>
        <w:t>公务接待费支出决算比2019年减少13.64万元，下降62.74%。主要原因是受疫情和两岸形势影响，来川台胞台商人数大大减少，相应公务接待费支出减少。其中：</w:t>
      </w:r>
    </w:p>
    <w:p w14:paraId="490787B6" w14:textId="77777777" w:rsidR="00C47EC5" w:rsidRDefault="00DA151C">
      <w:pPr>
        <w:spacing w:line="560" w:lineRule="exact"/>
        <w:ind w:firstLine="640"/>
        <w:rPr>
          <w:rFonts w:ascii="方正仿宋_GBK" w:eastAsia="方正仿宋_GBK"/>
          <w:color w:val="000000"/>
          <w:sz w:val="32"/>
          <w:szCs w:val="32"/>
        </w:rPr>
      </w:pPr>
      <w:r>
        <w:rPr>
          <w:rFonts w:ascii="方正仿宋_GBK" w:eastAsia="方正仿宋_GBK" w:hAnsi="仿宋" w:hint="eastAsia"/>
          <w:b/>
          <w:color w:val="000000"/>
          <w:sz w:val="32"/>
          <w:szCs w:val="32"/>
        </w:rPr>
        <w:lastRenderedPageBreak/>
        <w:t>国内公务接待支出</w:t>
      </w:r>
      <w:r>
        <w:rPr>
          <w:rFonts w:ascii="方正仿宋_GBK" w:eastAsia="方正仿宋_GBK" w:hAnsi="仿宋" w:hint="eastAsia"/>
          <w:color w:val="000000"/>
          <w:sz w:val="32"/>
          <w:szCs w:val="32"/>
        </w:rPr>
        <w:t>0.56</w:t>
      </w:r>
      <w:r>
        <w:rPr>
          <w:rFonts w:ascii="方正仿宋_GBK" w:eastAsia="方正仿宋_GBK" w:hint="eastAsia"/>
          <w:color w:val="000000"/>
          <w:sz w:val="32"/>
          <w:szCs w:val="32"/>
        </w:rPr>
        <w:t>万元，国内公务接待3批次，38人次（不包括陪同人员），总计支出0.56万元，具体内容包括：主要用于接待省市台联人员来川交流参访等活动交通费、餐费等。</w:t>
      </w:r>
    </w:p>
    <w:p w14:paraId="40EE3692" w14:textId="77777777" w:rsidR="00C47EC5" w:rsidRDefault="00DA151C">
      <w:pPr>
        <w:spacing w:line="560" w:lineRule="exact"/>
        <w:ind w:firstLineChars="200" w:firstLine="640"/>
        <w:rPr>
          <w:rFonts w:ascii="方正仿宋_GBK" w:eastAsia="方正仿宋_GBK"/>
          <w:color w:val="000000"/>
          <w:sz w:val="32"/>
          <w:szCs w:val="32"/>
        </w:rPr>
      </w:pPr>
      <w:r>
        <w:rPr>
          <w:rFonts w:ascii="方正仿宋_GBK" w:eastAsia="方正仿宋_GBK" w:hAnsi="仿宋" w:hint="eastAsia"/>
          <w:b/>
          <w:color w:val="000000"/>
          <w:sz w:val="32"/>
          <w:szCs w:val="32"/>
        </w:rPr>
        <w:t>外事接待支出</w:t>
      </w:r>
      <w:r>
        <w:rPr>
          <w:rFonts w:ascii="方正仿宋_GBK" w:eastAsia="方正仿宋_GBK" w:hAnsi="仿宋" w:hint="eastAsia"/>
          <w:color w:val="000000"/>
          <w:sz w:val="32"/>
          <w:szCs w:val="32"/>
        </w:rPr>
        <w:t>8.54</w:t>
      </w:r>
      <w:r>
        <w:rPr>
          <w:rFonts w:ascii="方正仿宋_GBK" w:eastAsia="方正仿宋_GBK" w:hint="eastAsia"/>
          <w:color w:val="000000"/>
          <w:sz w:val="32"/>
          <w:szCs w:val="32"/>
        </w:rPr>
        <w:t>万元，外事接待14批次，175人次，共计支出8.54万元，主要用于接待来川参访台胞，加强与台胞交流沟通。</w:t>
      </w:r>
    </w:p>
    <w:p w14:paraId="0DB056A2" w14:textId="77777777" w:rsidR="00C47EC5" w:rsidRDefault="00DA151C">
      <w:pPr>
        <w:spacing w:line="560" w:lineRule="exact"/>
        <w:ind w:firstLine="640"/>
        <w:outlineLvl w:val="1"/>
        <w:rPr>
          <w:rStyle w:val="20"/>
          <w:rFonts w:ascii="黑体" w:eastAsia="黑体" w:hAnsi="黑体"/>
        </w:rPr>
      </w:pPr>
      <w:bookmarkStart w:id="34" w:name="_Toc15377218"/>
      <w:bookmarkStart w:id="35" w:name="_Toc15396610"/>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34"/>
      <w:bookmarkEnd w:id="35"/>
    </w:p>
    <w:p w14:paraId="40F8454A" w14:textId="77777777" w:rsidR="00C47EC5" w:rsidRDefault="00DA151C">
      <w:pPr>
        <w:spacing w:line="560" w:lineRule="exact"/>
        <w:ind w:firstLine="640"/>
        <w:rPr>
          <w:rFonts w:ascii="方正仿宋_GBK" w:eastAsia="方正仿宋_GBK"/>
          <w:color w:val="000000"/>
          <w:sz w:val="32"/>
          <w:szCs w:val="32"/>
        </w:rPr>
      </w:pPr>
      <w:r>
        <w:rPr>
          <w:rFonts w:ascii="方正仿宋_GBK" w:eastAsia="方正仿宋_GBK"/>
          <w:color w:val="000000"/>
          <w:sz w:val="32"/>
          <w:szCs w:val="32"/>
        </w:rPr>
        <w:t>20</w:t>
      </w:r>
      <w:r>
        <w:rPr>
          <w:rFonts w:ascii="方正仿宋_GBK" w:eastAsia="方正仿宋_GBK" w:hint="eastAsia"/>
          <w:color w:val="000000"/>
          <w:sz w:val="32"/>
          <w:szCs w:val="32"/>
        </w:rPr>
        <w:t>20年政府性基金预算财政拨款支出0万元。附表（11）、附表（12）无数据。</w:t>
      </w:r>
    </w:p>
    <w:p w14:paraId="0F8709D1" w14:textId="77777777" w:rsidR="00C47EC5" w:rsidRDefault="00DA151C">
      <w:pPr>
        <w:numPr>
          <w:ilvl w:val="0"/>
          <w:numId w:val="4"/>
        </w:numPr>
        <w:spacing w:line="560" w:lineRule="exact"/>
        <w:ind w:firstLine="640"/>
        <w:outlineLvl w:val="1"/>
        <w:rPr>
          <w:rStyle w:val="20"/>
          <w:rFonts w:ascii="黑体" w:eastAsia="黑体" w:hAnsi="黑体"/>
          <w:b w:val="0"/>
        </w:rPr>
      </w:pPr>
      <w:bookmarkStart w:id="36" w:name="_Toc15377219"/>
      <w:bookmarkStart w:id="37" w:name="_Toc15396611"/>
      <w:r>
        <w:rPr>
          <w:rStyle w:val="20"/>
          <w:rFonts w:ascii="黑体" w:eastAsia="黑体" w:hAnsi="黑体" w:hint="eastAsia"/>
          <w:b w:val="0"/>
        </w:rPr>
        <w:t>国有资本经营预算支出决算情况说明</w:t>
      </w:r>
      <w:bookmarkEnd w:id="36"/>
      <w:bookmarkEnd w:id="37"/>
    </w:p>
    <w:p w14:paraId="4A9059E9" w14:textId="77777777" w:rsidR="00C47EC5" w:rsidRDefault="00DA151C">
      <w:pPr>
        <w:spacing w:line="560" w:lineRule="exact"/>
        <w:ind w:firstLine="640"/>
        <w:rPr>
          <w:rFonts w:ascii="方正仿宋_GBK" w:eastAsia="方正仿宋_GBK"/>
          <w:color w:val="000000"/>
          <w:sz w:val="32"/>
          <w:szCs w:val="32"/>
        </w:rPr>
      </w:pPr>
      <w:r>
        <w:rPr>
          <w:rFonts w:ascii="方正仿宋_GBK" w:eastAsia="方正仿宋_GBK"/>
          <w:color w:val="000000"/>
          <w:sz w:val="32"/>
          <w:szCs w:val="32"/>
        </w:rPr>
        <w:t>20</w:t>
      </w:r>
      <w:r>
        <w:rPr>
          <w:rFonts w:ascii="方正仿宋_GBK" w:eastAsia="方正仿宋_GBK" w:hint="eastAsia"/>
          <w:color w:val="000000"/>
          <w:sz w:val="32"/>
          <w:szCs w:val="32"/>
        </w:rPr>
        <w:t>20年国有资本经营预算财政拨款支出0万元。附表（13）、附表（14）无数据。</w:t>
      </w:r>
    </w:p>
    <w:p w14:paraId="1ED62852" w14:textId="77777777" w:rsidR="00C47EC5" w:rsidRDefault="00DA151C">
      <w:pPr>
        <w:numPr>
          <w:ilvl w:val="0"/>
          <w:numId w:val="4"/>
        </w:numPr>
        <w:spacing w:line="560" w:lineRule="exact"/>
        <w:ind w:firstLine="640"/>
        <w:outlineLvl w:val="1"/>
        <w:rPr>
          <w:rStyle w:val="20"/>
          <w:rFonts w:ascii="黑体" w:eastAsia="黑体" w:hAnsi="黑体"/>
          <w:b w:val="0"/>
        </w:rPr>
      </w:pPr>
      <w:bookmarkStart w:id="38" w:name="_Toc15377221"/>
      <w:bookmarkStart w:id="39" w:name="_Toc15396612"/>
      <w:r>
        <w:rPr>
          <w:rStyle w:val="20"/>
          <w:rFonts w:ascii="黑体" w:eastAsia="黑体" w:hAnsi="黑体" w:hint="eastAsia"/>
          <w:b w:val="0"/>
        </w:rPr>
        <w:t>其他重要事项的情况说明</w:t>
      </w:r>
      <w:bookmarkEnd w:id="38"/>
      <w:bookmarkEnd w:id="39"/>
    </w:p>
    <w:p w14:paraId="18D5A21D" w14:textId="77777777" w:rsidR="00C47EC5" w:rsidRDefault="00DA151C">
      <w:pPr>
        <w:spacing w:line="560" w:lineRule="exact"/>
        <w:ind w:firstLineChars="200" w:firstLine="640"/>
        <w:outlineLvl w:val="2"/>
        <w:rPr>
          <w:rFonts w:ascii="方正仿宋_GBK" w:eastAsia="方正仿宋_GBK" w:hAnsi="仿宋"/>
          <w:color w:val="000000"/>
          <w:sz w:val="32"/>
          <w:szCs w:val="32"/>
        </w:rPr>
      </w:pPr>
      <w:bookmarkStart w:id="40" w:name="_Toc15377222"/>
      <w:r>
        <w:rPr>
          <w:rFonts w:ascii="方正仿宋_GBK" w:eastAsia="方正仿宋_GBK" w:hAnsi="仿宋" w:hint="eastAsia"/>
          <w:b/>
          <w:color w:val="000000"/>
          <w:sz w:val="32"/>
          <w:szCs w:val="32"/>
        </w:rPr>
        <w:t>（一）机关运行经费支出情况</w:t>
      </w:r>
      <w:bookmarkEnd w:id="40"/>
    </w:p>
    <w:p w14:paraId="56B90195" w14:textId="77777777" w:rsidR="00C47EC5" w:rsidRDefault="00DA151C">
      <w:pPr>
        <w:spacing w:line="56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sz w:val="32"/>
          <w:szCs w:val="32"/>
        </w:rPr>
        <w:t>2020年，省委台办机关运行经费支出55.18万元，比2019年减少37.42万元，下降40.41%</w:t>
      </w:r>
      <w:r>
        <w:rPr>
          <w:rFonts w:ascii="方正仿宋_GBK" w:eastAsia="方正仿宋_GBK" w:hint="eastAsia"/>
          <w:color w:val="000000" w:themeColor="text1"/>
          <w:sz w:val="32"/>
          <w:szCs w:val="32"/>
        </w:rPr>
        <w:t>。</w:t>
      </w:r>
      <w:r>
        <w:rPr>
          <w:rFonts w:ascii="方正仿宋_GBK" w:eastAsia="方正仿宋_GBK" w:hint="eastAsia"/>
          <w:color w:val="000000"/>
          <w:sz w:val="32"/>
          <w:szCs w:val="32"/>
        </w:rPr>
        <w:t>主要原因是公务接待费和因公出国（境）经费列支功能科目为行政运行，属机关运行经费，2020年受疫情和两岸形势影响，因公出国任务取消，因公出国（境）经费收回财政，公务接待费支出大大减少，出差任务和人次减少，相应差旅费支出减少。</w:t>
      </w:r>
    </w:p>
    <w:p w14:paraId="127EA32C" w14:textId="77777777" w:rsidR="00C47EC5" w:rsidRDefault="00DA151C">
      <w:pPr>
        <w:autoSpaceDE w:val="0"/>
        <w:autoSpaceDN w:val="0"/>
        <w:adjustRightInd w:val="0"/>
        <w:spacing w:line="560" w:lineRule="exact"/>
        <w:ind w:firstLineChars="200" w:firstLine="640"/>
        <w:jc w:val="left"/>
        <w:outlineLvl w:val="2"/>
        <w:rPr>
          <w:rFonts w:ascii="方正仿宋_GBK" w:eastAsia="方正仿宋_GBK" w:hAnsi="仿宋"/>
          <w:b/>
          <w:color w:val="000000"/>
          <w:sz w:val="32"/>
          <w:szCs w:val="32"/>
        </w:rPr>
      </w:pPr>
      <w:r>
        <w:rPr>
          <w:rFonts w:ascii="方正仿宋_GBK" w:eastAsia="方正仿宋_GBK" w:hAnsi="仿宋" w:hint="eastAsia"/>
          <w:b/>
          <w:color w:val="000000"/>
          <w:sz w:val="32"/>
          <w:szCs w:val="32"/>
        </w:rPr>
        <w:t>（二）政府采购支出情况</w:t>
      </w:r>
    </w:p>
    <w:p w14:paraId="1F4693FF" w14:textId="77777777" w:rsidR="00C47EC5" w:rsidRDefault="00DA151C">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2020年无政府采购支出。</w:t>
      </w:r>
    </w:p>
    <w:p w14:paraId="71A85C46" w14:textId="77777777" w:rsidR="00C47EC5" w:rsidRDefault="00DA151C">
      <w:pPr>
        <w:autoSpaceDE w:val="0"/>
        <w:autoSpaceDN w:val="0"/>
        <w:adjustRightInd w:val="0"/>
        <w:spacing w:line="560" w:lineRule="exact"/>
        <w:ind w:firstLineChars="200" w:firstLine="640"/>
        <w:jc w:val="left"/>
        <w:outlineLvl w:val="2"/>
        <w:rPr>
          <w:rFonts w:ascii="方正仿宋_GBK" w:eastAsia="方正仿宋_GBK" w:hAnsi="仿宋"/>
          <w:b/>
          <w:color w:val="000000"/>
          <w:sz w:val="32"/>
          <w:szCs w:val="32"/>
        </w:rPr>
      </w:pPr>
      <w:bookmarkStart w:id="41" w:name="_Toc15377224"/>
      <w:r>
        <w:rPr>
          <w:rFonts w:ascii="方正仿宋_GBK" w:eastAsia="方正仿宋_GBK" w:hAnsi="仿宋" w:hint="eastAsia"/>
          <w:b/>
          <w:color w:val="000000"/>
          <w:sz w:val="32"/>
          <w:szCs w:val="32"/>
        </w:rPr>
        <w:t>（三）国有资产占有使用情况</w:t>
      </w:r>
      <w:bookmarkEnd w:id="41"/>
    </w:p>
    <w:p w14:paraId="62E8E3F0" w14:textId="77777777" w:rsidR="00C47EC5" w:rsidRDefault="00DA151C">
      <w:pPr>
        <w:autoSpaceDE w:val="0"/>
        <w:autoSpaceDN w:val="0"/>
        <w:adjustRightInd w:val="0"/>
        <w:spacing w:line="560"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截至2020年12月31日，省台联共有车辆1辆，其中：应急</w:t>
      </w:r>
      <w:r>
        <w:rPr>
          <w:rFonts w:ascii="方正仿宋_GBK" w:eastAsia="方正仿宋_GBK" w:hint="eastAsia"/>
          <w:color w:val="000000"/>
          <w:sz w:val="32"/>
          <w:szCs w:val="32"/>
        </w:rPr>
        <w:lastRenderedPageBreak/>
        <w:t>保障车1辆。单价50万元以上通用设备0台（套），单价100万元以上专用设备0台（套）。</w:t>
      </w:r>
    </w:p>
    <w:p w14:paraId="1B7D476E" w14:textId="77777777" w:rsidR="00C47EC5" w:rsidRDefault="00DA151C">
      <w:pPr>
        <w:autoSpaceDE w:val="0"/>
        <w:autoSpaceDN w:val="0"/>
        <w:adjustRightInd w:val="0"/>
        <w:spacing w:line="560" w:lineRule="exact"/>
        <w:ind w:firstLineChars="200" w:firstLine="640"/>
        <w:jc w:val="left"/>
        <w:outlineLvl w:val="2"/>
        <w:rPr>
          <w:rFonts w:ascii="方正仿宋_GBK" w:eastAsia="方正仿宋_GBK" w:hAnsi="仿宋"/>
          <w:b/>
          <w:sz w:val="32"/>
          <w:szCs w:val="32"/>
        </w:rPr>
      </w:pPr>
      <w:r>
        <w:rPr>
          <w:rFonts w:ascii="方正仿宋_GBK" w:eastAsia="方正仿宋_GBK" w:hAnsi="仿宋" w:hint="eastAsia"/>
          <w:b/>
          <w:sz w:val="32"/>
          <w:szCs w:val="32"/>
        </w:rPr>
        <w:t>（四）预算绩效管理情况</w:t>
      </w:r>
    </w:p>
    <w:p w14:paraId="302A0740" w14:textId="77777777" w:rsidR="00C47EC5" w:rsidRDefault="00DA151C">
      <w:pPr>
        <w:spacing w:line="560" w:lineRule="exact"/>
        <w:ind w:firstLineChars="200" w:firstLine="640"/>
        <w:rPr>
          <w:rFonts w:ascii="方正仿宋_GBK" w:eastAsia="方正仿宋_GBK" w:hAnsi="仿宋_GB2312" w:cs="仿宋_GB2312"/>
          <w:sz w:val="32"/>
          <w:szCs w:val="32"/>
        </w:rPr>
      </w:pPr>
      <w:r>
        <w:rPr>
          <w:rFonts w:ascii="方正仿宋_GBK" w:eastAsia="方正仿宋_GBK" w:hAnsi="仿宋_GB2312" w:cs="仿宋_GB2312" w:hint="eastAsia"/>
          <w:sz w:val="32"/>
          <w:szCs w:val="32"/>
        </w:rPr>
        <w:t>根据预算绩效管理要求，本单位无100万以上项目，在年初预算编制时，无需编制项目绩效目标。</w:t>
      </w:r>
    </w:p>
    <w:p w14:paraId="5764F63E" w14:textId="77777777" w:rsidR="00C47EC5" w:rsidRDefault="00DA151C">
      <w:pPr>
        <w:spacing w:line="560" w:lineRule="exact"/>
        <w:ind w:firstLineChars="196" w:firstLine="627"/>
        <w:rPr>
          <w:rFonts w:ascii="方正仿宋_GBK" w:eastAsia="方正仿宋_GBK" w:hAnsi="仿宋_GB2312" w:cs="仿宋_GB2312"/>
          <w:sz w:val="32"/>
          <w:szCs w:val="32"/>
        </w:rPr>
      </w:pPr>
      <w:r>
        <w:rPr>
          <w:rFonts w:ascii="方正仿宋_GBK" w:eastAsia="方正仿宋_GBK" w:hAnsi="仿宋_GB2312" w:cs="仿宋_GB2312" w:hint="eastAsia"/>
          <w:sz w:val="32"/>
          <w:szCs w:val="32"/>
        </w:rPr>
        <w:t>本单位按要求对2020年整体支出开展绩效自评，整体绩效目标完成情况较好。本单位无100万以上预算项目，因此未组织开展项目支出绩效评价。</w:t>
      </w:r>
    </w:p>
    <w:p w14:paraId="57479A1D" w14:textId="77777777" w:rsidR="00C47EC5" w:rsidRDefault="00DA151C">
      <w:pPr>
        <w:spacing w:line="560" w:lineRule="exact"/>
        <w:ind w:firstLineChars="200" w:firstLine="640"/>
        <w:rPr>
          <w:rFonts w:ascii="方正仿宋_GBK" w:eastAsia="方正仿宋_GBK" w:hAnsi="仿宋_GB2312" w:cs="仿宋_GB2312"/>
          <w:sz w:val="32"/>
          <w:szCs w:val="32"/>
        </w:rPr>
      </w:pPr>
      <w:r>
        <w:rPr>
          <w:rFonts w:ascii="方正仿宋_GBK" w:eastAsia="方正仿宋_GBK" w:hAnsi="楷体_GB2312" w:cs="楷体_GB2312" w:hint="eastAsia"/>
          <w:sz w:val="32"/>
          <w:szCs w:val="32"/>
        </w:rPr>
        <w:t>1.项目绩效目标完成情况。</w:t>
      </w:r>
      <w:r>
        <w:rPr>
          <w:rFonts w:ascii="方正仿宋_GBK" w:eastAsia="方正仿宋_GBK" w:hAnsi="楷体_GB2312" w:cs="楷体_GB2312" w:hint="eastAsia"/>
          <w:sz w:val="32"/>
          <w:szCs w:val="32"/>
        </w:rPr>
        <w:br/>
      </w:r>
      <w:r>
        <w:rPr>
          <w:rFonts w:ascii="方正仿宋_GBK" w:eastAsia="方正仿宋_GBK" w:hAnsi="仿宋_GB2312" w:cs="仿宋_GB2312" w:hint="eastAsia"/>
          <w:sz w:val="32"/>
          <w:szCs w:val="32"/>
        </w:rPr>
        <w:t xml:space="preserve">    无。</w:t>
      </w:r>
    </w:p>
    <w:p w14:paraId="70F03275" w14:textId="77777777" w:rsidR="00C47EC5" w:rsidRDefault="00DA151C">
      <w:pPr>
        <w:spacing w:line="560" w:lineRule="exact"/>
        <w:ind w:left="630"/>
        <w:rPr>
          <w:rFonts w:ascii="方正仿宋_GBK" w:eastAsia="方正仿宋_GBK" w:hAnsi="楷体_GB2312" w:cs="楷体_GB2312"/>
          <w:sz w:val="32"/>
          <w:szCs w:val="32"/>
        </w:rPr>
      </w:pPr>
      <w:r>
        <w:rPr>
          <w:rFonts w:ascii="方正仿宋_GBK" w:eastAsia="方正仿宋_GBK" w:hAnsi="楷体_GB2312" w:cs="楷体_GB2312" w:hint="eastAsia"/>
          <w:sz w:val="32"/>
          <w:szCs w:val="32"/>
        </w:rPr>
        <w:t>2.单位绩效评价结果。</w:t>
      </w:r>
    </w:p>
    <w:p w14:paraId="49CCB03C" w14:textId="77777777" w:rsidR="00C47EC5" w:rsidRDefault="00DA151C">
      <w:pPr>
        <w:spacing w:line="560" w:lineRule="exact"/>
        <w:ind w:firstLineChars="200" w:firstLine="640"/>
        <w:rPr>
          <w:rFonts w:ascii="方正仿宋_GBK" w:eastAsia="方正仿宋_GBK" w:hAnsi="仿宋_GB2312" w:cs="仿宋_GB2312"/>
          <w:sz w:val="32"/>
          <w:szCs w:val="32"/>
        </w:rPr>
      </w:pPr>
      <w:r>
        <w:rPr>
          <w:rFonts w:ascii="方正仿宋_GBK" w:eastAsia="方正仿宋_GBK" w:hAnsi="仿宋_GB2312" w:cs="仿宋_GB2312" w:hint="eastAsia"/>
          <w:sz w:val="32"/>
          <w:szCs w:val="32"/>
        </w:rPr>
        <w:t>无。</w:t>
      </w:r>
    </w:p>
    <w:p w14:paraId="4C91BFD8" w14:textId="77777777" w:rsidR="00C47EC5" w:rsidRDefault="00C47EC5">
      <w:pPr>
        <w:widowControl/>
        <w:jc w:val="left"/>
        <w:rPr>
          <w:rFonts w:ascii="仿宋_GB2312" w:eastAsia="仿宋_GB2312"/>
          <w:b/>
          <w:color w:val="000000"/>
          <w:sz w:val="32"/>
          <w:szCs w:val="32"/>
        </w:rPr>
      </w:pPr>
    </w:p>
    <w:p w14:paraId="0E799757" w14:textId="77777777" w:rsidR="00C47EC5" w:rsidRDefault="00C47EC5">
      <w:pPr>
        <w:pStyle w:val="a0"/>
        <w:spacing w:before="93"/>
      </w:pPr>
    </w:p>
    <w:p w14:paraId="69AF9E39" w14:textId="77777777" w:rsidR="00C47EC5" w:rsidRDefault="00C47EC5">
      <w:pPr>
        <w:pStyle w:val="a0"/>
        <w:spacing w:before="93"/>
      </w:pPr>
    </w:p>
    <w:p w14:paraId="1155E4B3" w14:textId="77777777" w:rsidR="00C47EC5" w:rsidRDefault="00C47EC5">
      <w:pPr>
        <w:pStyle w:val="a0"/>
        <w:spacing w:before="93"/>
      </w:pPr>
    </w:p>
    <w:p w14:paraId="27336166" w14:textId="77777777" w:rsidR="00C47EC5" w:rsidRDefault="00C47EC5">
      <w:pPr>
        <w:pStyle w:val="a0"/>
        <w:spacing w:before="93"/>
      </w:pPr>
    </w:p>
    <w:p w14:paraId="792C4CA2" w14:textId="77777777" w:rsidR="00C47EC5" w:rsidRDefault="00C47EC5">
      <w:pPr>
        <w:pStyle w:val="a0"/>
        <w:spacing w:before="93"/>
      </w:pPr>
    </w:p>
    <w:p w14:paraId="3384E71A" w14:textId="77777777" w:rsidR="00C47EC5" w:rsidRDefault="00C47EC5">
      <w:pPr>
        <w:pStyle w:val="a0"/>
        <w:spacing w:before="93"/>
      </w:pPr>
    </w:p>
    <w:p w14:paraId="0CA29ADA" w14:textId="77777777" w:rsidR="00C47EC5" w:rsidRDefault="00C47EC5">
      <w:pPr>
        <w:pStyle w:val="a0"/>
        <w:spacing w:before="93"/>
      </w:pPr>
    </w:p>
    <w:p w14:paraId="551B5ED5" w14:textId="77777777" w:rsidR="00C47EC5" w:rsidRDefault="00C47EC5">
      <w:pPr>
        <w:pStyle w:val="a0"/>
        <w:spacing w:before="93"/>
      </w:pPr>
    </w:p>
    <w:p w14:paraId="1611EFB7" w14:textId="77777777" w:rsidR="00C47EC5" w:rsidRDefault="00C47EC5">
      <w:pPr>
        <w:pStyle w:val="a0"/>
        <w:spacing w:before="93"/>
      </w:pPr>
    </w:p>
    <w:p w14:paraId="49260D41" w14:textId="77777777" w:rsidR="00C47EC5" w:rsidRDefault="00C47EC5">
      <w:pPr>
        <w:pStyle w:val="a0"/>
        <w:spacing w:before="93"/>
      </w:pPr>
    </w:p>
    <w:p w14:paraId="53D76548" w14:textId="77777777" w:rsidR="00C47EC5" w:rsidRDefault="00C47EC5">
      <w:pPr>
        <w:pStyle w:val="a0"/>
        <w:spacing w:before="93"/>
      </w:pPr>
    </w:p>
    <w:p w14:paraId="09555FDD" w14:textId="77777777" w:rsidR="00C47EC5" w:rsidRDefault="00DA151C">
      <w:pPr>
        <w:numPr>
          <w:ilvl w:val="0"/>
          <w:numId w:val="5"/>
        </w:numPr>
        <w:spacing w:line="600" w:lineRule="exact"/>
        <w:ind w:firstLineChars="150" w:firstLine="660"/>
        <w:jc w:val="center"/>
        <w:outlineLvl w:val="0"/>
        <w:rPr>
          <w:rStyle w:val="10"/>
          <w:rFonts w:ascii="黑体" w:eastAsia="黑体" w:hAnsi="黑体"/>
          <w:b w:val="0"/>
        </w:rPr>
      </w:pPr>
      <w:bookmarkStart w:id="42" w:name="_Toc15377225"/>
      <w:bookmarkStart w:id="43" w:name="_Toc15396613"/>
      <w:r>
        <w:rPr>
          <w:rFonts w:ascii="黑体" w:eastAsia="黑体" w:hAnsi="黑体" w:hint="eastAsia"/>
          <w:color w:val="000000"/>
          <w:sz w:val="44"/>
          <w:szCs w:val="44"/>
        </w:rPr>
        <w:t>名</w:t>
      </w:r>
      <w:r>
        <w:rPr>
          <w:rStyle w:val="10"/>
          <w:rFonts w:ascii="黑体" w:eastAsia="黑体" w:hAnsi="黑体" w:hint="eastAsia"/>
          <w:b w:val="0"/>
        </w:rPr>
        <w:t>词解释</w:t>
      </w:r>
      <w:bookmarkEnd w:id="42"/>
      <w:bookmarkEnd w:id="43"/>
    </w:p>
    <w:p w14:paraId="2B4B598F" w14:textId="77777777" w:rsidR="00C47EC5" w:rsidRDefault="00C47EC5">
      <w:pPr>
        <w:spacing w:line="560" w:lineRule="exact"/>
        <w:jc w:val="left"/>
        <w:rPr>
          <w:rFonts w:ascii="方正仿宋_GBK" w:eastAsia="方正仿宋_GBK"/>
          <w:b/>
          <w:color w:val="000000"/>
          <w:sz w:val="44"/>
          <w:szCs w:val="44"/>
        </w:rPr>
      </w:pPr>
    </w:p>
    <w:p w14:paraId="04B7863D"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1.财政拨款收入：指单位从同级财政部门取得的财政预算资金。</w:t>
      </w:r>
    </w:p>
    <w:p w14:paraId="0FA589FC"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2.事业收入：指事业单位开展专业业务活动及辅助活动取得的收入。</w:t>
      </w:r>
    </w:p>
    <w:p w14:paraId="5CAB4862"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3.经营收入：指事业单位在专业业务活动及其辅助活动之外开展非独立核算经营活动取得的收入。</w:t>
      </w:r>
    </w:p>
    <w:p w14:paraId="3204CE84"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4.其他收入：指单位取得的除上述收入以外的各项收入。</w:t>
      </w:r>
    </w:p>
    <w:p w14:paraId="7D735B8A"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 xml:space="preserve">5.使用非财政拨款结余：指事业单位使用以前年度积累的非财政拨款结余弥补当年收支差额的金额。 </w:t>
      </w:r>
    </w:p>
    <w:p w14:paraId="4D8BC92C"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 xml:space="preserve">6.年初结转和结余：指以前年度尚未完成、结转到本年按有关规定继续使用的资金。 </w:t>
      </w:r>
    </w:p>
    <w:p w14:paraId="06B1898F"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7.结余分配：指事业单位按照会计制度规定缴纳的所得税、提取的专用结余以及转入非财政拨款结余的金额等。</w:t>
      </w:r>
    </w:p>
    <w:p w14:paraId="63F6EDFE"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8、年末结转和结余：指单位按有关规定结转到下年或以后年度继续使用的资金。</w:t>
      </w:r>
    </w:p>
    <w:p w14:paraId="13150836" w14:textId="77777777" w:rsidR="00C47EC5" w:rsidRDefault="00DA151C">
      <w:pPr>
        <w:spacing w:line="600" w:lineRule="exact"/>
        <w:ind w:firstLineChars="200" w:firstLine="640"/>
        <w:rPr>
          <w:rFonts w:ascii="仿宋_GB2312" w:eastAsia="仿宋_GB2312" w:cs="仿宋"/>
          <w:color w:val="000000"/>
          <w:kern w:val="0"/>
          <w:sz w:val="32"/>
          <w:szCs w:val="32"/>
        </w:rPr>
      </w:pPr>
      <w:r>
        <w:rPr>
          <w:rStyle w:val="ab"/>
          <w:rFonts w:ascii="仿宋" w:eastAsia="仿宋" w:hAnsi="仿宋" w:hint="eastAsia"/>
          <w:b w:val="0"/>
          <w:bCs/>
          <w:color w:val="000000"/>
          <w:sz w:val="32"/>
          <w:szCs w:val="32"/>
        </w:rPr>
        <w:t>9.一般公共服务（类）群众团体事务（款）行政运行（项）：</w:t>
      </w:r>
      <w:r>
        <w:rPr>
          <w:rFonts w:ascii="仿宋_GB2312" w:eastAsia="仿宋_GB2312" w:cs="仿宋" w:hint="eastAsia"/>
          <w:color w:val="000000"/>
          <w:kern w:val="0"/>
          <w:sz w:val="32"/>
          <w:szCs w:val="32"/>
        </w:rPr>
        <w:t>指行政单位（包括实行公务员管理的事业单位）的基本支出。</w:t>
      </w:r>
    </w:p>
    <w:p w14:paraId="28E8B86A" w14:textId="77777777" w:rsidR="00C47EC5" w:rsidRDefault="00DA151C">
      <w:pPr>
        <w:spacing w:line="600"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10.一般公共服务（类）群众团体事务（款）一般行政管理</w:t>
      </w:r>
      <w:r>
        <w:rPr>
          <w:rFonts w:ascii="仿宋_GB2312" w:eastAsia="仿宋_GB2312" w:cs="仿宋" w:hint="eastAsia"/>
          <w:color w:val="000000"/>
          <w:kern w:val="0"/>
          <w:sz w:val="32"/>
          <w:szCs w:val="32"/>
        </w:rPr>
        <w:lastRenderedPageBreak/>
        <w:t>事务（项）：指行政单位（包括实行公务员管理的事业单位）未单独设置项级科目的其他项目支出。</w:t>
      </w:r>
    </w:p>
    <w:p w14:paraId="02F78836"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Fonts w:ascii="方正仿宋_GBK" w:eastAsia="方正仿宋_GBK" w:cs="仿宋" w:hint="eastAsia"/>
          <w:color w:val="000000"/>
          <w:kern w:val="0"/>
          <w:sz w:val="32"/>
          <w:szCs w:val="32"/>
        </w:rPr>
        <w:t>11.</w:t>
      </w:r>
      <w:r>
        <w:rPr>
          <w:rStyle w:val="ab"/>
          <w:rFonts w:ascii="方正仿宋_GBK" w:eastAsia="方正仿宋_GBK" w:hAnsi="仿宋" w:hint="eastAsia"/>
          <w:b w:val="0"/>
          <w:bCs/>
          <w:color w:val="000000"/>
          <w:sz w:val="32"/>
          <w:szCs w:val="32"/>
        </w:rPr>
        <w:t>教育（类）进修及培训（款）培训支出（项）:指各部门安排的用于培训的支出。</w:t>
      </w:r>
    </w:p>
    <w:p w14:paraId="6D3140F4"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 w:val="0"/>
          <w:bCs/>
          <w:color w:val="000000"/>
          <w:sz w:val="32"/>
          <w:szCs w:val="32"/>
        </w:rPr>
        <w:t>12.社会保障和就业（类）行政事业单位养老</w:t>
      </w:r>
      <w:r>
        <w:rPr>
          <w:rStyle w:val="ab"/>
          <w:rFonts w:ascii="方正仿宋_GBK" w:eastAsia="方正仿宋_GBK" w:hAnsi="仿宋" w:hint="eastAsia"/>
          <w:b w:val="0"/>
          <w:bCs/>
          <w:sz w:val="32"/>
          <w:szCs w:val="32"/>
        </w:rPr>
        <w:t>支出（款）行政单位离退休（项）:指行政单位（包括实行公务员管理的事</w:t>
      </w:r>
      <w:r>
        <w:rPr>
          <w:rStyle w:val="ab"/>
          <w:rFonts w:ascii="方正仿宋_GBK" w:eastAsia="方正仿宋_GBK" w:hAnsi="仿宋" w:hint="eastAsia"/>
          <w:b w:val="0"/>
          <w:bCs/>
          <w:color w:val="000000"/>
          <w:sz w:val="32"/>
          <w:szCs w:val="32"/>
        </w:rPr>
        <w:t xml:space="preserve">业单位）开支的离退休经费。 </w:t>
      </w:r>
    </w:p>
    <w:p w14:paraId="1595B978"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 w:val="0"/>
          <w:bCs/>
          <w:color w:val="000000"/>
          <w:sz w:val="32"/>
          <w:szCs w:val="32"/>
        </w:rPr>
        <w:t>13. 社会保障和就业（类）行政事业单位养老支出（款）机关事业单位基本养老保险缴费支出（项）指机关事业单位实施养老保险制度由单位实际缴纳的基本养老保险费支出。</w:t>
      </w:r>
    </w:p>
    <w:p w14:paraId="2BF8FF7F"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 w:val="0"/>
          <w:bCs/>
          <w:color w:val="000000"/>
          <w:sz w:val="32"/>
          <w:szCs w:val="32"/>
        </w:rPr>
        <w:t xml:space="preserve">14. </w:t>
      </w:r>
      <w:r>
        <w:rPr>
          <w:rStyle w:val="ab"/>
          <w:rFonts w:ascii="方正仿宋_GBK" w:eastAsia="方正仿宋_GBK" w:hAnsi="仿宋" w:hint="eastAsia"/>
          <w:b w:val="0"/>
          <w:bCs/>
          <w:sz w:val="32"/>
          <w:szCs w:val="32"/>
        </w:rPr>
        <w:t>卫生健康</w:t>
      </w:r>
      <w:r>
        <w:rPr>
          <w:rStyle w:val="ab"/>
          <w:rFonts w:ascii="方正仿宋_GBK" w:eastAsia="方正仿宋_GBK" w:hAnsi="仿宋" w:hint="eastAsia"/>
          <w:b w:val="0"/>
          <w:bCs/>
          <w:color w:val="000000"/>
          <w:sz w:val="32"/>
          <w:szCs w:val="32"/>
        </w:rPr>
        <w:t>（类）行政事业单位医疗（款）行政单位医疗（项）:指财政部门集中安排的行政单位基本医疗保险缴费经费，为参加医疗保险的行政单位的医疗经费，按国家规定享受离休人员、红军老战士待遇人员的医疗经费。</w:t>
      </w:r>
    </w:p>
    <w:p w14:paraId="0A6E68E2"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 w:val="0"/>
          <w:bCs/>
          <w:color w:val="000000"/>
          <w:sz w:val="32"/>
          <w:szCs w:val="32"/>
        </w:rPr>
        <w:t>15.卫生健康（类）行政事业单位医疗（款）公务员医疗补助（项）:指财政部门集中安排的公务员医疗补助经费。</w:t>
      </w:r>
    </w:p>
    <w:p w14:paraId="48BA4CFD"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 w:val="0"/>
          <w:bCs/>
          <w:color w:val="000000"/>
          <w:sz w:val="32"/>
          <w:szCs w:val="32"/>
        </w:rPr>
        <w:t>16. 住房保障支出（类）住房改革支出（款）住房公积金（项）：指行政事业单位按人力资源和社会保障部、财政部规定的基本工资和津贴补贴以及规定比例为职工缴纳的住房公积金。</w:t>
      </w:r>
    </w:p>
    <w:p w14:paraId="2E286A2A" w14:textId="77777777" w:rsidR="00C47EC5" w:rsidRDefault="00DA151C">
      <w:pPr>
        <w:spacing w:line="560" w:lineRule="exact"/>
        <w:ind w:firstLineChars="200" w:firstLine="640"/>
        <w:rPr>
          <w:rStyle w:val="ab"/>
          <w:rFonts w:ascii="方正仿宋_GBK" w:eastAsia="方正仿宋_GBK" w:hAnsi="仿宋"/>
          <w:b w:val="0"/>
          <w:bCs/>
          <w:color w:val="000000"/>
          <w:sz w:val="32"/>
          <w:szCs w:val="32"/>
        </w:rPr>
      </w:pPr>
      <w:r>
        <w:rPr>
          <w:rStyle w:val="ab"/>
          <w:rFonts w:ascii="方正仿宋_GBK" w:eastAsia="方正仿宋_GBK" w:hAnsi="仿宋" w:hint="eastAsia"/>
          <w:b w:val="0"/>
          <w:bCs/>
          <w:color w:val="000000"/>
          <w:sz w:val="32"/>
          <w:szCs w:val="32"/>
        </w:rPr>
        <w:t>17. 住房保障支出（类）住房改革支出（款）购房补贴（项）：指按房改政策规定，行政事业单位向符合条件职工（含离退休人员）、军队（含武警）向转业复员离退休人员发放的用于购买住房的补贴。</w:t>
      </w:r>
    </w:p>
    <w:p w14:paraId="5F7DA872" w14:textId="77777777" w:rsidR="00C47EC5" w:rsidRDefault="00DA151C">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18.基本支出：指为保障机构正常运转、完成日常工作任务</w:t>
      </w:r>
      <w:r>
        <w:rPr>
          <w:rFonts w:ascii="方正仿宋_GBK" w:eastAsia="方正仿宋_GBK" w:hint="eastAsia"/>
          <w:color w:val="000000"/>
          <w:sz w:val="32"/>
          <w:szCs w:val="32"/>
        </w:rPr>
        <w:lastRenderedPageBreak/>
        <w:t>而发生的人员支出和公用支出。</w:t>
      </w:r>
    </w:p>
    <w:p w14:paraId="72B3F96C" w14:textId="77777777" w:rsidR="00C47EC5" w:rsidRDefault="00DA151C">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 xml:space="preserve">19.项目支出：指在基本支出之外为完成特定行政任务和事业发展目标所发生的支出。 </w:t>
      </w:r>
    </w:p>
    <w:p w14:paraId="7D74A688" w14:textId="77777777" w:rsidR="00C47EC5" w:rsidRDefault="00DA151C">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21.经营支出：指事业单位在专业业务活动及其辅助活动之外开展非独立核算经营活动发生的支出。</w:t>
      </w:r>
    </w:p>
    <w:p w14:paraId="7F25AACF" w14:textId="77777777" w:rsidR="00C47EC5" w:rsidRDefault="00DA151C">
      <w:pPr>
        <w:pStyle w:val="Default"/>
        <w:spacing w:line="560" w:lineRule="exact"/>
        <w:ind w:firstLineChars="200" w:firstLine="640"/>
        <w:rPr>
          <w:rFonts w:ascii="方正仿宋_GBK" w:eastAsia="方正仿宋_GBK"/>
          <w:sz w:val="32"/>
          <w:szCs w:val="32"/>
        </w:rPr>
      </w:pPr>
      <w:r>
        <w:rPr>
          <w:rFonts w:ascii="方正仿宋_GBK" w:eastAsia="方正仿宋_GBK" w:hint="eastAsia"/>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16CDB2" w14:textId="77777777" w:rsidR="00C47EC5" w:rsidRDefault="00DA151C">
      <w:pPr>
        <w:snapToGrid w:val="0"/>
        <w:spacing w:line="560" w:lineRule="exact"/>
        <w:ind w:firstLineChars="200" w:firstLine="640"/>
        <w:rPr>
          <w:rFonts w:ascii="方正仿宋_GBK" w:eastAsia="方正仿宋_GBK" w:hAnsi="仿宋"/>
          <w:sz w:val="32"/>
          <w:szCs w:val="32"/>
        </w:rPr>
      </w:pPr>
      <w:r>
        <w:rPr>
          <w:rFonts w:ascii="方正仿宋_GBK" w:eastAsia="方正仿宋_GBK" w:hint="eastAsia"/>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DE014C" w14:textId="77777777" w:rsidR="00C47EC5" w:rsidRDefault="00DA151C">
      <w:pPr>
        <w:spacing w:line="600" w:lineRule="exact"/>
        <w:jc w:val="center"/>
        <w:outlineLvl w:val="0"/>
        <w:rPr>
          <w:rStyle w:val="10"/>
          <w:rFonts w:ascii="黑体" w:eastAsia="黑体" w:hAnsi="黑体"/>
          <w:b w:val="0"/>
        </w:rPr>
      </w:pPr>
      <w:bookmarkStart w:id="44" w:name="_Toc15377226"/>
      <w:r>
        <w:rPr>
          <w:rFonts w:ascii="宋体"/>
          <w:b/>
          <w:color w:val="000000"/>
          <w:sz w:val="44"/>
          <w:szCs w:val="44"/>
        </w:rPr>
        <w:br w:type="page"/>
      </w:r>
      <w:bookmarkStart w:id="45"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45"/>
      <w:r>
        <w:rPr>
          <w:rStyle w:val="10"/>
          <w:rFonts w:ascii="黑体" w:eastAsia="黑体" w:hAnsi="黑体" w:hint="eastAsia"/>
          <w:b w:val="0"/>
        </w:rPr>
        <w:t>（略）</w:t>
      </w:r>
    </w:p>
    <w:p w14:paraId="6BE4C66E" w14:textId="77777777" w:rsidR="00C47EC5" w:rsidRDefault="00C47EC5">
      <w:pPr>
        <w:spacing w:line="580" w:lineRule="exact"/>
        <w:rPr>
          <w:rFonts w:ascii="仿宋_GB2312" w:eastAsia="仿宋_GB2312" w:hAnsi="仿宋_GB2312" w:cs="仿宋_GB2312"/>
          <w:sz w:val="32"/>
          <w:szCs w:val="32"/>
        </w:rPr>
      </w:pPr>
    </w:p>
    <w:p w14:paraId="429D53AF" w14:textId="77777777" w:rsidR="00C47EC5" w:rsidRDefault="00C47EC5">
      <w:pPr>
        <w:spacing w:line="600" w:lineRule="exact"/>
        <w:jc w:val="center"/>
        <w:outlineLvl w:val="0"/>
        <w:rPr>
          <w:rFonts w:ascii="黑体" w:eastAsia="黑体" w:hAnsi="黑体"/>
          <w:color w:val="000000"/>
          <w:sz w:val="44"/>
          <w:szCs w:val="44"/>
        </w:rPr>
      </w:pPr>
      <w:bookmarkStart w:id="46" w:name="_Toc15396618"/>
    </w:p>
    <w:p w14:paraId="28A045CE" w14:textId="77777777" w:rsidR="00C47EC5" w:rsidRDefault="00C47EC5">
      <w:pPr>
        <w:pStyle w:val="a0"/>
        <w:spacing w:before="93"/>
      </w:pPr>
    </w:p>
    <w:p w14:paraId="27A2B286" w14:textId="77777777" w:rsidR="00C47EC5" w:rsidRDefault="00C47EC5">
      <w:pPr>
        <w:pStyle w:val="a0"/>
        <w:spacing w:before="93"/>
      </w:pPr>
    </w:p>
    <w:p w14:paraId="27A78B7C" w14:textId="77777777" w:rsidR="00C47EC5" w:rsidRDefault="00C47EC5">
      <w:pPr>
        <w:pStyle w:val="a0"/>
        <w:spacing w:before="93"/>
      </w:pPr>
    </w:p>
    <w:p w14:paraId="619ECE7D" w14:textId="77777777" w:rsidR="00C47EC5" w:rsidRDefault="00C47EC5">
      <w:pPr>
        <w:pStyle w:val="a0"/>
        <w:spacing w:before="93"/>
      </w:pPr>
    </w:p>
    <w:p w14:paraId="24648554" w14:textId="77777777" w:rsidR="00C47EC5" w:rsidRDefault="00C47EC5">
      <w:pPr>
        <w:pStyle w:val="a0"/>
        <w:spacing w:before="93"/>
      </w:pPr>
    </w:p>
    <w:p w14:paraId="3F5B9AEB" w14:textId="77777777" w:rsidR="00C47EC5" w:rsidRDefault="00C47EC5">
      <w:pPr>
        <w:pStyle w:val="a0"/>
        <w:spacing w:before="93"/>
      </w:pPr>
    </w:p>
    <w:p w14:paraId="3852F413" w14:textId="77777777" w:rsidR="00C47EC5" w:rsidRDefault="00C47EC5">
      <w:pPr>
        <w:pStyle w:val="a0"/>
        <w:spacing w:before="93"/>
      </w:pPr>
    </w:p>
    <w:p w14:paraId="616A5A69" w14:textId="77777777" w:rsidR="00C47EC5" w:rsidRDefault="00C47EC5">
      <w:pPr>
        <w:pStyle w:val="a0"/>
        <w:spacing w:before="93"/>
      </w:pPr>
    </w:p>
    <w:p w14:paraId="481B625C" w14:textId="77777777" w:rsidR="00C47EC5" w:rsidRDefault="00C47EC5">
      <w:pPr>
        <w:pStyle w:val="a0"/>
        <w:spacing w:before="93"/>
      </w:pPr>
    </w:p>
    <w:p w14:paraId="5D9932B2" w14:textId="77777777" w:rsidR="00C47EC5" w:rsidRDefault="00C47EC5">
      <w:pPr>
        <w:pStyle w:val="a0"/>
        <w:spacing w:before="93"/>
      </w:pPr>
    </w:p>
    <w:p w14:paraId="593AB73F" w14:textId="77777777" w:rsidR="00C47EC5" w:rsidRDefault="00C47EC5">
      <w:pPr>
        <w:pStyle w:val="a0"/>
        <w:spacing w:before="93"/>
      </w:pPr>
    </w:p>
    <w:p w14:paraId="3C94CAE5" w14:textId="77777777" w:rsidR="00C47EC5" w:rsidRDefault="00C47EC5">
      <w:pPr>
        <w:pStyle w:val="a0"/>
        <w:spacing w:before="93"/>
      </w:pPr>
    </w:p>
    <w:p w14:paraId="33389952" w14:textId="77777777" w:rsidR="00C47EC5" w:rsidRDefault="00C47EC5">
      <w:pPr>
        <w:pStyle w:val="a0"/>
        <w:spacing w:before="93"/>
      </w:pPr>
    </w:p>
    <w:p w14:paraId="1D5EA85F" w14:textId="77777777" w:rsidR="00C47EC5" w:rsidRDefault="00C47EC5">
      <w:pPr>
        <w:pStyle w:val="a0"/>
        <w:spacing w:before="93"/>
      </w:pPr>
    </w:p>
    <w:p w14:paraId="536E0639" w14:textId="77777777" w:rsidR="00C47EC5" w:rsidRDefault="00C47EC5">
      <w:pPr>
        <w:pStyle w:val="a0"/>
        <w:spacing w:before="93"/>
      </w:pPr>
    </w:p>
    <w:p w14:paraId="3EF19E03" w14:textId="77777777" w:rsidR="00C47EC5" w:rsidRDefault="00C47EC5">
      <w:pPr>
        <w:pStyle w:val="a0"/>
        <w:spacing w:before="93"/>
      </w:pPr>
    </w:p>
    <w:p w14:paraId="5647A2BE" w14:textId="77777777" w:rsidR="00C47EC5" w:rsidRDefault="00DA151C">
      <w:pPr>
        <w:spacing w:line="600" w:lineRule="exact"/>
        <w:jc w:val="center"/>
        <w:outlineLvl w:val="0"/>
        <w:rPr>
          <w:rStyle w:val="10"/>
          <w:rFonts w:ascii="黑体" w:eastAsia="黑体" w:hAnsi="黑体"/>
          <w:b w:val="0"/>
        </w:rPr>
      </w:pPr>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bookmarkStart w:id="47" w:name="_Toc15396619"/>
      <w:bookmarkEnd w:id="44"/>
      <w:bookmarkEnd w:id="46"/>
    </w:p>
    <w:p w14:paraId="153B4212" w14:textId="77777777" w:rsidR="00C47EC5" w:rsidRDefault="00C47EC5">
      <w:pPr>
        <w:pStyle w:val="a0"/>
        <w:spacing w:before="93"/>
      </w:pPr>
    </w:p>
    <w:p w14:paraId="1D62675C" w14:textId="77777777" w:rsidR="00C47EC5" w:rsidRDefault="00DA151C">
      <w:pPr>
        <w:pStyle w:val="2"/>
        <w:rPr>
          <w:rFonts w:ascii="仿宋" w:eastAsia="仿宋" w:hAnsi="仿宋"/>
          <w:color w:val="000000"/>
        </w:rPr>
      </w:pPr>
      <w:r>
        <w:rPr>
          <w:rFonts w:ascii="仿宋" w:eastAsia="仿宋" w:hAnsi="仿宋" w:hint="eastAsia"/>
          <w:b w:val="0"/>
          <w:color w:val="000000"/>
        </w:rPr>
        <w:t>一、收</w:t>
      </w:r>
      <w:r>
        <w:rPr>
          <w:rStyle w:val="20"/>
          <w:rFonts w:ascii="仿宋" w:eastAsia="仿宋" w:hAnsi="仿宋" w:hint="eastAsia"/>
        </w:rPr>
        <w:t>入支出决算总表</w:t>
      </w:r>
      <w:bookmarkEnd w:id="47"/>
    </w:p>
    <w:p w14:paraId="6323FE73" w14:textId="77777777" w:rsidR="00C47EC5" w:rsidRDefault="00DA151C">
      <w:pPr>
        <w:pStyle w:val="2"/>
        <w:rPr>
          <w:rFonts w:ascii="仿宋" w:eastAsia="仿宋" w:hAnsi="仿宋"/>
          <w:color w:val="000000"/>
        </w:rPr>
      </w:pPr>
      <w:bookmarkStart w:id="48" w:name="_Toc15396620"/>
      <w:r>
        <w:rPr>
          <w:rFonts w:ascii="仿宋" w:eastAsia="仿宋" w:hAnsi="仿宋" w:hint="eastAsia"/>
          <w:b w:val="0"/>
          <w:color w:val="000000"/>
        </w:rPr>
        <w:t>二、收</w:t>
      </w:r>
      <w:r>
        <w:rPr>
          <w:rStyle w:val="20"/>
          <w:rFonts w:ascii="仿宋" w:eastAsia="仿宋" w:hAnsi="仿宋" w:hint="eastAsia"/>
        </w:rPr>
        <w:t>入决算表</w:t>
      </w:r>
      <w:bookmarkEnd w:id="48"/>
    </w:p>
    <w:p w14:paraId="76E56D4C" w14:textId="77777777" w:rsidR="00C47EC5" w:rsidRDefault="00DA151C">
      <w:pPr>
        <w:pStyle w:val="2"/>
        <w:rPr>
          <w:rFonts w:ascii="仿宋" w:eastAsia="仿宋" w:hAnsi="仿宋"/>
          <w:color w:val="000000"/>
        </w:rPr>
      </w:pPr>
      <w:bookmarkStart w:id="49" w:name="_Toc15396621"/>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49"/>
    </w:p>
    <w:p w14:paraId="5A9EEF8C" w14:textId="77777777" w:rsidR="00C47EC5" w:rsidRDefault="00DA151C">
      <w:pPr>
        <w:pStyle w:val="2"/>
        <w:rPr>
          <w:rFonts w:ascii="仿宋" w:eastAsia="仿宋" w:hAnsi="仿宋"/>
          <w:b w:val="0"/>
          <w:color w:val="000000"/>
        </w:rPr>
      </w:pPr>
      <w:bookmarkStart w:id="50"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50"/>
    </w:p>
    <w:p w14:paraId="1E58C047" w14:textId="77777777" w:rsidR="00C47EC5" w:rsidRDefault="00DA151C">
      <w:pPr>
        <w:pStyle w:val="2"/>
        <w:rPr>
          <w:rStyle w:val="20"/>
          <w:rFonts w:ascii="仿宋" w:eastAsia="仿宋" w:hAnsi="仿宋"/>
        </w:rPr>
      </w:pPr>
      <w:bookmarkStart w:id="51" w:name="_Toc15396623"/>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52" w:name="_Toc15396624"/>
      <w:bookmarkEnd w:id="51"/>
    </w:p>
    <w:p w14:paraId="4DD52548" w14:textId="77777777" w:rsidR="00C47EC5" w:rsidRDefault="00DA151C">
      <w:pPr>
        <w:pStyle w:val="2"/>
        <w:rPr>
          <w:rFonts w:ascii="仿宋" w:eastAsia="仿宋" w:hAnsi="仿宋"/>
          <w:color w:val="000000"/>
        </w:rPr>
      </w:pPr>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52"/>
    </w:p>
    <w:p w14:paraId="05040B8F" w14:textId="77777777" w:rsidR="00C47EC5" w:rsidRDefault="00DA151C">
      <w:pPr>
        <w:pStyle w:val="2"/>
        <w:rPr>
          <w:rFonts w:ascii="仿宋" w:eastAsia="仿宋" w:hAnsi="仿宋"/>
          <w:color w:val="000000"/>
        </w:rPr>
      </w:pPr>
      <w:bookmarkStart w:id="53"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53"/>
    </w:p>
    <w:p w14:paraId="073C1C9B" w14:textId="77777777" w:rsidR="00C47EC5" w:rsidRDefault="00DA151C">
      <w:pPr>
        <w:pStyle w:val="2"/>
        <w:rPr>
          <w:rFonts w:ascii="仿宋" w:eastAsia="仿宋" w:hAnsi="仿宋"/>
          <w:color w:val="000000"/>
        </w:rPr>
      </w:pPr>
      <w:bookmarkStart w:id="54" w:name="_Toc153966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54"/>
    </w:p>
    <w:p w14:paraId="28222DDE" w14:textId="77777777" w:rsidR="00C47EC5" w:rsidRDefault="00DA151C">
      <w:pPr>
        <w:pStyle w:val="2"/>
        <w:rPr>
          <w:rFonts w:ascii="仿宋" w:eastAsia="仿宋" w:hAnsi="仿宋"/>
          <w:color w:val="000000"/>
        </w:rPr>
      </w:pPr>
      <w:bookmarkStart w:id="55" w:name="_Toc15396627"/>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55"/>
    </w:p>
    <w:p w14:paraId="42466308" w14:textId="77777777" w:rsidR="00C47EC5" w:rsidRDefault="00DA151C">
      <w:pPr>
        <w:pStyle w:val="2"/>
        <w:rPr>
          <w:rFonts w:ascii="仿宋" w:eastAsia="仿宋" w:hAnsi="仿宋"/>
          <w:color w:val="000000"/>
        </w:rPr>
      </w:pPr>
      <w:bookmarkStart w:id="56" w:name="_Toc1539662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56"/>
    </w:p>
    <w:p w14:paraId="21520B64" w14:textId="77777777" w:rsidR="00C47EC5" w:rsidRDefault="00DA151C">
      <w:pPr>
        <w:pStyle w:val="2"/>
        <w:rPr>
          <w:rFonts w:ascii="仿宋" w:eastAsia="仿宋" w:hAnsi="仿宋"/>
          <w:color w:val="000000"/>
        </w:rPr>
      </w:pPr>
      <w:bookmarkStart w:id="57" w:name="_Toc1539662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57"/>
    </w:p>
    <w:p w14:paraId="638BBADE" w14:textId="77777777" w:rsidR="00C47EC5" w:rsidRDefault="00DA151C">
      <w:pPr>
        <w:pStyle w:val="2"/>
        <w:rPr>
          <w:rFonts w:ascii="仿宋" w:eastAsia="仿宋" w:hAnsi="仿宋"/>
          <w:color w:val="000000"/>
        </w:rPr>
      </w:pPr>
      <w:bookmarkStart w:id="58"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58"/>
    </w:p>
    <w:p w14:paraId="028CB1B1" w14:textId="77777777" w:rsidR="00C47EC5" w:rsidRDefault="00DA151C">
      <w:pPr>
        <w:pStyle w:val="2"/>
        <w:rPr>
          <w:rStyle w:val="20"/>
          <w:rFonts w:ascii="仿宋" w:eastAsia="仿宋" w:hAnsi="仿宋"/>
        </w:rPr>
      </w:pPr>
      <w:bookmarkStart w:id="59"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59"/>
    </w:p>
    <w:p w14:paraId="6A897B03" w14:textId="77777777" w:rsidR="00C47EC5" w:rsidRDefault="00DA151C">
      <w:pPr>
        <w:rPr>
          <w:rFonts w:eastAsia="仿宋"/>
        </w:rPr>
      </w:pPr>
      <w:r>
        <w:rPr>
          <w:rStyle w:val="20"/>
          <w:rFonts w:ascii="仿宋" w:eastAsia="仿宋" w:hAnsi="仿宋" w:hint="eastAsia"/>
          <w:b w:val="0"/>
          <w:bCs w:val="0"/>
        </w:rPr>
        <w:t>十四、国有资本经营预算财政拨款支出决算表</w:t>
      </w:r>
    </w:p>
    <w:sectPr w:rsidR="00C47EC5" w:rsidSect="00C47EC5">
      <w:headerReference w:type="default" r:id="rId15"/>
      <w:footerReference w:type="default" r:id="rId16"/>
      <w:pgSz w:w="11906" w:h="16838"/>
      <w:pgMar w:top="1644" w:right="1474" w:bottom="1531" w:left="1588" w:header="851" w:footer="680"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9C2F" w14:textId="77777777" w:rsidR="005A4299" w:rsidRDefault="005A4299" w:rsidP="00C47EC5">
      <w:r>
        <w:separator/>
      </w:r>
    </w:p>
  </w:endnote>
  <w:endnote w:type="continuationSeparator" w:id="0">
    <w:p w14:paraId="266B3B12" w14:textId="77777777" w:rsidR="005A4299" w:rsidRDefault="005A4299" w:rsidP="00C4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EndPr/>
    <w:sdtContent>
      <w:p w14:paraId="55E73A8A" w14:textId="77777777" w:rsidR="00C47EC5" w:rsidRDefault="00DA151C">
        <w:pPr>
          <w:pStyle w:val="a7"/>
          <w:jc w:val="center"/>
        </w:pPr>
        <w:r>
          <w:rPr>
            <w:rFonts w:hint="eastAsia"/>
            <w:sz w:val="28"/>
            <w:szCs w:val="28"/>
          </w:rPr>
          <w:t>—</w:t>
        </w:r>
        <w:r w:rsidR="00C47EC5">
          <w:rPr>
            <w:sz w:val="28"/>
            <w:szCs w:val="28"/>
          </w:rPr>
          <w:fldChar w:fldCharType="begin"/>
        </w:r>
        <w:r>
          <w:rPr>
            <w:sz w:val="28"/>
            <w:szCs w:val="28"/>
          </w:rPr>
          <w:instrText>PAGE   \* MERGEFORMAT</w:instrText>
        </w:r>
        <w:r w:rsidR="00C47EC5">
          <w:rPr>
            <w:sz w:val="28"/>
            <w:szCs w:val="28"/>
          </w:rPr>
          <w:fldChar w:fldCharType="separate"/>
        </w:r>
        <w:r w:rsidR="00A71A85" w:rsidRPr="00A71A85">
          <w:rPr>
            <w:noProof/>
            <w:sz w:val="28"/>
            <w:szCs w:val="28"/>
            <w:lang w:val="zh-CN"/>
          </w:rPr>
          <w:t>23</w:t>
        </w:r>
        <w:r w:rsidR="00C47EC5">
          <w:rPr>
            <w:sz w:val="28"/>
            <w:szCs w:val="28"/>
          </w:rPr>
          <w:fldChar w:fldCharType="end"/>
        </w:r>
        <w:r>
          <w:rPr>
            <w:rFonts w:hint="eastAsia"/>
            <w:sz w:val="28"/>
            <w:szCs w:val="28"/>
          </w:rPr>
          <w:t>—</w:t>
        </w:r>
      </w:p>
    </w:sdtContent>
  </w:sdt>
  <w:p w14:paraId="22BDB4B9" w14:textId="77777777" w:rsidR="00C47EC5" w:rsidRDefault="00C47E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8CC2" w14:textId="77777777" w:rsidR="005A4299" w:rsidRDefault="005A4299" w:rsidP="00C47EC5">
      <w:r>
        <w:separator/>
      </w:r>
    </w:p>
  </w:footnote>
  <w:footnote w:type="continuationSeparator" w:id="0">
    <w:p w14:paraId="63F35387" w14:textId="77777777" w:rsidR="005A4299" w:rsidRDefault="005A4299" w:rsidP="00C4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B9D3" w14:textId="77777777" w:rsidR="00C47EC5" w:rsidRDefault="00C47EC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4D797F"/>
    <w:multiLevelType w:val="singleLevel"/>
    <w:tmpl w:val="C64D797F"/>
    <w:lvl w:ilvl="0">
      <w:start w:val="1"/>
      <w:numFmt w:val="chineseCounting"/>
      <w:suff w:val="nothing"/>
      <w:lvlText w:val="%1、"/>
      <w:lvlJc w:val="left"/>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7C510EC"/>
    <w:multiLevelType w:val="multilevel"/>
    <w:tmpl w:val="47C510EC"/>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Q2ZjlhYjk0YWI2YTcwOTJiNDdkYzRkYWVjNmU5ZDgifQ=="/>
  </w:docVars>
  <w:rsids>
    <w:rsidRoot w:val="00F1361C"/>
    <w:rsid w:val="000222C6"/>
    <w:rsid w:val="0002549F"/>
    <w:rsid w:val="00031C4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E742C"/>
    <w:rsid w:val="000F47F5"/>
    <w:rsid w:val="00114E9B"/>
    <w:rsid w:val="00142216"/>
    <w:rsid w:val="00144D6A"/>
    <w:rsid w:val="0014729F"/>
    <w:rsid w:val="00151108"/>
    <w:rsid w:val="00157BAB"/>
    <w:rsid w:val="001654D1"/>
    <w:rsid w:val="00174518"/>
    <w:rsid w:val="0018106D"/>
    <w:rsid w:val="001877A7"/>
    <w:rsid w:val="00191355"/>
    <w:rsid w:val="00191536"/>
    <w:rsid w:val="00196687"/>
    <w:rsid w:val="001C0962"/>
    <w:rsid w:val="001D6173"/>
    <w:rsid w:val="001D7531"/>
    <w:rsid w:val="001E737D"/>
    <w:rsid w:val="001F0592"/>
    <w:rsid w:val="001F7506"/>
    <w:rsid w:val="002006CD"/>
    <w:rsid w:val="00202B36"/>
    <w:rsid w:val="00202C55"/>
    <w:rsid w:val="00204B7A"/>
    <w:rsid w:val="00204C87"/>
    <w:rsid w:val="00204CDE"/>
    <w:rsid w:val="0021101A"/>
    <w:rsid w:val="00220536"/>
    <w:rsid w:val="00234B1D"/>
    <w:rsid w:val="00235629"/>
    <w:rsid w:val="00260C38"/>
    <w:rsid w:val="002616C0"/>
    <w:rsid w:val="00265372"/>
    <w:rsid w:val="002662AA"/>
    <w:rsid w:val="00280496"/>
    <w:rsid w:val="00294DC9"/>
    <w:rsid w:val="00295495"/>
    <w:rsid w:val="00297B1A"/>
    <w:rsid w:val="002A31DE"/>
    <w:rsid w:val="002B2613"/>
    <w:rsid w:val="002D6D05"/>
    <w:rsid w:val="002F1818"/>
    <w:rsid w:val="002F567B"/>
    <w:rsid w:val="003216A9"/>
    <w:rsid w:val="003256E4"/>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554B"/>
    <w:rsid w:val="004223DE"/>
    <w:rsid w:val="00434489"/>
    <w:rsid w:val="00437085"/>
    <w:rsid w:val="00443880"/>
    <w:rsid w:val="004464F4"/>
    <w:rsid w:val="00471401"/>
    <w:rsid w:val="00473F31"/>
    <w:rsid w:val="0048263A"/>
    <w:rsid w:val="00487E5D"/>
    <w:rsid w:val="004A711F"/>
    <w:rsid w:val="004B199D"/>
    <w:rsid w:val="004B4690"/>
    <w:rsid w:val="004B6B9A"/>
    <w:rsid w:val="004E0A2D"/>
    <w:rsid w:val="004E206B"/>
    <w:rsid w:val="004E6DF7"/>
    <w:rsid w:val="004F0FBD"/>
    <w:rsid w:val="00505A47"/>
    <w:rsid w:val="00512FDA"/>
    <w:rsid w:val="00520DA0"/>
    <w:rsid w:val="00532B01"/>
    <w:rsid w:val="00540919"/>
    <w:rsid w:val="005664BB"/>
    <w:rsid w:val="00566FFA"/>
    <w:rsid w:val="0057481D"/>
    <w:rsid w:val="005762A4"/>
    <w:rsid w:val="0058486E"/>
    <w:rsid w:val="00585B33"/>
    <w:rsid w:val="0059014D"/>
    <w:rsid w:val="005A4299"/>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6FAB"/>
    <w:rsid w:val="0066343B"/>
    <w:rsid w:val="00664777"/>
    <w:rsid w:val="006748A4"/>
    <w:rsid w:val="00681A31"/>
    <w:rsid w:val="00683E73"/>
    <w:rsid w:val="006A3141"/>
    <w:rsid w:val="006A5E34"/>
    <w:rsid w:val="006B2422"/>
    <w:rsid w:val="006B2B9A"/>
    <w:rsid w:val="006C1937"/>
    <w:rsid w:val="006D705D"/>
    <w:rsid w:val="006F020C"/>
    <w:rsid w:val="007127B7"/>
    <w:rsid w:val="0071798E"/>
    <w:rsid w:val="00727AD8"/>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6C9D"/>
    <w:rsid w:val="007F1991"/>
    <w:rsid w:val="007F2C2F"/>
    <w:rsid w:val="007F55FC"/>
    <w:rsid w:val="007F5665"/>
    <w:rsid w:val="00800112"/>
    <w:rsid w:val="0081285B"/>
    <w:rsid w:val="00813348"/>
    <w:rsid w:val="00823F1C"/>
    <w:rsid w:val="008253BB"/>
    <w:rsid w:val="0083706E"/>
    <w:rsid w:val="008408F6"/>
    <w:rsid w:val="008423A5"/>
    <w:rsid w:val="00844A71"/>
    <w:rsid w:val="00850625"/>
    <w:rsid w:val="00853718"/>
    <w:rsid w:val="00855221"/>
    <w:rsid w:val="00860645"/>
    <w:rsid w:val="00871F71"/>
    <w:rsid w:val="00872FD8"/>
    <w:rsid w:val="00885AF4"/>
    <w:rsid w:val="00891496"/>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2D28"/>
    <w:rsid w:val="00946945"/>
    <w:rsid w:val="00951248"/>
    <w:rsid w:val="0095152F"/>
    <w:rsid w:val="00954C49"/>
    <w:rsid w:val="00955E37"/>
    <w:rsid w:val="0097099F"/>
    <w:rsid w:val="00971997"/>
    <w:rsid w:val="00971FFC"/>
    <w:rsid w:val="0098660A"/>
    <w:rsid w:val="009871D8"/>
    <w:rsid w:val="009931C3"/>
    <w:rsid w:val="009B1FA8"/>
    <w:rsid w:val="009B2C43"/>
    <w:rsid w:val="009B3AE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A09"/>
    <w:rsid w:val="00A56DF2"/>
    <w:rsid w:val="00A56E6E"/>
    <w:rsid w:val="00A65A33"/>
    <w:rsid w:val="00A67AB5"/>
    <w:rsid w:val="00A71A8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E49"/>
    <w:rsid w:val="00B77EA6"/>
    <w:rsid w:val="00B81598"/>
    <w:rsid w:val="00B841F1"/>
    <w:rsid w:val="00B944D6"/>
    <w:rsid w:val="00BB4DF0"/>
    <w:rsid w:val="00BC289F"/>
    <w:rsid w:val="00BC2D50"/>
    <w:rsid w:val="00BC5361"/>
    <w:rsid w:val="00BC5460"/>
    <w:rsid w:val="00BC6B50"/>
    <w:rsid w:val="00BD0E25"/>
    <w:rsid w:val="00BF5BD6"/>
    <w:rsid w:val="00C03E31"/>
    <w:rsid w:val="00C26269"/>
    <w:rsid w:val="00C33E72"/>
    <w:rsid w:val="00C354B2"/>
    <w:rsid w:val="00C35554"/>
    <w:rsid w:val="00C42709"/>
    <w:rsid w:val="00C47EC5"/>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025B"/>
    <w:rsid w:val="00D114F0"/>
    <w:rsid w:val="00D20620"/>
    <w:rsid w:val="00D20723"/>
    <w:rsid w:val="00D254F7"/>
    <w:rsid w:val="00D26091"/>
    <w:rsid w:val="00D2685C"/>
    <w:rsid w:val="00D3085D"/>
    <w:rsid w:val="00D32648"/>
    <w:rsid w:val="00D34E7C"/>
    <w:rsid w:val="00D35489"/>
    <w:rsid w:val="00D36AFE"/>
    <w:rsid w:val="00D372D9"/>
    <w:rsid w:val="00D51276"/>
    <w:rsid w:val="00D575ED"/>
    <w:rsid w:val="00D7035F"/>
    <w:rsid w:val="00DA151C"/>
    <w:rsid w:val="00DA634F"/>
    <w:rsid w:val="00DA65AC"/>
    <w:rsid w:val="00DB1913"/>
    <w:rsid w:val="00DC410D"/>
    <w:rsid w:val="00DC596B"/>
    <w:rsid w:val="00DC5A81"/>
    <w:rsid w:val="00DC68CA"/>
    <w:rsid w:val="00DC7CBA"/>
    <w:rsid w:val="00DD73B7"/>
    <w:rsid w:val="00DF28BC"/>
    <w:rsid w:val="00DF34B9"/>
    <w:rsid w:val="00E01053"/>
    <w:rsid w:val="00E07ACF"/>
    <w:rsid w:val="00E232F9"/>
    <w:rsid w:val="00E305CD"/>
    <w:rsid w:val="00E331A1"/>
    <w:rsid w:val="00E33202"/>
    <w:rsid w:val="00E336A9"/>
    <w:rsid w:val="00E472B1"/>
    <w:rsid w:val="00E50624"/>
    <w:rsid w:val="00E568DF"/>
    <w:rsid w:val="00E64269"/>
    <w:rsid w:val="00E65D70"/>
    <w:rsid w:val="00E72810"/>
    <w:rsid w:val="00E82267"/>
    <w:rsid w:val="00E853CE"/>
    <w:rsid w:val="00E867B6"/>
    <w:rsid w:val="00EA010F"/>
    <w:rsid w:val="00EA1E75"/>
    <w:rsid w:val="00EB3D90"/>
    <w:rsid w:val="00EC1FDC"/>
    <w:rsid w:val="00ED1B63"/>
    <w:rsid w:val="00ED3C1F"/>
    <w:rsid w:val="00ED4085"/>
    <w:rsid w:val="00ED420E"/>
    <w:rsid w:val="00ED6FBE"/>
    <w:rsid w:val="00EE2F57"/>
    <w:rsid w:val="00EF21C9"/>
    <w:rsid w:val="00EF4C34"/>
    <w:rsid w:val="00EF77C6"/>
    <w:rsid w:val="00F05438"/>
    <w:rsid w:val="00F11FAE"/>
    <w:rsid w:val="00F1361C"/>
    <w:rsid w:val="00F156F0"/>
    <w:rsid w:val="00F160C7"/>
    <w:rsid w:val="00F2408F"/>
    <w:rsid w:val="00F240E9"/>
    <w:rsid w:val="00F35D4F"/>
    <w:rsid w:val="00F36D8F"/>
    <w:rsid w:val="00F417B1"/>
    <w:rsid w:val="00F45853"/>
    <w:rsid w:val="00F602DF"/>
    <w:rsid w:val="00F754A1"/>
    <w:rsid w:val="00F81FD9"/>
    <w:rsid w:val="00F841AA"/>
    <w:rsid w:val="00F84A94"/>
    <w:rsid w:val="00F87E96"/>
    <w:rsid w:val="00FA23E8"/>
    <w:rsid w:val="00FA4DB1"/>
    <w:rsid w:val="00FD3CC1"/>
    <w:rsid w:val="00FF1E02"/>
    <w:rsid w:val="00FF30B4"/>
    <w:rsid w:val="07426966"/>
    <w:rsid w:val="0A2032A3"/>
    <w:rsid w:val="10C055FF"/>
    <w:rsid w:val="118107EC"/>
    <w:rsid w:val="16BB723D"/>
    <w:rsid w:val="18015F3F"/>
    <w:rsid w:val="1BE8440E"/>
    <w:rsid w:val="1D155CEE"/>
    <w:rsid w:val="20F57F95"/>
    <w:rsid w:val="240371BF"/>
    <w:rsid w:val="29FD04D3"/>
    <w:rsid w:val="2ABE7A3E"/>
    <w:rsid w:val="319F7F4E"/>
    <w:rsid w:val="3C0C0783"/>
    <w:rsid w:val="496F39ED"/>
    <w:rsid w:val="4BE068DB"/>
    <w:rsid w:val="4BF6002B"/>
    <w:rsid w:val="4ECE2238"/>
    <w:rsid w:val="50886851"/>
    <w:rsid w:val="64CA39A1"/>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AF129A"/>
  <w15:docId w15:val="{BF6E632A-E727-4D05-97A9-6899C782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47EC5"/>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C47EC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47E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47EC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C47EC5"/>
    <w:pPr>
      <w:spacing w:beforeLines="30"/>
    </w:pPr>
    <w:rPr>
      <w:rFonts w:ascii="仿宋_GB2312" w:eastAsia="仿宋_GB2312"/>
      <w:kern w:val="0"/>
      <w:sz w:val="30"/>
    </w:rPr>
  </w:style>
  <w:style w:type="paragraph" w:styleId="TOC3">
    <w:name w:val="toc 3"/>
    <w:basedOn w:val="a"/>
    <w:next w:val="a"/>
    <w:uiPriority w:val="39"/>
    <w:unhideWhenUsed/>
    <w:qFormat/>
    <w:rsid w:val="00C47EC5"/>
    <w:pPr>
      <w:tabs>
        <w:tab w:val="right" w:leader="dot" w:pos="8296"/>
      </w:tabs>
      <w:ind w:leftChars="400" w:left="840"/>
    </w:pPr>
  </w:style>
  <w:style w:type="paragraph" w:styleId="a5">
    <w:name w:val="Balloon Text"/>
    <w:basedOn w:val="a"/>
    <w:link w:val="a6"/>
    <w:uiPriority w:val="99"/>
    <w:semiHidden/>
    <w:unhideWhenUsed/>
    <w:qFormat/>
    <w:rsid w:val="00C47EC5"/>
    <w:rPr>
      <w:sz w:val="18"/>
      <w:szCs w:val="18"/>
    </w:rPr>
  </w:style>
  <w:style w:type="paragraph" w:styleId="a7">
    <w:name w:val="footer"/>
    <w:basedOn w:val="a"/>
    <w:link w:val="a8"/>
    <w:uiPriority w:val="99"/>
    <w:qFormat/>
    <w:rsid w:val="00C47EC5"/>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rsid w:val="00C47EC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rsid w:val="00C47EC5"/>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rsid w:val="00C47EC5"/>
    <w:pPr>
      <w:tabs>
        <w:tab w:val="right" w:leader="dot" w:pos="8296"/>
      </w:tabs>
      <w:ind w:leftChars="200" w:left="420"/>
    </w:pPr>
  </w:style>
  <w:style w:type="character" w:styleId="ab">
    <w:name w:val="Strong"/>
    <w:basedOn w:val="a1"/>
    <w:uiPriority w:val="99"/>
    <w:qFormat/>
    <w:rsid w:val="00C47EC5"/>
    <w:rPr>
      <w:b/>
    </w:rPr>
  </w:style>
  <w:style w:type="character" w:styleId="ac">
    <w:name w:val="Hyperlink"/>
    <w:basedOn w:val="a1"/>
    <w:uiPriority w:val="99"/>
    <w:unhideWhenUsed/>
    <w:qFormat/>
    <w:rsid w:val="00C47EC5"/>
    <w:rPr>
      <w:color w:val="0000FF" w:themeColor="hyperlink"/>
      <w:u w:val="single"/>
    </w:rPr>
  </w:style>
  <w:style w:type="character" w:customStyle="1" w:styleId="HeaderChar">
    <w:name w:val="Header Char"/>
    <w:basedOn w:val="a1"/>
    <w:uiPriority w:val="99"/>
    <w:semiHidden/>
    <w:qFormat/>
    <w:rsid w:val="00C47EC5"/>
    <w:rPr>
      <w:rFonts w:ascii="Times New Roman" w:hAnsi="Times New Roman"/>
      <w:sz w:val="18"/>
      <w:szCs w:val="18"/>
    </w:rPr>
  </w:style>
  <w:style w:type="character" w:customStyle="1" w:styleId="aa">
    <w:name w:val="页眉 字符"/>
    <w:link w:val="a9"/>
    <w:uiPriority w:val="99"/>
    <w:semiHidden/>
    <w:qFormat/>
    <w:locked/>
    <w:rsid w:val="00C47EC5"/>
    <w:rPr>
      <w:sz w:val="18"/>
    </w:rPr>
  </w:style>
  <w:style w:type="character" w:customStyle="1" w:styleId="FooterChar">
    <w:name w:val="Footer Char"/>
    <w:basedOn w:val="a1"/>
    <w:uiPriority w:val="99"/>
    <w:semiHidden/>
    <w:qFormat/>
    <w:rsid w:val="00C47EC5"/>
    <w:rPr>
      <w:rFonts w:ascii="Times New Roman" w:hAnsi="Times New Roman"/>
      <w:sz w:val="18"/>
      <w:szCs w:val="18"/>
    </w:rPr>
  </w:style>
  <w:style w:type="character" w:customStyle="1" w:styleId="a8">
    <w:name w:val="页脚 字符"/>
    <w:link w:val="a7"/>
    <w:uiPriority w:val="99"/>
    <w:qFormat/>
    <w:locked/>
    <w:rsid w:val="00C47EC5"/>
    <w:rPr>
      <w:sz w:val="18"/>
    </w:rPr>
  </w:style>
  <w:style w:type="character" w:customStyle="1" w:styleId="BodyTextChar">
    <w:name w:val="Body Text Char"/>
    <w:basedOn w:val="a1"/>
    <w:uiPriority w:val="99"/>
    <w:semiHidden/>
    <w:qFormat/>
    <w:rsid w:val="00C47EC5"/>
    <w:rPr>
      <w:rFonts w:ascii="Times New Roman" w:hAnsi="Times New Roman"/>
      <w:szCs w:val="24"/>
    </w:rPr>
  </w:style>
  <w:style w:type="character" w:customStyle="1" w:styleId="a4">
    <w:name w:val="正文文本 字符"/>
    <w:link w:val="a0"/>
    <w:uiPriority w:val="99"/>
    <w:qFormat/>
    <w:locked/>
    <w:rsid w:val="00C47EC5"/>
    <w:rPr>
      <w:rFonts w:ascii="仿宋_GB2312" w:eastAsia="仿宋_GB2312" w:hAnsi="Times New Roman"/>
      <w:sz w:val="24"/>
    </w:rPr>
  </w:style>
  <w:style w:type="paragraph" w:customStyle="1" w:styleId="Default">
    <w:name w:val="Default"/>
    <w:uiPriority w:val="99"/>
    <w:qFormat/>
    <w:rsid w:val="00C47EC5"/>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rsid w:val="00C47EC5"/>
    <w:pPr>
      <w:ind w:firstLineChars="200" w:firstLine="420"/>
    </w:pPr>
  </w:style>
  <w:style w:type="character" w:customStyle="1" w:styleId="10">
    <w:name w:val="标题 1 字符"/>
    <w:basedOn w:val="a1"/>
    <w:link w:val="1"/>
    <w:uiPriority w:val="9"/>
    <w:qFormat/>
    <w:rsid w:val="00C47EC5"/>
    <w:rPr>
      <w:rFonts w:ascii="Times New Roman" w:hAnsi="Times New Roman"/>
      <w:b/>
      <w:bCs/>
      <w:kern w:val="44"/>
      <w:sz w:val="44"/>
      <w:szCs w:val="44"/>
    </w:rPr>
  </w:style>
  <w:style w:type="character" w:customStyle="1" w:styleId="20">
    <w:name w:val="标题 2 字符"/>
    <w:basedOn w:val="a1"/>
    <w:link w:val="2"/>
    <w:uiPriority w:val="9"/>
    <w:qFormat/>
    <w:rsid w:val="00C47EC5"/>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rsid w:val="00C47EC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sid w:val="00C47EC5"/>
    <w:rPr>
      <w:rFonts w:ascii="Times New Roman" w:hAnsi="Times New Roman"/>
      <w:kern w:val="2"/>
      <w:sz w:val="18"/>
      <w:szCs w:val="18"/>
    </w:rPr>
  </w:style>
  <w:style w:type="character" w:customStyle="1" w:styleId="30">
    <w:name w:val="标题 3 字符"/>
    <w:basedOn w:val="a1"/>
    <w:link w:val="3"/>
    <w:uiPriority w:val="9"/>
    <w:qFormat/>
    <w:rsid w:val="00C47EC5"/>
    <w:rPr>
      <w:rFonts w:ascii="Times New Roman" w:hAnsi="Times New Roman"/>
      <w:b/>
      <w:bCs/>
      <w:kern w:val="2"/>
      <w:sz w:val="32"/>
      <w:szCs w:val="32"/>
    </w:rPr>
  </w:style>
  <w:style w:type="paragraph" w:customStyle="1" w:styleId="TOC20">
    <w:name w:val="TOC 标题2"/>
    <w:basedOn w:val="1"/>
    <w:next w:val="a"/>
    <w:uiPriority w:val="39"/>
    <w:unhideWhenUsed/>
    <w:qFormat/>
    <w:rsid w:val="00C47EC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9219160104996E-2"/>
          <c:y val="2.4216347956505506E-2"/>
          <c:w val="0.89107447506561699"/>
          <c:h val="0.8565310586176732"/>
        </c:manualLayout>
      </c:layout>
      <c:barChart>
        <c:barDir val="col"/>
        <c:grouping val="stacked"/>
        <c:varyColors val="0"/>
        <c:ser>
          <c:idx val="0"/>
          <c:order val="0"/>
          <c:tx>
            <c:strRef>
              <c:f>Sheet1!$B$1</c:f>
              <c:strCache>
                <c:ptCount val="1"/>
                <c:pt idx="0">
                  <c:v>列1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numCache>
            </c:numRef>
          </c:cat>
          <c:val>
            <c:numRef>
              <c:f>Sheet1!$B$2:$B$5</c:f>
              <c:numCache>
                <c:formatCode>General</c:formatCode>
                <c:ptCount val="4"/>
                <c:pt idx="0">
                  <c:v>363.71</c:v>
                </c:pt>
                <c:pt idx="1">
                  <c:v>251.25</c:v>
                </c:pt>
              </c:numCache>
            </c:numRef>
          </c:val>
          <c:extLst>
            <c:ext xmlns:c16="http://schemas.microsoft.com/office/drawing/2014/chart" uri="{C3380CC4-5D6E-409C-BE32-E72D297353CC}">
              <c16:uniqueId val="{00000000-4514-475D-B355-037DC87D78CA}"/>
            </c:ext>
          </c:extLst>
        </c:ser>
        <c:dLbls>
          <c:showLegendKey val="0"/>
          <c:showVal val="1"/>
          <c:showCatName val="0"/>
          <c:showSerName val="0"/>
          <c:showPercent val="0"/>
          <c:showBubbleSize val="0"/>
        </c:dLbls>
        <c:gapWidth val="75"/>
        <c:overlap val="100"/>
        <c:axId val="58296576"/>
        <c:axId val="58700544"/>
      </c:barChart>
      <c:catAx>
        <c:axId val="5829657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8700544"/>
        <c:crosses val="autoZero"/>
        <c:auto val="1"/>
        <c:lblAlgn val="ctr"/>
        <c:lblOffset val="100"/>
        <c:noMultiLvlLbl val="0"/>
      </c:catAx>
      <c:valAx>
        <c:axId val="587005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8296576"/>
        <c:crosses val="autoZero"/>
        <c:crossBetween val="between"/>
      </c:valAx>
      <c:spPr>
        <a:solidFill>
          <a:schemeClr val="bg1"/>
        </a:solidFill>
        <a:ln>
          <a:noFill/>
        </a:ln>
        <a:effectLst/>
      </c:spPr>
    </c:plotArea>
    <c:plotVisOnly val="1"/>
    <c:dispBlanksAs val="gap"/>
    <c:showDLblsOverMax val="0"/>
  </c:chart>
  <c:spPr>
    <a:ln w="12700" cap="flat" cmpd="sng" algn="ctr">
      <a:solidFill>
        <a:schemeClr val="tx1">
          <a:tint val="75000"/>
          <a:shade val="95000"/>
          <a:satMod val="105000"/>
        </a:schemeClr>
      </a:solidFill>
      <a:prstDash val="solid"/>
      <a:round/>
    </a:ln>
    <a:effectLst>
      <a:outerShdw blurRad="50800" dist="50800" dir="5400000" algn="ctr" rotWithShape="0">
        <a:schemeClr val="accent6"/>
      </a:outerShdw>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864616451245513"/>
          <c:y val="7.6439642125026325E-2"/>
        </c:manualLayout>
      </c:layout>
      <c:overlay val="0"/>
      <c:txPr>
        <a:bodyPr rot="0" spcFirstLastPara="0" vertOverflow="ellipsis" vert="horz" wrap="square" anchor="ctr" anchorCtr="1"/>
        <a:lstStyle/>
        <a:p>
          <a:pPr>
            <a:defRPr lang="zh-CN" sz="1800" b="1" i="0" u="none" strike="noStrike" kern="1200" baseline="0">
              <a:solidFill>
                <a:srgbClr val="0070C0"/>
              </a:solidFill>
              <a:latin typeface="+mn-lt"/>
              <a:ea typeface="+mn-ea"/>
              <a:cs typeface="+mn-cs"/>
            </a:defRPr>
          </a:pPr>
          <a:endParaRPr lang="zh-CN"/>
        </a:p>
      </c:txPr>
    </c:title>
    <c:autoTitleDeleted val="0"/>
    <c:plotArea>
      <c:layout/>
      <c:pieChart>
        <c:varyColors val="1"/>
        <c:ser>
          <c:idx val="0"/>
          <c:order val="0"/>
          <c:tx>
            <c:strRef>
              <c:f>Sheet1!$B$1</c:f>
              <c:strCache>
                <c:ptCount val="1"/>
                <c:pt idx="0">
                  <c:v>收入结构图</c:v>
                </c:pt>
              </c:strCache>
            </c:strRef>
          </c:tx>
          <c:dLbls>
            <c:dLbl>
              <c:idx val="0"/>
              <c:layout>
                <c:manualLayout>
                  <c:x val="6.0575240594925601E-3"/>
                  <c:y val="-0.37272997125359414"/>
                </c:manualLayout>
              </c:layout>
              <c:tx>
                <c:rich>
                  <a:bodyPr/>
                  <a:lstStyle/>
                  <a:p>
                    <a:r>
                      <a:rPr lang="en-US" altLang="en-US" sz="2000"/>
                      <a:t>100</a:t>
                    </a:r>
                    <a:r>
                      <a:rPr lang="en-US" altLang="zh-CN" sz="2000"/>
                      <a:t>%</a:t>
                    </a:r>
                    <a:endParaRPr lang="en-US" altLang="en-US" sz="2000"/>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3ED-4E24-9E13-77C82D853C2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1"/>
                <c:pt idx="0">
                  <c:v>第一季度</c:v>
                </c:pt>
              </c:strCache>
            </c:strRef>
          </c:cat>
          <c:val>
            <c:numRef>
              <c:f>Sheet1!$B$2:$B$5</c:f>
              <c:numCache>
                <c:formatCode>General</c:formatCode>
                <c:ptCount val="4"/>
                <c:pt idx="0">
                  <c:v>100</c:v>
                </c:pt>
              </c:numCache>
            </c:numRef>
          </c:val>
          <c:extLst>
            <c:ext xmlns:c16="http://schemas.microsoft.com/office/drawing/2014/chart" uri="{C3380CC4-5D6E-409C-BE32-E72D297353CC}">
              <c16:uniqueId val="{00000001-C3ED-4E24-9E13-77C82D853C2F}"/>
            </c:ext>
          </c:extLst>
        </c:ser>
        <c:dLbls>
          <c:showLegendKey val="0"/>
          <c:showVal val="1"/>
          <c:showCatName val="0"/>
          <c:showSerName val="0"/>
          <c:showPercent val="0"/>
          <c:showBubbleSize val="0"/>
          <c:showLeaderLines val="1"/>
        </c:dLbls>
        <c:firstSliceAng val="0"/>
      </c:pieChart>
    </c:plotArea>
    <c:plotVisOnly val="1"/>
    <c:dispBlanksAs val="zero"/>
    <c:showDLblsOverMax val="0"/>
  </c:chart>
  <c:spPr>
    <a:effectLst>
      <a:outerShdw blurRad="50800" dist="50800" dir="5400000" algn="ctr" rotWithShape="0">
        <a:schemeClr val="accent6">
          <a:lumMod val="60000"/>
          <a:lumOff val="40000"/>
        </a:schemeClr>
      </a:outerShdw>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Sheet1!$B$1</c:f>
              <c:strCache>
                <c:ptCount val="1"/>
                <c:pt idx="0">
                  <c:v>支出决算结构图</c:v>
                </c:pt>
              </c:strCache>
            </c:strRef>
          </c:tx>
          <c:dLbls>
            <c:dLbl>
              <c:idx val="0"/>
              <c:layout>
                <c:manualLayout>
                  <c:x val="-0.11976234788833204"/>
                  <c:y val="-0.28184829837446923"/>
                </c:manualLayout>
              </c:layout>
              <c:tx>
                <c:rich>
                  <a:bodyPr/>
                  <a:lstStyle/>
                  <a:p>
                    <a:r>
                      <a:rPr lang="en-US" altLang="en-US"/>
                      <a:t>70.19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9C2-42B5-9ADB-62F16239857A}"/>
                </c:ext>
              </c:extLst>
            </c:dLbl>
            <c:dLbl>
              <c:idx val="1"/>
              <c:layout>
                <c:manualLayout>
                  <c:x val="9.8757125056337852E-2"/>
                  <c:y val="8.8172213767396715E-2"/>
                </c:manualLayout>
              </c:layout>
              <c:tx>
                <c:rich>
                  <a:bodyPr/>
                  <a:lstStyle/>
                  <a:p>
                    <a:r>
                      <a:rPr lang="en-US" altLang="en-US"/>
                      <a:t>29.81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9C2-42B5-9ADB-62F16239857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176.36</c:v>
                </c:pt>
                <c:pt idx="1">
                  <c:v>74.89</c:v>
                </c:pt>
              </c:numCache>
            </c:numRef>
          </c:val>
          <c:extLst>
            <c:ext xmlns:c16="http://schemas.microsoft.com/office/drawing/2014/chart" uri="{C3380CC4-5D6E-409C-BE32-E72D297353CC}">
              <c16:uniqueId val="{00000002-E9C2-42B5-9ADB-62F16239857A}"/>
            </c:ext>
          </c:extLst>
        </c:ser>
        <c:dLbls>
          <c:showLegendKey val="0"/>
          <c:showVal val="1"/>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spPr>
    <a:effectLst>
      <a:outerShdw blurRad="50800" dist="50800" dir="5400000" algn="ctr" rotWithShape="0">
        <a:schemeClr val="accent6">
          <a:lumMod val="60000"/>
          <a:lumOff val="40000"/>
        </a:schemeClr>
      </a:outerShdw>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2026614754305E-2"/>
          <c:y val="2.6677681683232205E-2"/>
          <c:w val="0.89107447506561699"/>
          <c:h val="0.8565310586176742"/>
        </c:manualLayout>
      </c:layout>
      <c:barChart>
        <c:barDir val="col"/>
        <c:grouping val="stacked"/>
        <c:varyColors val="0"/>
        <c:ser>
          <c:idx val="0"/>
          <c:order val="0"/>
          <c:tx>
            <c:strRef>
              <c:f>Sheet1!$B$1</c:f>
              <c:strCache>
                <c:ptCount val="1"/>
                <c:pt idx="0">
                  <c:v>列1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numCache>
            </c:numRef>
          </c:cat>
          <c:val>
            <c:numRef>
              <c:f>Sheet1!$B$2:$B$5</c:f>
              <c:numCache>
                <c:formatCode>General</c:formatCode>
                <c:ptCount val="4"/>
                <c:pt idx="0">
                  <c:v>363.71</c:v>
                </c:pt>
                <c:pt idx="1">
                  <c:v>251.25</c:v>
                </c:pt>
              </c:numCache>
            </c:numRef>
          </c:val>
          <c:extLst>
            <c:ext xmlns:c16="http://schemas.microsoft.com/office/drawing/2014/chart" uri="{C3380CC4-5D6E-409C-BE32-E72D297353CC}">
              <c16:uniqueId val="{00000000-7B9C-42A1-8AC0-EDA58E9C5509}"/>
            </c:ext>
          </c:extLst>
        </c:ser>
        <c:dLbls>
          <c:showLegendKey val="0"/>
          <c:showVal val="1"/>
          <c:showCatName val="0"/>
          <c:showSerName val="0"/>
          <c:showPercent val="0"/>
          <c:showBubbleSize val="0"/>
        </c:dLbls>
        <c:gapWidth val="75"/>
        <c:overlap val="100"/>
        <c:axId val="105460480"/>
        <c:axId val="105462400"/>
      </c:barChart>
      <c:catAx>
        <c:axId val="10546048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5462400"/>
        <c:crosses val="autoZero"/>
        <c:auto val="1"/>
        <c:lblAlgn val="ctr"/>
        <c:lblOffset val="100"/>
        <c:noMultiLvlLbl val="0"/>
      </c:catAx>
      <c:valAx>
        <c:axId val="10546240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5460480"/>
        <c:crosses val="autoZero"/>
        <c:crossBetween val="between"/>
      </c:valAx>
      <c:spPr>
        <a:solidFill>
          <a:schemeClr val="bg1"/>
        </a:solidFill>
        <a:ln>
          <a:noFill/>
        </a:ln>
        <a:effectLst/>
      </c:spPr>
    </c:plotArea>
    <c:plotVisOnly val="1"/>
    <c:dispBlanksAs val="gap"/>
    <c:showDLblsOverMax val="0"/>
  </c:chart>
  <c:spPr>
    <a:ln w="12700" cap="flat" cmpd="sng" algn="ctr">
      <a:solidFill>
        <a:schemeClr val="tx1">
          <a:tint val="75000"/>
          <a:shade val="95000"/>
          <a:satMod val="105000"/>
        </a:schemeClr>
      </a:solidFill>
      <a:prstDash val="solid"/>
      <a:round/>
    </a:ln>
    <a:effectLst>
      <a:outerShdw blurRad="50800" dist="50800" dir="5400000" algn="ctr" rotWithShape="0">
        <a:schemeClr val="accent6"/>
      </a:outerShdw>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2026614754305E-2"/>
          <c:y val="2.6677681683232205E-2"/>
          <c:w val="0.89107447506561699"/>
          <c:h val="0.8565310586176742"/>
        </c:manualLayout>
      </c:layout>
      <c:barChart>
        <c:barDir val="col"/>
        <c:grouping val="stacked"/>
        <c:varyColors val="0"/>
        <c:ser>
          <c:idx val="0"/>
          <c:order val="0"/>
          <c:tx>
            <c:strRef>
              <c:f>Sheet1!$B$1</c:f>
              <c:strCache>
                <c:ptCount val="1"/>
                <c:pt idx="0">
                  <c:v>列1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numCache>
            </c:numRef>
          </c:cat>
          <c:val>
            <c:numRef>
              <c:f>Sheet1!$B$2:$B$5</c:f>
              <c:numCache>
                <c:formatCode>General</c:formatCode>
                <c:ptCount val="4"/>
                <c:pt idx="0">
                  <c:v>363.71</c:v>
                </c:pt>
                <c:pt idx="1">
                  <c:v>251.25</c:v>
                </c:pt>
              </c:numCache>
            </c:numRef>
          </c:val>
          <c:extLst>
            <c:ext xmlns:c16="http://schemas.microsoft.com/office/drawing/2014/chart" uri="{C3380CC4-5D6E-409C-BE32-E72D297353CC}">
              <c16:uniqueId val="{00000000-AAFA-4C02-98B7-40AD97563A7F}"/>
            </c:ext>
          </c:extLst>
        </c:ser>
        <c:dLbls>
          <c:showLegendKey val="0"/>
          <c:showVal val="1"/>
          <c:showCatName val="0"/>
          <c:showSerName val="0"/>
          <c:showPercent val="0"/>
          <c:showBubbleSize val="0"/>
        </c:dLbls>
        <c:gapWidth val="75"/>
        <c:overlap val="100"/>
        <c:axId val="109477248"/>
        <c:axId val="109528192"/>
      </c:barChart>
      <c:catAx>
        <c:axId val="1094772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9528192"/>
        <c:crosses val="autoZero"/>
        <c:auto val="1"/>
        <c:lblAlgn val="ctr"/>
        <c:lblOffset val="100"/>
        <c:noMultiLvlLbl val="0"/>
      </c:catAx>
      <c:valAx>
        <c:axId val="10952819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9477248"/>
        <c:crosses val="autoZero"/>
        <c:crossBetween val="between"/>
      </c:valAx>
      <c:spPr>
        <a:solidFill>
          <a:schemeClr val="bg1"/>
        </a:solidFill>
        <a:ln>
          <a:noFill/>
        </a:ln>
        <a:effectLst/>
      </c:spPr>
    </c:plotArea>
    <c:plotVisOnly val="1"/>
    <c:dispBlanksAs val="gap"/>
    <c:showDLblsOverMax val="0"/>
  </c:chart>
  <c:spPr>
    <a:ln w="12700" cap="flat" cmpd="sng" algn="ctr">
      <a:solidFill>
        <a:schemeClr val="tx1">
          <a:tint val="75000"/>
          <a:shade val="95000"/>
          <a:satMod val="105000"/>
        </a:schemeClr>
      </a:solidFill>
      <a:prstDash val="solid"/>
      <a:round/>
    </a:ln>
    <a:effectLst>
      <a:outerShdw blurRad="50800" dist="50800" dir="5400000" algn="ctr" rotWithShape="0">
        <a:schemeClr val="accent6"/>
      </a:outerShdw>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rgbClr val="0070C0"/>
              </a:solidFill>
              <a:latin typeface="+mn-lt"/>
              <a:ea typeface="+mn-ea"/>
              <a:cs typeface="+mn-cs"/>
            </a:defRPr>
          </a:pPr>
          <a:endParaRPr lang="zh-CN"/>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一般公共预算财政拨款支出结构图</c:v>
                </c:pt>
              </c:strCache>
            </c:strRef>
          </c:tx>
          <c:dLbls>
            <c:dLbl>
              <c:idx val="0"/>
              <c:tx>
                <c:rich>
                  <a:bodyPr/>
                  <a:lstStyle/>
                  <a:p>
                    <a:r>
                      <a:rPr lang="en-US" altLang="zh-CN"/>
                      <a:t>76.99%</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E8-4744-B887-95B39ABD21B5}"/>
                </c:ext>
              </c:extLst>
            </c:dLbl>
            <c:dLbl>
              <c:idx val="1"/>
              <c:tx>
                <c:rich>
                  <a:bodyPr/>
                  <a:lstStyle/>
                  <a:p>
                    <a:r>
                      <a:rPr lang="en-US" altLang="en-US"/>
                      <a:t>0.02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E8-4744-B887-95B39ABD21B5}"/>
                </c:ext>
              </c:extLst>
            </c:dLbl>
            <c:dLbl>
              <c:idx val="2"/>
              <c:tx>
                <c:rich>
                  <a:bodyPr/>
                  <a:lstStyle/>
                  <a:p>
                    <a:r>
                      <a:rPr lang="en-US" altLang="en-US"/>
                      <a:t>9.72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E8-4744-B887-95B39ABD21B5}"/>
                </c:ext>
              </c:extLst>
            </c:dLbl>
            <c:dLbl>
              <c:idx val="3"/>
              <c:tx>
                <c:rich>
                  <a:bodyPr/>
                  <a:lstStyle/>
                  <a:p>
                    <a:r>
                      <a:rPr lang="en-US" altLang="en-US"/>
                      <a:t>2.98</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9E8-4744-B887-95B39ABD21B5}"/>
                </c:ext>
              </c:extLst>
            </c:dLbl>
            <c:dLbl>
              <c:idx val="4"/>
              <c:tx>
                <c:rich>
                  <a:bodyPr/>
                  <a:lstStyle/>
                  <a:p>
                    <a:r>
                      <a:rPr lang="en-US" altLang="en-US"/>
                      <a:t>10.29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9E8-4744-B887-95B39ABD21B5}"/>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一般公共服务</c:v>
                </c:pt>
                <c:pt idx="1">
                  <c:v>教育支出</c:v>
                </c:pt>
                <c:pt idx="2">
                  <c:v>社会保障和就业</c:v>
                </c:pt>
                <c:pt idx="3">
                  <c:v>卫生健康支出</c:v>
                </c:pt>
                <c:pt idx="4">
                  <c:v>住房保障支出</c:v>
                </c:pt>
              </c:strCache>
            </c:strRef>
          </c:cat>
          <c:val>
            <c:numRef>
              <c:f>Sheet1!$B$2:$B$6</c:f>
              <c:numCache>
                <c:formatCode>General</c:formatCode>
                <c:ptCount val="5"/>
                <c:pt idx="0">
                  <c:v>193.44</c:v>
                </c:pt>
                <c:pt idx="1">
                  <c:v>0.05</c:v>
                </c:pt>
                <c:pt idx="2">
                  <c:v>24.419999999999995</c:v>
                </c:pt>
                <c:pt idx="3">
                  <c:v>7.48</c:v>
                </c:pt>
                <c:pt idx="4">
                  <c:v>25.85</c:v>
                </c:pt>
              </c:numCache>
            </c:numRef>
          </c:val>
          <c:extLst>
            <c:ext xmlns:c16="http://schemas.microsoft.com/office/drawing/2014/chart" uri="{C3380CC4-5D6E-409C-BE32-E72D297353CC}">
              <c16:uniqueId val="{00000005-39E8-4744-B887-95B39ABD21B5}"/>
            </c:ext>
          </c:extLst>
        </c:ser>
        <c:dLbls>
          <c:showLegendKey val="0"/>
          <c:showVal val="1"/>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rgbClr val="0070C0"/>
              </a:solidFill>
              <a:latin typeface="+mn-lt"/>
              <a:ea typeface="+mn-ea"/>
              <a:cs typeface="+mn-cs"/>
            </a:defRPr>
          </a:pPr>
          <a:endParaRPr lang="zh-CN"/>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Sheet1!$B$1</c:f>
              <c:strCache>
                <c:ptCount val="1"/>
                <c:pt idx="0">
                  <c:v>“三公”经费支出结构图</c:v>
                </c:pt>
              </c:strCache>
            </c:strRef>
          </c:tx>
          <c:dLbls>
            <c:dLbl>
              <c:idx val="0"/>
              <c:layout>
                <c:manualLayout>
                  <c:x val="-8.8866368251811254E-2"/>
                  <c:y val="-0.2595500189342001"/>
                </c:manualLayout>
              </c:layout>
              <c:tx>
                <c:rich>
                  <a:bodyPr/>
                  <a:lstStyle/>
                  <a:p>
                    <a:r>
                      <a:rPr lang="en-US" altLang="en-US"/>
                      <a:t>73.39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121-4EDF-A29F-BC1E79367F1C}"/>
                </c:ext>
              </c:extLst>
            </c:dLbl>
            <c:dLbl>
              <c:idx val="1"/>
              <c:tx>
                <c:rich>
                  <a:bodyPr/>
                  <a:lstStyle/>
                  <a:p>
                    <a:r>
                      <a:rPr lang="en-US" altLang="en-US"/>
                      <a:t>26.61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21-4EDF-A29F-BC1E79367F1C}"/>
                </c:ext>
              </c:extLst>
            </c:dLbl>
            <c:dLbl>
              <c:idx val="2"/>
              <c:tx>
                <c:rich>
                  <a:bodyPr/>
                  <a:lstStyle/>
                  <a:p>
                    <a:r>
                      <a:rPr lang="en-US" altLang="en-US"/>
                      <a:t>0.00</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21-4EDF-A29F-BC1E79367F1C}"/>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公务接待费</c:v>
                </c:pt>
                <c:pt idx="1">
                  <c:v>公务用车运行维护费</c:v>
                </c:pt>
                <c:pt idx="2">
                  <c:v>因公出国（境）经费</c:v>
                </c:pt>
              </c:strCache>
            </c:strRef>
          </c:cat>
          <c:val>
            <c:numRef>
              <c:f>Sheet1!$B$2:$B$4</c:f>
              <c:numCache>
                <c:formatCode>General</c:formatCode>
                <c:ptCount val="3"/>
                <c:pt idx="0">
                  <c:v>9.1</c:v>
                </c:pt>
                <c:pt idx="1">
                  <c:v>3.3</c:v>
                </c:pt>
                <c:pt idx="2">
                  <c:v>0</c:v>
                </c:pt>
              </c:numCache>
            </c:numRef>
          </c:val>
          <c:extLst>
            <c:ext xmlns:c16="http://schemas.microsoft.com/office/drawing/2014/chart" uri="{C3380CC4-5D6E-409C-BE32-E72D297353CC}">
              <c16:uniqueId val="{00000003-5121-4EDF-A29F-BC1E79367F1C}"/>
            </c:ext>
          </c:extLst>
        </c:ser>
        <c:dLbls>
          <c:showLegendKey val="0"/>
          <c:showVal val="1"/>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4C8A7-447A-44C0-B095-FC6DCB2E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1503</Words>
  <Characters>8568</Characters>
  <Application>Microsoft Office Word</Application>
  <DocSecurity>0</DocSecurity>
  <Lines>71</Lines>
  <Paragraphs>20</Paragraphs>
  <ScaleCrop>false</ScaleCrop>
  <Company>四川省财政厅</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GUO WALTER</cp:lastModifiedBy>
  <cp:revision>71</cp:revision>
  <cp:lastPrinted>2021-07-29T03:56:00Z</cp:lastPrinted>
  <dcterms:created xsi:type="dcterms:W3CDTF">2020-08-04T01:49:00Z</dcterms:created>
  <dcterms:modified xsi:type="dcterms:W3CDTF">2022-11-30T07:42:00Z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B61F68307D0A4D899D44FA2DDC9E2D12</vt:lpwstr>
  </property>
</Properties>
</file>