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color w:val="000000"/>
          <w:sz w:val="30"/>
          <w:szCs w:val="30"/>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黑体" w:hAnsi="黑体" w:eastAsia="黑体" w:cs="黑体"/>
          <w:color w:val="000000"/>
          <w:sz w:val="62"/>
          <w:szCs w:val="62"/>
        </w:rPr>
      </w:pPr>
      <w:bookmarkStart w:id="1" w:name="_Toc15377193"/>
      <w:bookmarkStart w:id="2" w:name="_Toc15378441"/>
      <w:bookmarkStart w:id="3" w:name="_Toc15396597"/>
      <w:bookmarkStart w:id="4" w:name="_Toc15396475"/>
      <w:bookmarkStart w:id="5" w:name="_Toc15377425"/>
      <w:bookmarkStart w:id="6" w:name="_Toc15396476"/>
      <w:bookmarkStart w:id="7" w:name="_Toc15378442"/>
      <w:bookmarkStart w:id="8" w:name="_Toc15396598"/>
      <w:bookmarkStart w:id="9" w:name="_Toc15377194"/>
      <w:bookmarkStart w:id="10" w:name="_Toc15377426"/>
      <w:r>
        <w:rPr>
          <w:rFonts w:hint="eastAsia" w:ascii="黑体" w:hAnsi="黑体" w:eastAsia="黑体" w:cs="黑体"/>
          <w:color w:val="000000"/>
          <w:sz w:val="62"/>
          <w:szCs w:val="62"/>
        </w:rPr>
        <w:t>2020年度</w:t>
      </w:r>
      <w:bookmarkEnd w:id="1"/>
      <w:bookmarkEnd w:id="2"/>
      <w:bookmarkEnd w:id="3"/>
      <w:bookmarkEnd w:id="4"/>
      <w:bookmarkEnd w:id="5"/>
    </w:p>
    <w:p>
      <w:pPr>
        <w:spacing w:before="240"/>
        <w:jc w:val="center"/>
        <w:rPr>
          <w:rFonts w:ascii="黑体" w:hAnsi="黑体" w:eastAsia="黑体" w:cs="黑体"/>
          <w:sz w:val="62"/>
          <w:szCs w:val="72"/>
        </w:rPr>
      </w:pPr>
      <w:r>
        <w:rPr>
          <w:rFonts w:hint="eastAsia" w:ascii="黑体" w:hAnsi="黑体" w:eastAsia="黑体" w:cs="黑体"/>
          <w:sz w:val="62"/>
          <w:szCs w:val="72"/>
        </w:rPr>
        <w:t>四川省</w:t>
      </w:r>
      <w:r>
        <w:rPr>
          <w:rFonts w:hint="eastAsia" w:ascii="黑体" w:hAnsi="黑体" w:eastAsia="黑体" w:cs="黑体"/>
          <w:color w:val="0C0C0C"/>
          <w:sz w:val="62"/>
          <w:szCs w:val="72"/>
        </w:rPr>
        <w:t>文化产业发展促进中心（四川省对外文化交流中心）</w:t>
      </w:r>
    </w:p>
    <w:p>
      <w:pPr>
        <w:pStyle w:val="2"/>
        <w:adjustRightInd w:val="0"/>
        <w:spacing w:before="93" w:line="580" w:lineRule="exact"/>
        <w:rPr>
          <w:rFonts w:ascii="黑体" w:hAnsi="黑体" w:eastAsia="黑体" w:cs="黑体"/>
          <w:b/>
          <w:sz w:val="32"/>
        </w:rPr>
      </w:pPr>
    </w:p>
    <w:bookmarkEnd w:id="0"/>
    <w:p>
      <w:pPr>
        <w:adjustRightInd w:val="0"/>
        <w:snapToGrid w:val="0"/>
        <w:spacing w:line="360" w:lineRule="auto"/>
        <w:jc w:val="center"/>
        <w:outlineLvl w:val="0"/>
        <w:rPr>
          <w:rFonts w:ascii="黑体" w:hAnsi="黑体" w:eastAsia="黑体" w:cs="黑体"/>
          <w:sz w:val="62"/>
          <w:szCs w:val="62"/>
          <w:highlight w:val="red"/>
        </w:rPr>
      </w:pPr>
      <w:bookmarkStart w:id="11" w:name="_Toc15306268"/>
      <w:r>
        <w:rPr>
          <w:rFonts w:hint="eastAsia" w:ascii="黑体" w:hAnsi="黑体" w:eastAsia="黑体" w:cs="黑体"/>
          <w:sz w:val="62"/>
          <w:szCs w:val="62"/>
        </w:rPr>
        <w:t>单位决算</w:t>
      </w:r>
      <w:bookmarkEnd w:id="6"/>
      <w:bookmarkEnd w:id="7"/>
      <w:bookmarkEnd w:id="8"/>
      <w:bookmarkEnd w:id="9"/>
      <w:bookmarkEnd w:id="10"/>
      <w:bookmarkEnd w:id="11"/>
    </w:p>
    <w:p>
      <w:pPr>
        <w:widowControl/>
        <w:jc w:val="center"/>
        <w:rPr>
          <w:rFonts w:ascii="方正小标宋简体" w:hAnsi="宋体" w:eastAsia="方正小标宋简体"/>
          <w:sz w:val="36"/>
          <w:szCs w:val="36"/>
        </w:rPr>
        <w:sectPr>
          <w:headerReference r:id="rId5" w:type="first"/>
          <w:footerReference r:id="rId8" w:type="first"/>
          <w:headerReference r:id="rId3" w:type="default"/>
          <w:footerReference r:id="rId6" w:type="default"/>
          <w:headerReference r:id="rId4" w:type="even"/>
          <w:footerReference r:id="rId7" w:type="even"/>
          <w:pgSz w:w="11907" w:h="16840"/>
          <w:pgMar w:top="1701" w:right="1588" w:bottom="1701" w:left="1588" w:header="851" w:footer="992" w:gutter="0"/>
          <w:pgNumType w:start="1"/>
          <w:cols w:space="425" w:num="1"/>
          <w:titlePg/>
          <w:docGrid w:type="lines" w:linePitch="312" w:charSpace="0"/>
        </w:sectPr>
      </w:pPr>
    </w:p>
    <w:p>
      <w:pPr>
        <w:widowControl/>
        <w:jc w:val="center"/>
        <w:rPr>
          <w:rFonts w:ascii="黑体" w:hAnsi="黑体" w:eastAsia="黑体"/>
          <w:sz w:val="48"/>
          <w:szCs w:val="48"/>
        </w:rPr>
      </w:pPr>
      <w:r>
        <w:rPr>
          <w:rFonts w:hint="eastAsia" w:ascii="黑体" w:hAnsi="黑体" w:eastAsia="黑体"/>
          <w:sz w:val="48"/>
          <w:szCs w:val="48"/>
        </w:rPr>
        <w:t>目  录</w:t>
      </w:r>
    </w:p>
    <w:p>
      <w:pPr>
        <w:widowControl/>
        <w:jc w:val="center"/>
        <w:rPr>
          <w:rFonts w:ascii="黑体" w:hAnsi="黑体" w:eastAsia="黑体" w:cstheme="minorBidi"/>
          <w:sz w:val="28"/>
          <w:szCs w:val="28"/>
        </w:rPr>
      </w:pPr>
    </w:p>
    <w:p>
      <w:pPr>
        <w:pStyle w:val="10"/>
        <w:rPr>
          <w:rFonts w:ascii="仿宋_GB2312" w:eastAsia="仿宋_GB2312"/>
          <w:sz w:val="32"/>
          <w:szCs w:val="32"/>
        </w:rPr>
      </w:pPr>
      <w:r>
        <w:rPr>
          <w:rFonts w:hint="eastAsia" w:ascii="仿宋_GB2312" w:eastAsia="仿宋_GB2312"/>
          <w:sz w:val="32"/>
          <w:szCs w:val="32"/>
        </w:rPr>
        <w:t>公开时间：2021年9月10日</w:t>
      </w:r>
    </w:p>
    <w:p>
      <w:pPr>
        <w:rPr>
          <w:rFonts w:ascii="仿宋_GB2312" w:eastAsia="仿宋_GB2312"/>
          <w:sz w:val="32"/>
          <w:szCs w:val="32"/>
        </w:rPr>
      </w:pPr>
    </w:p>
    <w:p>
      <w:pPr>
        <w:pStyle w:val="10"/>
        <w:adjustRightInd w:val="0"/>
        <w:snapToGrid w:val="0"/>
        <w:spacing w:before="0" w:line="440" w:lineRule="exact"/>
        <w:jc w:val="left"/>
        <w:rPr>
          <w:rFonts w:ascii="仿宋_GB2312" w:hAnsi="黑体" w:eastAsia="仿宋_GB2312" w:cstheme="minorBidi"/>
          <w:b/>
          <w:sz w:val="24"/>
          <w:szCs w:val="24"/>
        </w:rPr>
      </w:pPr>
      <w:r>
        <w:rPr>
          <w:rFonts w:hint="eastAsia" w:ascii="仿宋_GB2312" w:hAnsi="黑体" w:eastAsia="仿宋_GB2312"/>
          <w:b/>
          <w:sz w:val="24"/>
          <w:szCs w:val="24"/>
        </w:rPr>
        <w:t>第一部分单位概况</w:t>
      </w:r>
    </w:p>
    <w:p>
      <w:pPr>
        <w:pStyle w:val="11"/>
        <w:adjustRightInd w:val="0"/>
        <w:snapToGrid w:val="0"/>
        <w:spacing w:line="440" w:lineRule="exact"/>
        <w:ind w:left="0" w:leftChars="0" w:firstLine="530" w:firstLineChars="221"/>
        <w:jc w:val="left"/>
        <w:rPr>
          <w:rFonts w:ascii="宋体" w:hAnsi="宋体"/>
          <w:sz w:val="24"/>
        </w:rPr>
      </w:pPr>
      <w:r>
        <w:rPr>
          <w:rFonts w:hint="eastAsia" w:ascii="宋体" w:hAnsi="宋体"/>
          <w:sz w:val="24"/>
        </w:rPr>
        <w:t>一、职能简介</w:t>
      </w:r>
    </w:p>
    <w:p>
      <w:pPr>
        <w:pStyle w:val="11"/>
        <w:adjustRightInd w:val="0"/>
        <w:snapToGrid w:val="0"/>
        <w:spacing w:line="440" w:lineRule="exact"/>
        <w:ind w:left="1" w:leftChars="0" w:firstLine="530" w:firstLineChars="221"/>
        <w:jc w:val="left"/>
        <w:rPr>
          <w:rFonts w:ascii="仿宋_GB2312" w:eastAsia="仿宋_GB2312" w:hAnsiTheme="minorEastAsia" w:cstheme="minorEastAsia"/>
          <w:sz w:val="32"/>
          <w:szCs w:val="32"/>
        </w:rPr>
      </w:pPr>
      <w:r>
        <w:rPr>
          <w:rFonts w:hint="eastAsia" w:ascii="宋体" w:hAnsi="宋体" w:cstheme="minorEastAsia"/>
          <w:sz w:val="24"/>
        </w:rPr>
        <w:t>二、2020年重点工作完成情况</w:t>
      </w:r>
    </w:p>
    <w:p>
      <w:pPr>
        <w:pStyle w:val="10"/>
        <w:adjustRightInd w:val="0"/>
        <w:snapToGrid w:val="0"/>
        <w:spacing w:before="0" w:line="440" w:lineRule="exact"/>
        <w:jc w:val="left"/>
        <w:rPr>
          <w:rFonts w:ascii="仿宋_GB2312" w:hAnsi="黑体" w:eastAsia="仿宋_GB2312"/>
          <w:b/>
          <w:sz w:val="24"/>
          <w:szCs w:val="24"/>
        </w:rPr>
      </w:pPr>
      <w:r>
        <w:rPr>
          <w:rFonts w:hint="eastAsia" w:ascii="仿宋_GB2312" w:hAnsi="黑体" w:eastAsia="仿宋_GB2312"/>
          <w:b/>
          <w:sz w:val="24"/>
          <w:szCs w:val="24"/>
        </w:rPr>
        <w:t>第二部分 2020年度单位决算情况说明</w:t>
      </w:r>
    </w:p>
    <w:p>
      <w:pPr>
        <w:pStyle w:val="11"/>
        <w:adjustRightInd w:val="0"/>
        <w:snapToGrid w:val="0"/>
        <w:spacing w:line="440" w:lineRule="exact"/>
        <w:ind w:left="0" w:leftChars="0" w:firstLine="530" w:firstLineChars="221"/>
        <w:jc w:val="left"/>
        <w:rPr>
          <w:rFonts w:ascii="宋体" w:hAnsi="宋体"/>
          <w:sz w:val="24"/>
        </w:rPr>
      </w:pPr>
      <w:r>
        <w:rPr>
          <w:rFonts w:hint="eastAsia" w:ascii="宋体" w:hAnsi="宋体"/>
          <w:sz w:val="24"/>
        </w:rPr>
        <w:t>一、收入支出决算总体情况说明</w:t>
      </w:r>
    </w:p>
    <w:p>
      <w:pPr>
        <w:pStyle w:val="11"/>
        <w:adjustRightInd w:val="0"/>
        <w:snapToGrid w:val="0"/>
        <w:spacing w:line="440" w:lineRule="exact"/>
        <w:ind w:left="0" w:leftChars="0" w:firstLine="530" w:firstLineChars="221"/>
        <w:jc w:val="left"/>
        <w:rPr>
          <w:rFonts w:ascii="宋体" w:hAnsi="宋体"/>
          <w:sz w:val="24"/>
        </w:rPr>
      </w:pPr>
      <w:r>
        <w:rPr>
          <w:rFonts w:hint="eastAsia" w:ascii="宋体" w:hAnsi="宋体"/>
          <w:sz w:val="24"/>
        </w:rPr>
        <w:t>二、收入决算情况说明</w:t>
      </w:r>
    </w:p>
    <w:p>
      <w:pPr>
        <w:pStyle w:val="11"/>
        <w:adjustRightInd w:val="0"/>
        <w:snapToGrid w:val="0"/>
        <w:spacing w:line="440" w:lineRule="exact"/>
        <w:ind w:left="0" w:leftChars="0" w:firstLine="530" w:firstLineChars="221"/>
        <w:jc w:val="left"/>
        <w:rPr>
          <w:rFonts w:ascii="宋体" w:hAnsi="宋体"/>
          <w:sz w:val="24"/>
        </w:rPr>
      </w:pPr>
      <w:r>
        <w:rPr>
          <w:rFonts w:hint="eastAsia" w:ascii="宋体" w:hAnsi="宋体"/>
          <w:sz w:val="24"/>
        </w:rPr>
        <w:t>三、支出决算情况说明</w:t>
      </w:r>
    </w:p>
    <w:p>
      <w:pPr>
        <w:pStyle w:val="11"/>
        <w:adjustRightInd w:val="0"/>
        <w:snapToGrid w:val="0"/>
        <w:spacing w:line="440" w:lineRule="exact"/>
        <w:ind w:left="0" w:leftChars="0" w:firstLine="530" w:firstLineChars="221"/>
        <w:jc w:val="left"/>
        <w:rPr>
          <w:rFonts w:ascii="宋体" w:hAnsi="宋体"/>
          <w:sz w:val="24"/>
        </w:rPr>
      </w:pPr>
      <w:r>
        <w:rPr>
          <w:rFonts w:hint="eastAsia" w:ascii="宋体" w:hAnsi="宋体"/>
          <w:sz w:val="24"/>
        </w:rPr>
        <w:t>四、财政拨款收入支出决算总体情况说明</w:t>
      </w:r>
    </w:p>
    <w:p>
      <w:pPr>
        <w:pStyle w:val="11"/>
        <w:adjustRightInd w:val="0"/>
        <w:snapToGrid w:val="0"/>
        <w:spacing w:line="440" w:lineRule="exact"/>
        <w:ind w:left="0" w:leftChars="0" w:firstLine="530" w:firstLineChars="221"/>
        <w:jc w:val="left"/>
        <w:rPr>
          <w:rFonts w:ascii="宋体" w:hAnsi="宋体"/>
          <w:sz w:val="24"/>
        </w:rPr>
      </w:pPr>
      <w:r>
        <w:rPr>
          <w:rFonts w:hint="eastAsia" w:ascii="宋体" w:hAnsi="宋体"/>
          <w:sz w:val="24"/>
        </w:rPr>
        <w:t>五、一般公共预算财政拨款支出决算情况说明</w:t>
      </w:r>
    </w:p>
    <w:p>
      <w:pPr>
        <w:pStyle w:val="11"/>
        <w:adjustRightInd w:val="0"/>
        <w:snapToGrid w:val="0"/>
        <w:spacing w:line="440" w:lineRule="exact"/>
        <w:ind w:left="0" w:leftChars="0" w:firstLine="530" w:firstLineChars="221"/>
        <w:jc w:val="left"/>
        <w:rPr>
          <w:rFonts w:ascii="宋体" w:hAnsi="宋体"/>
          <w:sz w:val="24"/>
        </w:rPr>
      </w:pPr>
      <w:r>
        <w:rPr>
          <w:rFonts w:hint="eastAsia" w:ascii="宋体" w:hAnsi="宋体"/>
          <w:sz w:val="24"/>
        </w:rPr>
        <w:t>六、一般公共预算财政拨款基本支出决算情况说明</w:t>
      </w:r>
    </w:p>
    <w:p>
      <w:pPr>
        <w:pStyle w:val="11"/>
        <w:adjustRightInd w:val="0"/>
        <w:snapToGrid w:val="0"/>
        <w:spacing w:line="440" w:lineRule="exact"/>
        <w:ind w:left="0" w:leftChars="0" w:firstLine="530" w:firstLineChars="221"/>
        <w:jc w:val="left"/>
        <w:rPr>
          <w:rFonts w:ascii="宋体" w:hAnsi="宋体"/>
          <w:sz w:val="24"/>
        </w:rPr>
      </w:pPr>
      <w:r>
        <w:rPr>
          <w:rFonts w:hint="eastAsia" w:ascii="宋体" w:hAnsi="宋体"/>
          <w:sz w:val="24"/>
        </w:rPr>
        <w:t>七、“三公”经费财政拨款支出决算情况说明</w:t>
      </w:r>
    </w:p>
    <w:p>
      <w:pPr>
        <w:pStyle w:val="11"/>
        <w:adjustRightInd w:val="0"/>
        <w:snapToGrid w:val="0"/>
        <w:spacing w:line="440" w:lineRule="exact"/>
        <w:ind w:left="0" w:leftChars="0" w:firstLine="530" w:firstLineChars="221"/>
        <w:jc w:val="left"/>
        <w:rPr>
          <w:rFonts w:ascii="宋体" w:hAnsi="宋体"/>
          <w:sz w:val="24"/>
        </w:rPr>
      </w:pPr>
      <w:r>
        <w:rPr>
          <w:rFonts w:hint="eastAsia" w:ascii="宋体" w:hAnsi="宋体"/>
          <w:sz w:val="24"/>
        </w:rPr>
        <w:t>八、政府性基金预算支出决算情况说明</w:t>
      </w:r>
    </w:p>
    <w:p>
      <w:pPr>
        <w:pStyle w:val="11"/>
        <w:adjustRightInd w:val="0"/>
        <w:snapToGrid w:val="0"/>
        <w:spacing w:line="440" w:lineRule="exact"/>
        <w:ind w:left="0" w:leftChars="0" w:firstLine="530" w:firstLineChars="221"/>
        <w:jc w:val="left"/>
        <w:rPr>
          <w:rFonts w:ascii="宋体" w:hAnsi="宋体"/>
          <w:sz w:val="24"/>
        </w:rPr>
      </w:pPr>
      <w:r>
        <w:rPr>
          <w:rFonts w:hint="eastAsia" w:ascii="宋体" w:hAnsi="宋体"/>
          <w:sz w:val="24"/>
        </w:rPr>
        <w:t>九、国有资本经营预算支出决算情况说明</w:t>
      </w:r>
    </w:p>
    <w:p>
      <w:pPr>
        <w:pStyle w:val="11"/>
        <w:adjustRightInd w:val="0"/>
        <w:snapToGrid w:val="0"/>
        <w:spacing w:line="440" w:lineRule="exact"/>
        <w:ind w:left="0" w:leftChars="0" w:firstLine="530" w:firstLineChars="221"/>
        <w:jc w:val="left"/>
        <w:rPr>
          <w:rFonts w:ascii="仿宋_GB2312" w:eastAsia="仿宋_GB2312"/>
          <w:sz w:val="32"/>
          <w:szCs w:val="32"/>
        </w:rPr>
      </w:pPr>
      <w:r>
        <w:rPr>
          <w:rFonts w:hint="eastAsia" w:ascii="宋体" w:hAnsi="宋体"/>
          <w:sz w:val="24"/>
        </w:rPr>
        <w:t>十、其他重要事项的情况说明</w:t>
      </w:r>
    </w:p>
    <w:p>
      <w:pPr>
        <w:pStyle w:val="10"/>
        <w:adjustRightInd w:val="0"/>
        <w:snapToGrid w:val="0"/>
        <w:spacing w:before="0" w:line="440" w:lineRule="exact"/>
        <w:jc w:val="left"/>
        <w:rPr>
          <w:rFonts w:ascii="仿宋_GB2312" w:hAnsi="黑体" w:eastAsia="仿宋_GB2312"/>
          <w:b/>
          <w:sz w:val="24"/>
          <w:szCs w:val="24"/>
        </w:rPr>
      </w:pPr>
      <w:r>
        <w:rPr>
          <w:rFonts w:hint="eastAsia" w:ascii="仿宋_GB2312" w:hAnsi="黑体" w:eastAsia="仿宋_GB2312"/>
          <w:b/>
          <w:sz w:val="24"/>
          <w:szCs w:val="24"/>
        </w:rPr>
        <w:t>第三部分 名词解释</w:t>
      </w:r>
    </w:p>
    <w:p>
      <w:pPr>
        <w:pStyle w:val="10"/>
        <w:adjustRightInd w:val="0"/>
        <w:snapToGrid w:val="0"/>
        <w:spacing w:before="0" w:line="440" w:lineRule="exact"/>
        <w:jc w:val="left"/>
        <w:rPr>
          <w:rFonts w:ascii="仿宋_GB2312" w:hAnsi="黑体" w:eastAsia="仿宋_GB2312"/>
          <w:b/>
          <w:sz w:val="24"/>
          <w:szCs w:val="24"/>
        </w:rPr>
      </w:pPr>
      <w:r>
        <w:rPr>
          <w:rFonts w:hint="eastAsia" w:ascii="仿宋_GB2312" w:hAnsi="黑体" w:eastAsia="仿宋_GB2312"/>
          <w:b/>
          <w:sz w:val="24"/>
          <w:szCs w:val="24"/>
        </w:rPr>
        <w:t>第四部分 附件</w:t>
      </w:r>
    </w:p>
    <w:p>
      <w:pPr>
        <w:pStyle w:val="10"/>
        <w:adjustRightInd w:val="0"/>
        <w:snapToGrid w:val="0"/>
        <w:spacing w:before="0" w:line="440" w:lineRule="exact"/>
        <w:jc w:val="left"/>
        <w:rPr>
          <w:rFonts w:ascii="黑体" w:hAnsi="黑体" w:eastAsia="黑体" w:cstheme="minorBidi"/>
          <w:b/>
          <w:sz w:val="32"/>
          <w:szCs w:val="32"/>
        </w:rPr>
      </w:pPr>
      <w:r>
        <w:rPr>
          <w:rFonts w:hint="eastAsia" w:ascii="仿宋_GB2312" w:hAnsi="黑体" w:eastAsia="仿宋_GB2312"/>
          <w:b/>
          <w:sz w:val="24"/>
          <w:szCs w:val="24"/>
        </w:rPr>
        <w:t>第五部分 附表</w:t>
      </w:r>
    </w:p>
    <w:p>
      <w:pPr>
        <w:pStyle w:val="11"/>
        <w:adjustRightInd w:val="0"/>
        <w:snapToGrid w:val="0"/>
        <w:spacing w:line="440" w:lineRule="exact"/>
        <w:ind w:left="0" w:leftChars="0" w:firstLine="530" w:firstLineChars="221"/>
        <w:jc w:val="left"/>
        <w:rPr>
          <w:rFonts w:ascii="宋体" w:hAnsi="宋体"/>
          <w:sz w:val="24"/>
        </w:rPr>
      </w:pPr>
      <w:r>
        <w:rPr>
          <w:rFonts w:hint="eastAsia" w:ascii="宋体" w:hAnsi="宋体"/>
          <w:sz w:val="24"/>
        </w:rPr>
        <w:t>一、收入支出决算总表</w:t>
      </w:r>
    </w:p>
    <w:p>
      <w:pPr>
        <w:pStyle w:val="11"/>
        <w:adjustRightInd w:val="0"/>
        <w:snapToGrid w:val="0"/>
        <w:spacing w:line="440" w:lineRule="exact"/>
        <w:ind w:left="0" w:leftChars="0" w:firstLine="530" w:firstLineChars="221"/>
        <w:jc w:val="left"/>
        <w:rPr>
          <w:rFonts w:ascii="宋体" w:hAnsi="宋体"/>
          <w:sz w:val="24"/>
        </w:rPr>
      </w:pPr>
      <w:r>
        <w:rPr>
          <w:rFonts w:hint="eastAsia" w:ascii="宋体" w:hAnsi="宋体"/>
          <w:sz w:val="24"/>
        </w:rPr>
        <w:t>二、收入决算表</w:t>
      </w:r>
    </w:p>
    <w:p>
      <w:pPr>
        <w:pStyle w:val="11"/>
        <w:adjustRightInd w:val="0"/>
        <w:snapToGrid w:val="0"/>
        <w:spacing w:line="440" w:lineRule="exact"/>
        <w:ind w:left="0" w:leftChars="0" w:firstLine="530" w:firstLineChars="221"/>
        <w:jc w:val="left"/>
        <w:rPr>
          <w:rFonts w:ascii="宋体" w:hAnsi="宋体"/>
          <w:sz w:val="24"/>
        </w:rPr>
      </w:pPr>
      <w:r>
        <w:rPr>
          <w:rFonts w:hint="eastAsia" w:ascii="宋体" w:hAnsi="宋体"/>
          <w:sz w:val="24"/>
        </w:rPr>
        <w:t>三、支出决算表</w:t>
      </w:r>
    </w:p>
    <w:p>
      <w:pPr>
        <w:pStyle w:val="11"/>
        <w:adjustRightInd w:val="0"/>
        <w:snapToGrid w:val="0"/>
        <w:spacing w:line="440" w:lineRule="exact"/>
        <w:ind w:left="0" w:leftChars="0" w:firstLine="530" w:firstLineChars="221"/>
        <w:jc w:val="left"/>
        <w:rPr>
          <w:rFonts w:ascii="宋体" w:hAnsi="宋体"/>
          <w:sz w:val="24"/>
        </w:rPr>
      </w:pPr>
      <w:r>
        <w:rPr>
          <w:rFonts w:hint="eastAsia" w:ascii="宋体" w:hAnsi="宋体"/>
          <w:sz w:val="24"/>
        </w:rPr>
        <w:t>四、财政拨款收入支出决算总表</w:t>
      </w:r>
    </w:p>
    <w:p>
      <w:pPr>
        <w:pStyle w:val="11"/>
        <w:adjustRightInd w:val="0"/>
        <w:snapToGrid w:val="0"/>
        <w:spacing w:line="440" w:lineRule="exact"/>
        <w:ind w:left="0" w:leftChars="0" w:firstLine="530" w:firstLineChars="221"/>
        <w:jc w:val="left"/>
        <w:rPr>
          <w:rFonts w:ascii="仿宋_GB2312" w:eastAsia="仿宋_GB2312"/>
          <w:sz w:val="32"/>
          <w:szCs w:val="32"/>
        </w:rPr>
      </w:pPr>
      <w:r>
        <w:rPr>
          <w:rFonts w:hint="eastAsia" w:ascii="宋体" w:hAnsi="宋体"/>
          <w:sz w:val="24"/>
        </w:rPr>
        <w:t>五、财政拨款支出决算明细表</w:t>
      </w:r>
    </w:p>
    <w:p>
      <w:pPr>
        <w:pStyle w:val="11"/>
        <w:adjustRightInd w:val="0"/>
        <w:snapToGrid w:val="0"/>
        <w:spacing w:line="440" w:lineRule="exact"/>
        <w:ind w:left="0" w:leftChars="0" w:firstLine="530" w:firstLineChars="221"/>
        <w:jc w:val="left"/>
        <w:rPr>
          <w:rFonts w:ascii="宋体" w:hAnsi="宋体"/>
          <w:sz w:val="24"/>
        </w:rPr>
      </w:pPr>
      <w:r>
        <w:rPr>
          <w:rFonts w:hint="eastAsia" w:ascii="宋体" w:hAnsi="宋体"/>
          <w:sz w:val="24"/>
        </w:rPr>
        <w:t>六、一般公共预算财政拨款支出决算表</w:t>
      </w:r>
    </w:p>
    <w:p>
      <w:pPr>
        <w:pStyle w:val="11"/>
        <w:adjustRightInd w:val="0"/>
        <w:snapToGrid w:val="0"/>
        <w:spacing w:line="440" w:lineRule="exact"/>
        <w:ind w:left="0" w:leftChars="0" w:firstLine="530" w:firstLineChars="221"/>
        <w:jc w:val="left"/>
        <w:rPr>
          <w:rFonts w:ascii="宋体" w:hAnsi="宋体"/>
          <w:sz w:val="24"/>
        </w:rPr>
      </w:pPr>
      <w:r>
        <w:rPr>
          <w:rFonts w:hint="eastAsia" w:ascii="宋体" w:hAnsi="宋体"/>
          <w:sz w:val="24"/>
        </w:rPr>
        <w:t>七、一般公共预算财政拨款支出决算明细表</w:t>
      </w:r>
    </w:p>
    <w:p>
      <w:pPr>
        <w:pStyle w:val="11"/>
        <w:adjustRightInd w:val="0"/>
        <w:snapToGrid w:val="0"/>
        <w:spacing w:line="440" w:lineRule="exact"/>
        <w:ind w:left="0" w:leftChars="0" w:firstLine="530" w:firstLineChars="221"/>
        <w:jc w:val="left"/>
        <w:rPr>
          <w:rFonts w:ascii="宋体" w:hAnsi="宋体"/>
          <w:sz w:val="24"/>
        </w:rPr>
      </w:pPr>
      <w:r>
        <w:rPr>
          <w:rFonts w:hint="eastAsia" w:ascii="宋体" w:hAnsi="宋体"/>
          <w:sz w:val="24"/>
        </w:rPr>
        <w:t>八、一般公共预算财政拨款基本支出决算表</w:t>
      </w:r>
    </w:p>
    <w:p>
      <w:pPr>
        <w:pStyle w:val="11"/>
        <w:adjustRightInd w:val="0"/>
        <w:snapToGrid w:val="0"/>
        <w:spacing w:line="440" w:lineRule="exact"/>
        <w:ind w:left="0" w:leftChars="0" w:firstLine="530" w:firstLineChars="221"/>
        <w:jc w:val="left"/>
        <w:rPr>
          <w:rFonts w:ascii="宋体" w:hAnsi="宋体"/>
          <w:sz w:val="24"/>
        </w:rPr>
      </w:pPr>
      <w:r>
        <w:rPr>
          <w:rFonts w:hint="eastAsia" w:ascii="宋体" w:hAnsi="宋体"/>
          <w:sz w:val="24"/>
        </w:rPr>
        <w:t>九、一般公共预算财政拨款项目支出决算表</w:t>
      </w:r>
    </w:p>
    <w:p>
      <w:pPr>
        <w:pStyle w:val="11"/>
        <w:adjustRightInd w:val="0"/>
        <w:snapToGrid w:val="0"/>
        <w:spacing w:line="440" w:lineRule="exact"/>
        <w:ind w:left="0" w:leftChars="0" w:firstLine="530" w:firstLineChars="221"/>
        <w:jc w:val="left"/>
        <w:rPr>
          <w:rFonts w:ascii="宋体" w:hAnsi="宋体"/>
          <w:sz w:val="24"/>
        </w:rPr>
      </w:pPr>
      <w:r>
        <w:rPr>
          <w:rFonts w:hint="eastAsia" w:ascii="宋体" w:hAnsi="宋体"/>
          <w:sz w:val="24"/>
        </w:rPr>
        <w:t>十、一般公共预算财政拨款“三公”经费支出决算表</w:t>
      </w:r>
    </w:p>
    <w:p>
      <w:pPr>
        <w:pStyle w:val="11"/>
        <w:adjustRightInd w:val="0"/>
        <w:snapToGrid w:val="0"/>
        <w:spacing w:line="440" w:lineRule="exact"/>
        <w:ind w:left="0" w:leftChars="0" w:firstLine="530" w:firstLineChars="221"/>
        <w:jc w:val="left"/>
        <w:rPr>
          <w:rFonts w:ascii="宋体" w:hAnsi="宋体"/>
          <w:sz w:val="24"/>
        </w:rPr>
      </w:pPr>
      <w:r>
        <w:rPr>
          <w:rFonts w:hint="eastAsia" w:ascii="宋体" w:hAnsi="宋体"/>
          <w:sz w:val="24"/>
        </w:rPr>
        <w:t>十一、政府性基金预算财政拨款收入支出决算表</w:t>
      </w:r>
    </w:p>
    <w:p>
      <w:pPr>
        <w:pStyle w:val="11"/>
        <w:adjustRightInd w:val="0"/>
        <w:snapToGrid w:val="0"/>
        <w:spacing w:line="440" w:lineRule="exact"/>
        <w:ind w:left="0" w:leftChars="0" w:firstLine="530" w:firstLineChars="221"/>
        <w:jc w:val="left"/>
        <w:rPr>
          <w:rFonts w:ascii="宋体" w:hAnsi="宋体"/>
          <w:sz w:val="24"/>
        </w:rPr>
      </w:pPr>
      <w:r>
        <w:rPr>
          <w:rFonts w:hint="eastAsia" w:ascii="宋体" w:hAnsi="宋体"/>
          <w:sz w:val="24"/>
        </w:rPr>
        <w:t>十二、政府性基金预算财政拨款“三公”经费支出决算表</w:t>
      </w:r>
    </w:p>
    <w:p>
      <w:pPr>
        <w:pStyle w:val="11"/>
        <w:adjustRightInd w:val="0"/>
        <w:snapToGrid w:val="0"/>
        <w:spacing w:line="440" w:lineRule="exact"/>
        <w:ind w:left="0" w:leftChars="0" w:firstLine="530" w:firstLineChars="221"/>
        <w:jc w:val="left"/>
        <w:rPr>
          <w:rFonts w:ascii="宋体" w:hAnsi="宋体"/>
          <w:sz w:val="24"/>
        </w:rPr>
      </w:pPr>
      <w:r>
        <w:rPr>
          <w:rFonts w:hint="eastAsia" w:ascii="宋体" w:hAnsi="宋体"/>
          <w:sz w:val="24"/>
        </w:rPr>
        <w:t>十三、国有资本经营预算财政拨款收入支出决算表</w:t>
      </w:r>
    </w:p>
    <w:p>
      <w:pPr>
        <w:pStyle w:val="11"/>
        <w:adjustRightInd w:val="0"/>
        <w:snapToGrid w:val="0"/>
        <w:spacing w:line="440" w:lineRule="exact"/>
        <w:ind w:left="0" w:leftChars="0" w:firstLine="530" w:firstLineChars="221"/>
        <w:jc w:val="left"/>
        <w:rPr>
          <w:rFonts w:ascii="仿宋_GB2312" w:eastAsia="仿宋_GB2312"/>
          <w:sz w:val="32"/>
          <w:szCs w:val="32"/>
        </w:rPr>
      </w:pPr>
      <w:r>
        <w:rPr>
          <w:rFonts w:hint="eastAsia" w:ascii="宋体" w:hAnsi="宋体"/>
          <w:sz w:val="24"/>
        </w:rPr>
        <w:t>十四、国有资本经营预算财政拨款支出决算表</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25"/>
          <w:rFonts w:ascii="黑体" w:hAnsi="黑体" w:eastAsia="黑体"/>
          <w:b/>
          <w:bCs w:val="0"/>
        </w:rPr>
      </w:pPr>
      <w:r>
        <w:rPr>
          <w:rFonts w:hint="eastAsia" w:ascii="黑体" w:hAnsi="黑体" w:eastAsia="黑体"/>
          <w:b w:val="0"/>
        </w:rPr>
        <w:t>第一部分 单位</w:t>
      </w:r>
      <w:r>
        <w:rPr>
          <w:rStyle w:val="25"/>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ind w:firstLine="640" w:firstLineChars="200"/>
      </w:pPr>
      <w:bookmarkStart w:id="14" w:name="_Toc15377197"/>
      <w:bookmarkStart w:id="15" w:name="_Toc15396600"/>
      <w:r>
        <w:rPr>
          <w:rStyle w:val="26"/>
          <w:rFonts w:hint="eastAsia" w:ascii="黑体" w:hAnsi="黑体" w:eastAsia="黑体"/>
          <w:b w:val="0"/>
          <w:bCs w:val="0"/>
        </w:rPr>
        <w:t>一、职能简介</w:t>
      </w:r>
    </w:p>
    <w:p>
      <w:pPr>
        <w:snapToGrid w:val="0"/>
        <w:spacing w:line="58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1.主要职能。</w:t>
      </w:r>
    </w:p>
    <w:p>
      <w:pPr>
        <w:spacing w:line="580" w:lineRule="exact"/>
        <w:ind w:firstLine="640" w:firstLineChars="200"/>
        <w:rPr>
          <w:rFonts w:ascii="仿宋" w:hAnsi="仿宋" w:eastAsia="仿宋"/>
          <w:sz w:val="32"/>
          <w:szCs w:val="32"/>
        </w:rPr>
      </w:pPr>
      <w:r>
        <w:rPr>
          <w:rFonts w:hint="eastAsia" w:ascii="仿宋_GB2312" w:hAnsi="仿宋" w:eastAsia="仿宋_GB2312"/>
          <w:sz w:val="32"/>
          <w:szCs w:val="32"/>
        </w:rPr>
        <w:t>宗旨和业务范围：围绕省委宣传部中心工作，负责策划、组织开展以及实施全省宣传综合性文化产业项目和文化交流工作。</w:t>
      </w:r>
    </w:p>
    <w:p>
      <w:pPr>
        <w:snapToGrid w:val="0"/>
        <w:spacing w:line="58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2．机构情况。</w:t>
      </w:r>
    </w:p>
    <w:p>
      <w:pPr>
        <w:spacing w:line="580" w:lineRule="exact"/>
        <w:ind w:firstLine="640" w:firstLineChars="200"/>
        <w:rPr>
          <w:rFonts w:ascii="仿宋" w:hAnsi="仿宋" w:eastAsia="仿宋"/>
          <w:sz w:val="32"/>
          <w:szCs w:val="32"/>
        </w:rPr>
      </w:pPr>
      <w:r>
        <w:rPr>
          <w:rFonts w:hint="eastAsia" w:ascii="仿宋_GB2312" w:hAnsi="仿宋" w:eastAsia="仿宋_GB2312"/>
          <w:sz w:val="32"/>
          <w:szCs w:val="32"/>
        </w:rPr>
        <w:t>四川省对外文化交流中心成立于1984年12月，根椐《中共四川省委机构编制委员会关于省属国有文化资产监督管理委员会办公室机构设置有关事项的批复》（川编发〔2017〕44号）文件精神, 四川省对外文化交流中心调整为四川省文化产业发展促进中心（四川省对外文化交流中心），简称：省文产（交流）中心，属财政全额拨款预算的县团级公益一类事业单位，核定事业编制18人。年未实际在职2人，退休3人，长期聘用7人。二级预算单位，执行政府会计制度。</w:t>
      </w:r>
    </w:p>
    <w:p>
      <w:pPr>
        <w:pStyle w:val="4"/>
        <w:ind w:firstLine="640" w:firstLineChars="200"/>
        <w:rPr>
          <w:rFonts w:ascii="黑体" w:hAnsi="黑体" w:eastAsia="黑体"/>
          <w:b w:val="0"/>
        </w:rPr>
      </w:pPr>
      <w:r>
        <w:rPr>
          <w:rStyle w:val="26"/>
          <w:rFonts w:hint="eastAsia" w:ascii="黑体" w:hAnsi="黑体" w:eastAsia="黑体"/>
          <w:b w:val="0"/>
          <w:bCs w:val="0"/>
        </w:rPr>
        <w:t>二、 2020年重点工作</w:t>
      </w:r>
      <w:bookmarkEnd w:id="14"/>
      <w:bookmarkEnd w:id="15"/>
      <w:r>
        <w:rPr>
          <w:rStyle w:val="26"/>
          <w:rFonts w:hint="eastAsia" w:ascii="黑体" w:hAnsi="黑体" w:eastAsia="黑体"/>
          <w:b w:val="0"/>
          <w:bCs w:val="0"/>
        </w:rPr>
        <w:t>完成情况</w:t>
      </w:r>
    </w:p>
    <w:p>
      <w:pPr>
        <w:spacing w:line="360" w:lineRule="auto"/>
        <w:ind w:firstLine="707" w:firstLineChars="221"/>
        <w:rPr>
          <w:rFonts w:ascii="仿宋_GB2312" w:hAnsi="仿宋" w:eastAsia="仿宋_GB2312"/>
          <w:sz w:val="32"/>
          <w:szCs w:val="32"/>
        </w:rPr>
      </w:pPr>
      <w:r>
        <w:rPr>
          <w:rFonts w:hint="eastAsia" w:ascii="仿宋_GB2312" w:hAnsi="仿宋" w:eastAsia="仿宋_GB2312"/>
          <w:sz w:val="32"/>
          <w:szCs w:val="32"/>
        </w:rPr>
        <w:t>2020年，省文产（交流）中心一直把推动我省文化事业和文化产业繁荣发展作为中心核心工作，认真谋划，规范运作，努力为文化强省建设贡献力量。</w:t>
      </w:r>
    </w:p>
    <w:p>
      <w:pPr>
        <w:spacing w:line="360" w:lineRule="auto"/>
        <w:ind w:firstLine="707" w:firstLineChars="221"/>
        <w:rPr>
          <w:rFonts w:ascii="仿宋_GB2312" w:hAnsi="仿宋" w:eastAsia="仿宋_GB2312"/>
          <w:sz w:val="32"/>
          <w:szCs w:val="32"/>
        </w:rPr>
      </w:pPr>
      <w:r>
        <w:rPr>
          <w:rFonts w:hint="eastAsia" w:ascii="仿宋_GB2312" w:hAnsi="仿宋" w:eastAsia="仿宋_GB2312"/>
          <w:sz w:val="32"/>
          <w:szCs w:val="32"/>
        </w:rPr>
        <w:t>1、一年多来，中心配合产业发展处，开展全省文化产业和新闻出版数据统计工作。中心面对新任务和新挑战，克服经费、人员、设备等多方面困难，安排专职统计工作人员开展统计工作。通过主动学习、积极沟通，加强与各职能处室的联系，圆满完成2019年度文化产业和新闻出版数据统计共计两大板块、16大项的数据统计。该项工作获得中宣部中国新闻出版研究院领导的肯定。</w:t>
      </w:r>
    </w:p>
    <w:p>
      <w:pPr>
        <w:spacing w:line="360" w:lineRule="auto"/>
        <w:ind w:firstLine="707" w:firstLineChars="221"/>
        <w:rPr>
          <w:rFonts w:ascii="仿宋_GB2312" w:hAnsi="仿宋" w:eastAsia="仿宋_GB2312"/>
          <w:sz w:val="32"/>
          <w:szCs w:val="32"/>
        </w:rPr>
      </w:pPr>
      <w:r>
        <w:rPr>
          <w:rFonts w:hint="eastAsia" w:ascii="仿宋_GB2312" w:hAnsi="仿宋" w:eastAsia="仿宋_GB2312"/>
          <w:sz w:val="32"/>
          <w:szCs w:val="32"/>
        </w:rPr>
        <w:t>2、1月4日，为落实文化惠民、助力脱贫攻坚，由四川省对外文化交流中心、井研县委县人民政府主办，井研县委宣传部、井研县文化体育和旅游局协办的“2020年度省市文艺轻骑兵走进井研暨幸福井研文化惠民活动”在井研县举行。此次活动以“礼赞新时代，文化暖冬行”为主题，旨在助攻脱贫攻坚、助推乡村振兴、助力全面小康。该活动，汇集了国家级和省级知名艺术家，通过高水平文艺演出，将文化宣传服务活动作为脱贫攻坚的有效载体和重要内容，把歌舞戏曲送到基层，加强了区县精神文明建设，推动农村文化事业发展。</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3、1月10日，由四川省文化产业发展促进中心、四川省轻工业设计师联合会主办，天府文创设计培育工程组委会、成都浓园承办的首届天府文创设计论坛暨“双千”工程首批入库授牌仪式，在成都天艺村·浓园艺术博览园举行，全省文创设计企业代表、文创设计师代表、艺术家代表、投资商代表及媒体代表约200人参加了此次活动。通过这个工程的实施，聚集人才，培育项目，孵化产品，开拓市场，推动文化产业高质量发展。</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4、3月1日，为进一步推进“七五”普法教育，营造全民法制文化氛围，由省文产（交流）中心等单位指导，四川省法治文化研究会、四川省大数据创新应用学会主办，四川广播电视台科教频道《影响四川》栏目组等多家机构承办的“e法”益堂课大型公益直播活动在线上正式开展直播，浏览观众达50余万人次，这是省文产（交流）中心联合多家公益机构运用网络媒体，宣传学习习近平新时代中国特色社会主义思想、宣传国家政策法规、解读当前法律热点、传播优秀传统文化和宣传疫情防控知识的一次积极尝试和创新。</w:t>
      </w:r>
    </w:p>
    <w:p>
      <w:pPr>
        <w:spacing w:line="360" w:lineRule="auto"/>
        <w:ind w:firstLine="707" w:firstLineChars="221"/>
        <w:rPr>
          <w:rFonts w:ascii="仿宋_GB2312" w:hAnsi="仿宋" w:eastAsia="仿宋_GB2312"/>
          <w:sz w:val="32"/>
          <w:szCs w:val="32"/>
        </w:rPr>
      </w:pPr>
      <w:r>
        <w:rPr>
          <w:rFonts w:hint="eastAsia" w:ascii="仿宋_GB2312" w:hAnsi="仿宋" w:eastAsia="仿宋_GB2312"/>
          <w:sz w:val="32"/>
          <w:szCs w:val="32"/>
        </w:rPr>
        <w:t>5、7月9日-10日，为深入贯彻省委文化强省指示精神，激发文化创新创造活力，探索我省县域文旅产业发展路径，中心组织部分干部职工及中心特约研究员一行20人赴乐至县开展“红色文创”主题考察调研活动，并召开“乐至县文旅产业调研座谈会暨2020年中心专家年会”。中心专家们就乐至县域文化产业发展现状与规划，有针对性地对“陈毅故里•绿色乐至”文旅品牌打造、“红色基因，大美乐至”红色文创创意设计等话题展开讨论，并提出了良好的建议与意见。此次活动，积极开拓了县域文化产业市场，助推我省县域文化产业持续发展。</w:t>
      </w:r>
    </w:p>
    <w:p>
      <w:pPr>
        <w:shd w:val="clear" w:color="auto" w:fill="FFFFFF"/>
        <w:spacing w:line="360" w:lineRule="atLeast"/>
        <w:ind w:firstLine="709"/>
        <w:rPr>
          <w:rFonts w:ascii="仿宋_GB2312" w:hAnsi="仿宋" w:eastAsia="仿宋_GB2312"/>
          <w:sz w:val="32"/>
          <w:szCs w:val="32"/>
        </w:rPr>
      </w:pPr>
      <w:r>
        <w:rPr>
          <w:rFonts w:hint="eastAsia" w:ascii="仿宋_GB2312" w:hAnsi="仿宋" w:eastAsia="仿宋_GB2312"/>
          <w:sz w:val="32"/>
          <w:szCs w:val="32"/>
        </w:rPr>
        <w:t xml:space="preserve">6、9月29日，由省文产（交流）中心等多家单位协办，成都博物馆和美国印第安纳波利斯艺术博物馆等单位主办的“光影浮空：欧洲绘画五百年”画展在成都博物馆拉开帷幕，展出来自美国印第安纳波利斯艺术博物馆的60幅世界珍贵艺术典藏。本次画展展品囊括了14世纪至20世纪初欧洲艺术史上最具代表性流派的代表性画家作品。提香、鲁本斯、洛兰、伦勃朗、卡尔夫、莫奈等60位大师的60幅原作，在文博界掀起一场“艺术风暴”。 </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7、11月16日-20日，第十六届中国（深圳）国际文化产业博览交易在线上成功举办，中共中央政治局委员、中宣部部长黄坤明出席“云博会”开幕式并巡视部分省市及文化企业集团网上展馆，省委常委、宣传部长甘霖同志在成都出席开幕式，并巡视四川云展馆，四川展团圆满完成各项工作并获得省委宣传部领导的肯定批示。本届文博会四川展厅以“魅力天府·奋进四川”为展示主题，紧跟中央和四川省委省政府决策部署，精心搭建云展厅和展示网页，组织了37家优质文化企业参展，展示文化项目（产品）约500项（件），抒发我省文产战线心声，展示文化产业成就，展现四川文旅在扶贫攻坚和抗疫战争等战线上坚守阵地、攻克难关、创新创造的绚丽风采，全面展现我省文化产业在各领域发展的新成就、新亮点。本届文博会，有效促进了四川文化产业的交流、交易与合作，取得了良好的展陈、交易效果，参展团实现800余万的成交金额，更多意向签约项目正在积极推进中。</w:t>
      </w:r>
    </w:p>
    <w:p>
      <w:pPr>
        <w:spacing w:line="360" w:lineRule="auto"/>
        <w:ind w:firstLine="707" w:firstLineChars="221"/>
        <w:rPr>
          <w:rFonts w:ascii="仿宋_GB2312" w:hAnsi="仿宋" w:eastAsia="仿宋_GB2312"/>
          <w:sz w:val="32"/>
          <w:szCs w:val="32"/>
        </w:rPr>
      </w:pPr>
      <w:r>
        <w:rPr>
          <w:rFonts w:hint="eastAsia" w:ascii="仿宋_GB2312" w:hAnsi="仿宋" w:eastAsia="仿宋_GB2312"/>
          <w:sz w:val="32"/>
          <w:szCs w:val="32"/>
        </w:rPr>
        <w:t>8、9月26日，由四川省对外文化交流中心、成都锦江区委宣传部等单位指导，许燎源现代设计艺术博物馆主办的“红砂物语-成都公共艺术展”在许燎源当代艺术馆开幕。此次展览以“聚焦公共雕塑，探索未来维度”为主题，共汇集了71位艺术家的500余件作品，旨在为更多青年艺术家、设计师提供舞台，以群展的方式让不同的艺术作品在此交汇、碰撞，为本土乃至全国艺术力量提供生长土壤，为满足人民群众对美好生活的追求，提供更多更好的艺术作品。</w:t>
      </w:r>
    </w:p>
    <w:p>
      <w:pPr>
        <w:spacing w:line="360" w:lineRule="auto"/>
        <w:ind w:firstLine="707" w:firstLineChars="221"/>
        <w:rPr>
          <w:rFonts w:ascii="仿宋" w:hAnsi="仿宋" w:eastAsia="仿宋"/>
          <w:sz w:val="32"/>
          <w:szCs w:val="32"/>
        </w:rPr>
      </w:pPr>
      <w:r>
        <w:rPr>
          <w:rFonts w:hint="eastAsia" w:ascii="仿宋_GB2312" w:hAnsi="仿宋" w:eastAsia="仿宋_GB2312"/>
          <w:sz w:val="32"/>
          <w:szCs w:val="32"/>
        </w:rPr>
        <w:t>9、12月4日，由省文化产业发展促进中心支持的第四届天府文化论坛在天府新区举行，本届论坛的主题为“文化赋能  文创驱动——天府文化新场景”，同时发布了《天府文化·年度文化新消费新场景发展》报告。天府文化论坛已连续举办了四届，精准把握文化新方向，紧扣产业新热点，邀请到国内外专家学者、行业领袖，共商天府文化发展大计，促进文化产业高质量发展。</w:t>
      </w:r>
    </w:p>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pPr>
      <w:bookmarkStart w:id="16" w:name="_Toc15377204"/>
      <w:bookmarkStart w:id="17" w:name="_Toc15396602"/>
      <w:r>
        <w:rPr>
          <w:rFonts w:hint="eastAsia" w:ascii="黑体" w:hAnsi="黑体" w:eastAsia="黑体"/>
          <w:b w:val="0"/>
        </w:rPr>
        <w:t>第二部分 2020年度</w:t>
      </w:r>
      <w:r>
        <w:rPr>
          <w:rStyle w:val="25"/>
          <w:rFonts w:hint="eastAsia" w:ascii="黑体" w:hAnsi="黑体" w:eastAsia="黑体"/>
          <w:b w:val="0"/>
          <w:bCs/>
          <w:color w:val="000000" w:themeColor="text1"/>
        </w:rPr>
        <w:t>单位</w:t>
      </w:r>
      <w:r>
        <w:rPr>
          <w:rStyle w:val="25"/>
          <w:rFonts w:hint="eastAsia" w:ascii="黑体" w:hAnsi="黑体" w:eastAsia="黑体"/>
          <w:b w:val="0"/>
          <w:bCs/>
        </w:rPr>
        <w:t>决算情况说明</w:t>
      </w:r>
      <w:bookmarkEnd w:id="16"/>
      <w:bookmarkEnd w:id="17"/>
    </w:p>
    <w:p>
      <w:pPr>
        <w:pStyle w:val="24"/>
        <w:numPr>
          <w:ilvl w:val="0"/>
          <w:numId w:val="1"/>
        </w:numPr>
        <w:spacing w:line="600" w:lineRule="exact"/>
        <w:ind w:firstLineChars="0"/>
        <w:outlineLvl w:val="1"/>
        <w:rPr>
          <w:rStyle w:val="26"/>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6"/>
          <w:rFonts w:hint="eastAsia" w:ascii="黑体" w:hAnsi="黑体" w:eastAsia="黑体"/>
          <w:b w:val="0"/>
        </w:rPr>
        <w:t>入支出决算总体情况说明</w:t>
      </w:r>
      <w:bookmarkEnd w:id="18"/>
      <w:bookmarkEnd w:id="19"/>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2020年度收、支总计195.59万元。与2019年相比，收、支总计各减少4.56万元，下降2.28%。主要变动原因是人员调出。</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（图1：收、支决算总计变动情况图）（柱状图）</w:t>
      </w:r>
    </w:p>
    <w:p>
      <w:pPr>
        <w:pStyle w:val="2"/>
        <w:spacing w:before="93"/>
        <w:rPr>
          <w:sz w:val="32"/>
          <w:szCs w:val="32"/>
        </w:rPr>
      </w:pPr>
      <w:r>
        <w:rPr>
          <w:rFonts w:hint="eastAsia" w:eastAsia="仿宋"/>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4"/>
        <w:numPr>
          <w:ilvl w:val="0"/>
          <w:numId w:val="1"/>
        </w:numPr>
        <w:spacing w:line="600" w:lineRule="exact"/>
        <w:ind w:firstLineChars="0"/>
        <w:outlineLvl w:val="1"/>
        <w:rPr>
          <w:rStyle w:val="26"/>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26"/>
          <w:rFonts w:hint="eastAsia" w:ascii="黑体" w:hAnsi="黑体" w:eastAsia="黑体"/>
          <w:b w:val="0"/>
        </w:rPr>
        <w:t>入决算情况说明</w:t>
      </w:r>
      <w:bookmarkEnd w:id="20"/>
      <w:bookmarkEnd w:id="21"/>
    </w:p>
    <w:p>
      <w:pPr>
        <w:spacing w:line="60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sz w:val="32"/>
          <w:szCs w:val="32"/>
        </w:rPr>
        <w:t>2020年本年收入合计195.59万元，其中：一般公共预算财政拨款收入195.55万元，占99.98%；其他收入0.01万元，</w:t>
      </w:r>
      <w:r>
        <w:rPr>
          <w:rFonts w:hint="eastAsia" w:ascii="仿宋_GB2312" w:hAnsi="仿宋" w:eastAsia="仿宋_GB2312"/>
          <w:color w:val="000000" w:themeColor="text1"/>
          <w:sz w:val="32"/>
          <w:szCs w:val="32"/>
        </w:rPr>
        <w:t>占0.01%，使用非财政拨款结余0.03万元，占0.01%</w:t>
      </w:r>
    </w:p>
    <w:p>
      <w:pPr>
        <w:spacing w:line="600" w:lineRule="exact"/>
        <w:ind w:firstLine="640" w:firstLineChars="200"/>
        <w:outlineLvl w:val="1"/>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pStyle w:val="2"/>
        <w:spacing w:before="93"/>
      </w:pPr>
      <w:r>
        <w:rPr>
          <w:rFonts w:hint="eastAsia"/>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_GB2312" w:eastAsia="仿宋_GB2312"/>
          <w:sz w:val="32"/>
          <w:szCs w:val="32"/>
        </w:rPr>
      </w:pPr>
    </w:p>
    <w:p>
      <w:pPr>
        <w:pStyle w:val="24"/>
        <w:numPr>
          <w:ilvl w:val="0"/>
          <w:numId w:val="1"/>
        </w:numPr>
        <w:spacing w:line="600" w:lineRule="exact"/>
        <w:ind w:firstLineChars="0"/>
        <w:outlineLvl w:val="1"/>
        <w:rPr>
          <w:rStyle w:val="26"/>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6"/>
          <w:rFonts w:hint="eastAsia" w:ascii="黑体" w:hAnsi="黑体" w:eastAsia="黑体"/>
          <w:b w:val="0"/>
        </w:rPr>
        <w:t>出决算情况说明</w:t>
      </w:r>
      <w:bookmarkEnd w:id="22"/>
      <w:bookmarkEnd w:id="23"/>
    </w:p>
    <w:p>
      <w:pPr>
        <w:spacing w:line="600" w:lineRule="exact"/>
        <w:ind w:firstLine="640" w:firstLineChars="200"/>
        <w:outlineLvl w:val="1"/>
        <w:rPr>
          <w:rFonts w:ascii="仿宋_GB2312" w:hAnsi="仿宋" w:eastAsia="仿宋_GB2312"/>
          <w:sz w:val="32"/>
          <w:szCs w:val="32"/>
        </w:rPr>
      </w:pPr>
      <w:r>
        <w:rPr>
          <w:rFonts w:hint="eastAsia" w:ascii="仿宋_GB2312" w:hAnsi="仿宋" w:eastAsia="仿宋_GB2312"/>
          <w:sz w:val="32"/>
          <w:szCs w:val="32"/>
        </w:rPr>
        <w:t>2020年本年支出合计195.59万元，其中：基本支出75.03万元，占38.36%；项目支出120.56万元，占61.64%。</w:t>
      </w:r>
    </w:p>
    <w:p>
      <w:pPr>
        <w:spacing w:line="600" w:lineRule="exact"/>
        <w:ind w:firstLine="640" w:firstLineChars="200"/>
        <w:rPr>
          <w:rFonts w:ascii="仿宋" w:hAnsi="仿宋" w:eastAsia="仿宋"/>
          <w:sz w:val="32"/>
          <w:szCs w:val="32"/>
        </w:rPr>
      </w:pPr>
      <w:r>
        <w:rPr>
          <w:rFonts w:hint="eastAsia" w:ascii="仿宋_GB2312" w:hAnsi="仿宋" w:eastAsia="仿宋_GB2312"/>
          <w:sz w:val="32"/>
          <w:szCs w:val="32"/>
        </w:rPr>
        <w:t>（图3：支出决算结构图）（饼状图）</w:t>
      </w:r>
    </w:p>
    <w:p>
      <w:pPr>
        <w:pStyle w:val="2"/>
        <w:spacing w:before="93"/>
      </w:pPr>
      <w:r>
        <w:rPr>
          <w:rFonts w:hint="eastAsia"/>
          <w:sz w:val="32"/>
          <w:szCs w:val="32"/>
        </w:rPr>
        <w:drawing>
          <wp:anchor distT="0" distB="0" distL="114300" distR="114300" simplePos="0" relativeHeight="251659264" behindDoc="1" locked="0" layoutInCell="1" allowOverlap="1">
            <wp:simplePos x="0" y="0"/>
            <wp:positionH relativeFrom="column">
              <wp:posOffset>410845</wp:posOffset>
            </wp:positionH>
            <wp:positionV relativeFrom="paragraph">
              <wp:posOffset>-6089015</wp:posOffset>
            </wp:positionV>
            <wp:extent cx="5080000" cy="3810000"/>
            <wp:effectExtent l="4445" t="4445" r="20955" b="14605"/>
            <wp:wrapTight wrapText="bothSides">
              <wp:wrapPolygon>
                <wp:start x="-19" y="-25"/>
                <wp:lineTo x="-19" y="21575"/>
                <wp:lineTo x="21527" y="21575"/>
                <wp:lineTo x="21527" y="-25"/>
                <wp:lineTo x="-19" y="-25"/>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outlineLvl w:val="1"/>
        <w:rPr>
          <w:rFonts w:ascii="黑体" w:hAnsi="黑体" w:eastAsia="黑体"/>
          <w:sz w:val="32"/>
          <w:szCs w:val="32"/>
        </w:rPr>
      </w:pPr>
      <w:bookmarkStart w:id="24" w:name="_Toc15377208"/>
      <w:bookmarkStart w:id="25" w:name="_Toc15396606"/>
    </w:p>
    <w:p>
      <w:pPr>
        <w:spacing w:line="600" w:lineRule="exact"/>
        <w:ind w:firstLine="640" w:firstLineChars="200"/>
        <w:outlineLvl w:val="1"/>
        <w:rPr>
          <w:rStyle w:val="26"/>
          <w:rFonts w:ascii="黑体" w:hAnsi="黑体" w:eastAsia="黑体"/>
          <w:b w:val="0"/>
        </w:rPr>
      </w:pPr>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24"/>
      <w:bookmarkEnd w:id="25"/>
    </w:p>
    <w:p>
      <w:pPr>
        <w:spacing w:line="600" w:lineRule="exact"/>
        <w:ind w:firstLine="640" w:firstLineChars="200"/>
        <w:outlineLvl w:val="1"/>
        <w:rPr>
          <w:rFonts w:ascii="仿宋_GB2312" w:hAnsi="仿宋" w:eastAsia="仿宋_GB2312"/>
          <w:sz w:val="32"/>
          <w:szCs w:val="32"/>
        </w:rPr>
      </w:pPr>
      <w:r>
        <w:rPr>
          <w:rFonts w:hint="eastAsia" w:ascii="仿宋_GB2312" w:hAnsi="仿宋" w:eastAsia="仿宋_GB2312"/>
          <w:sz w:val="32"/>
          <w:szCs w:val="32"/>
        </w:rPr>
        <w:t>2020年财政拨款收、支总计195.55万元。与2019年相比，财政拨款收、支总计各减少4.53万元，下降2.26%。主要变动原因是人员调出。</w:t>
      </w:r>
    </w:p>
    <w:p>
      <w:pPr>
        <w:spacing w:line="600" w:lineRule="exact"/>
        <w:ind w:firstLine="640" w:firstLineChars="200"/>
        <w:outlineLvl w:val="1"/>
        <w:rPr>
          <w:rFonts w:ascii="黑体" w:hAnsi="黑体" w:eastAsia="黑体"/>
          <w:sz w:val="32"/>
          <w:szCs w:val="32"/>
        </w:rPr>
      </w:pPr>
      <w:r>
        <w:rPr>
          <w:rFonts w:hint="eastAsia" w:ascii="仿宋_GB2312" w:hAnsi="仿宋" w:eastAsia="仿宋_GB2312"/>
          <w:sz w:val="32"/>
          <w:szCs w:val="32"/>
        </w:rPr>
        <w:t>（图4：财政拨款收、支决算总计变动情况）（柱状图）</w:t>
      </w:r>
      <w:bookmarkStart w:id="26" w:name="_Toc15377209"/>
      <w:bookmarkStart w:id="27" w:name="_Toc15396607"/>
    </w:p>
    <w:p>
      <w:pPr>
        <w:spacing w:line="600" w:lineRule="exact"/>
        <w:ind w:firstLine="643" w:firstLineChars="200"/>
        <w:outlineLvl w:val="1"/>
        <w:rPr>
          <w:rStyle w:val="26"/>
          <w:rFonts w:ascii="黑体" w:hAnsi="黑体" w:eastAsia="黑体"/>
          <w:b w:val="0"/>
        </w:rPr>
      </w:pPr>
      <w:r>
        <w:rPr>
          <w:rFonts w:hint="eastAsia" w:ascii="仿宋" w:hAnsi="仿宋" w:eastAsia="仿宋"/>
          <w:b/>
          <w:sz w:val="32"/>
          <w:szCs w:val="32"/>
        </w:rPr>
        <w:drawing>
          <wp:anchor distT="0" distB="0" distL="114300" distR="114300" simplePos="0" relativeHeight="251660288" behindDoc="0" locked="0" layoutInCell="1" allowOverlap="1">
            <wp:simplePos x="0" y="0"/>
            <wp:positionH relativeFrom="column">
              <wp:posOffset>234950</wp:posOffset>
            </wp:positionH>
            <wp:positionV relativeFrom="paragraph">
              <wp:posOffset>212090</wp:posOffset>
            </wp:positionV>
            <wp:extent cx="5080000" cy="3810000"/>
            <wp:effectExtent l="4445" t="4445" r="20955" b="1460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26"/>
      <w:bookmarkEnd w:id="27"/>
    </w:p>
    <w:p>
      <w:pPr>
        <w:spacing w:line="600" w:lineRule="exact"/>
        <w:ind w:firstLine="643" w:firstLineChars="200"/>
        <w:outlineLvl w:val="1"/>
        <w:rPr>
          <w:rFonts w:ascii="仿宋_GB2312" w:hAnsi="仿宋" w:eastAsia="仿宋_GB2312"/>
          <w:b/>
          <w:sz w:val="32"/>
          <w:szCs w:val="32"/>
        </w:rPr>
      </w:pPr>
      <w:bookmarkStart w:id="28" w:name="_Toc15377210"/>
      <w:r>
        <w:rPr>
          <w:rFonts w:hint="eastAsia" w:ascii="仿宋_GB2312" w:hAnsi="仿宋" w:eastAsia="仿宋_GB2312"/>
          <w:b/>
          <w:sz w:val="32"/>
          <w:szCs w:val="32"/>
        </w:rPr>
        <w:t>（一）一般公共预算财政拨款支出决算总体情况</w:t>
      </w:r>
      <w:bookmarkEnd w:id="28"/>
    </w:p>
    <w:p>
      <w:pPr>
        <w:spacing w:line="600" w:lineRule="exact"/>
        <w:ind w:firstLine="640" w:firstLineChars="200"/>
        <w:outlineLvl w:val="1"/>
        <w:rPr>
          <w:rFonts w:ascii="仿宋_GB2312" w:hAnsi="仿宋" w:eastAsia="仿宋_GB2312"/>
          <w:sz w:val="32"/>
          <w:szCs w:val="32"/>
        </w:rPr>
      </w:pPr>
      <w:r>
        <w:rPr>
          <w:rFonts w:hint="eastAsia" w:ascii="仿宋_GB2312" w:hAnsi="仿宋" w:eastAsia="仿宋_GB2312"/>
          <w:sz w:val="32"/>
          <w:szCs w:val="32"/>
        </w:rPr>
        <w:t>2020年一般公共预算财政拨款支出195.55万元，占本年支出合计的99.98%。与2019年相比，一般公共预算财政拨款减少4.53万元，下降2.26%。主要变动原因是人员调出。</w:t>
      </w:r>
    </w:p>
    <w:p>
      <w:pPr>
        <w:spacing w:line="600" w:lineRule="exact"/>
        <w:outlineLvl w:val="1"/>
        <w:rPr>
          <w:rFonts w:ascii="仿宋" w:hAnsi="仿宋" w:eastAsia="仿宋"/>
          <w:sz w:val="32"/>
          <w:szCs w:val="32"/>
        </w:rPr>
      </w:pPr>
      <w:r>
        <w:rPr>
          <w:rFonts w:hint="eastAsia" w:ascii="仿宋" w:hAnsi="仿宋" w:eastAsia="仿宋"/>
          <w:sz w:val="32"/>
          <w:szCs w:val="32"/>
        </w:rPr>
        <w:drawing>
          <wp:anchor distT="0" distB="0" distL="114300" distR="114300" simplePos="0" relativeHeight="251661312" behindDoc="0" locked="0" layoutInCell="1" allowOverlap="1">
            <wp:simplePos x="0" y="0"/>
            <wp:positionH relativeFrom="column">
              <wp:posOffset>499110</wp:posOffset>
            </wp:positionH>
            <wp:positionV relativeFrom="paragraph">
              <wp:posOffset>560705</wp:posOffset>
            </wp:positionV>
            <wp:extent cx="5080000" cy="3810000"/>
            <wp:effectExtent l="4445" t="4445" r="20955" b="14605"/>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_GB2312" w:hAnsi="仿宋" w:eastAsia="仿宋_GB2312"/>
          <w:sz w:val="32"/>
          <w:szCs w:val="32"/>
        </w:rPr>
        <w:t>（图5：一般公共预算财政拨款支出决算变动情况）（柱状图）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_GB2312" w:hAnsi="仿宋" w:eastAsia="仿宋_GB2312"/>
          <w:b/>
          <w:sz w:val="32"/>
          <w:szCs w:val="32"/>
        </w:rPr>
      </w:pPr>
      <w:bookmarkStart w:id="29" w:name="_Toc15377211"/>
      <w:r>
        <w:rPr>
          <w:rFonts w:hint="eastAsia" w:ascii="仿宋_GB2312" w:hAnsi="仿宋" w:eastAsia="仿宋_GB2312"/>
          <w:b/>
          <w:sz w:val="32"/>
          <w:szCs w:val="32"/>
        </w:rPr>
        <w:t>（二）一般公共预算财政拨款支出决算结构情况</w:t>
      </w:r>
      <w:bookmarkEnd w:id="29"/>
    </w:p>
    <w:p>
      <w:pPr>
        <w:spacing w:line="600" w:lineRule="exact"/>
        <w:ind w:firstLine="640"/>
        <w:rPr>
          <w:rFonts w:ascii="仿宋_GB2312" w:hAnsi="仿宋" w:eastAsia="仿宋_GB2312"/>
          <w:sz w:val="32"/>
          <w:szCs w:val="32"/>
        </w:rPr>
      </w:pPr>
      <w:r>
        <w:rPr>
          <w:rFonts w:hint="eastAsia" w:ascii="仿宋_GB2312" w:hAnsi="仿宋" w:eastAsia="仿宋_GB2312"/>
          <w:sz w:val="32"/>
          <w:szCs w:val="32"/>
        </w:rPr>
        <w:t>2020年一般公共预算财政拨款支出195.55万元，主要用于以下方面:一般公共服务（类）支出63.44万元，占32.44%；文化旅游体育与传媒（类）支出105万元，占53.70%；社会保障和就业（类）支出15.11万元，占7.72%；卫生健康支出4.2万元，占2.15%；住房保障支出7.8万元，占3.99%。</w:t>
      </w:r>
    </w:p>
    <w:p>
      <w:pPr>
        <w:widowControl/>
        <w:jc w:val="left"/>
        <w:rPr>
          <w:rFonts w:ascii="仿宋_GB2312" w:hAnsi="仿宋" w:eastAsia="仿宋_GB2312"/>
          <w:sz w:val="32"/>
          <w:szCs w:val="32"/>
        </w:rPr>
      </w:pPr>
      <w:r>
        <w:rPr>
          <w:rFonts w:ascii="仿宋_GB2312" w:hAnsi="仿宋" w:eastAsia="仿宋_GB2312"/>
          <w:sz w:val="32"/>
          <w:szCs w:val="32"/>
        </w:rPr>
        <w:br w:type="page"/>
      </w:r>
    </w:p>
    <w:p>
      <w:pPr>
        <w:spacing w:line="600" w:lineRule="exact"/>
        <w:rPr>
          <w:rFonts w:ascii="仿宋" w:hAnsi="仿宋" w:eastAsia="仿宋"/>
          <w:sz w:val="32"/>
          <w:szCs w:val="32"/>
        </w:rPr>
      </w:pPr>
      <w:r>
        <w:rPr>
          <w:rFonts w:hint="eastAsia" w:ascii="仿宋_GB2312" w:hAnsi="仿宋" w:eastAsia="仿宋_GB2312"/>
          <w:sz w:val="32"/>
          <w:szCs w:val="32"/>
        </w:rPr>
        <w:t>（图6：一般公共预算财政拨款支出决算结构）（饼状图）</w:t>
      </w:r>
    </w:p>
    <w:p>
      <w:pPr>
        <w:pStyle w:val="2"/>
        <w:spacing w:before="93"/>
        <w:jc w:val="center"/>
      </w:pPr>
      <w:r>
        <w:rPr>
          <w:rFonts w:hint="eastAsia"/>
        </w:rPr>
        <w:drawing>
          <wp:inline distT="0" distB="0" distL="114300" distR="114300">
            <wp:extent cx="5080000" cy="3810000"/>
            <wp:effectExtent l="4445" t="4445" r="20955" b="1460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_GB2312" w:hAnsi="仿宋" w:eastAsia="仿宋_GB2312"/>
          <w:b/>
          <w:sz w:val="32"/>
          <w:szCs w:val="32"/>
        </w:rPr>
      </w:pPr>
      <w:bookmarkStart w:id="30" w:name="_Toc15377212"/>
      <w:r>
        <w:rPr>
          <w:rFonts w:hint="eastAsia" w:ascii="仿宋_GB2312" w:hAnsi="仿宋" w:eastAsia="仿宋_GB2312"/>
          <w:b/>
          <w:sz w:val="32"/>
          <w:szCs w:val="32"/>
        </w:rPr>
        <w:t>（三）一般公共预算财政拨款支出决算具体情况</w:t>
      </w:r>
      <w:bookmarkEnd w:id="30"/>
    </w:p>
    <w:p>
      <w:pPr>
        <w:spacing w:line="600" w:lineRule="exact"/>
        <w:ind w:firstLine="640" w:firstLineChars="200"/>
        <w:outlineLvl w:val="2"/>
        <w:rPr>
          <w:rFonts w:ascii="仿宋_GB2312" w:hAnsi="仿宋" w:eastAsia="仿宋_GB2312"/>
          <w:sz w:val="32"/>
          <w:szCs w:val="32"/>
        </w:rPr>
      </w:pPr>
      <w:bookmarkStart w:id="31" w:name="_Toc15377444"/>
      <w:bookmarkStart w:id="32" w:name="_Toc15377213"/>
      <w:bookmarkStart w:id="33" w:name="_Toc15378460"/>
      <w:r>
        <w:rPr>
          <w:rFonts w:hint="eastAsia" w:ascii="仿宋_GB2312" w:hAnsi="仿宋" w:eastAsia="仿宋_GB2312"/>
          <w:sz w:val="32"/>
          <w:szCs w:val="32"/>
        </w:rPr>
        <w:t>2020年一般公共预算支出决算元，完成预算93.35%。其中：</w:t>
      </w:r>
      <w:bookmarkEnd w:id="31"/>
      <w:bookmarkEnd w:id="32"/>
      <w:bookmarkEnd w:id="33"/>
    </w:p>
    <w:p>
      <w:pPr>
        <w:spacing w:line="600" w:lineRule="exact"/>
        <w:ind w:firstLine="643" w:firstLineChars="200"/>
        <w:rPr>
          <w:rStyle w:val="14"/>
          <w:rFonts w:ascii="仿宋_GB2312" w:hAnsi="仿宋" w:eastAsia="仿宋_GB2312"/>
          <w:b w:val="0"/>
          <w:bCs/>
          <w:sz w:val="32"/>
          <w:szCs w:val="32"/>
        </w:rPr>
      </w:pPr>
      <w:r>
        <w:rPr>
          <w:rStyle w:val="14"/>
          <w:rFonts w:hint="eastAsia" w:ascii="仿宋_GB2312" w:hAnsi="仿宋" w:eastAsia="仿宋_GB2312"/>
          <w:bCs/>
          <w:sz w:val="32"/>
          <w:szCs w:val="32"/>
        </w:rPr>
        <w:t>1.一般公共服务（类）宣传事务（款）一般行政管理事务（项）:</w:t>
      </w:r>
      <w:r>
        <w:rPr>
          <w:rFonts w:hint="eastAsia" w:ascii="仿宋_GB2312" w:eastAsia="仿宋_GB2312"/>
          <w:sz w:val="32"/>
          <w:szCs w:val="32"/>
        </w:rPr>
        <w:t>年初预算26.53万元，支出决算为26.31万元，完成预算99.17%。</w:t>
      </w:r>
    </w:p>
    <w:p>
      <w:pPr>
        <w:spacing w:line="600" w:lineRule="exact"/>
        <w:ind w:firstLine="643" w:firstLineChars="200"/>
        <w:rPr>
          <w:rFonts w:ascii="仿宋_GB2312" w:eastAsia="仿宋_GB2312"/>
          <w:sz w:val="32"/>
          <w:szCs w:val="32"/>
        </w:rPr>
      </w:pPr>
      <w:r>
        <w:rPr>
          <w:rStyle w:val="14"/>
          <w:rFonts w:hint="eastAsia" w:ascii="仿宋_GB2312" w:hAnsi="仿宋" w:eastAsia="仿宋_GB2312"/>
          <w:bCs/>
          <w:sz w:val="32"/>
          <w:szCs w:val="32"/>
        </w:rPr>
        <w:t>2.一般公共服务（类）宣传事务（款）事业运行（项）:</w:t>
      </w:r>
      <w:r>
        <w:rPr>
          <w:rFonts w:hint="eastAsia" w:ascii="仿宋_GB2312" w:eastAsia="仿宋_GB2312"/>
          <w:sz w:val="32"/>
          <w:szCs w:val="32"/>
        </w:rPr>
        <w:t>年初预算50.82万元，支出决算为37.12万元，完成预算73.04%，主要变动原因是人员调出。</w:t>
      </w:r>
    </w:p>
    <w:p>
      <w:pPr>
        <w:spacing w:line="600" w:lineRule="exact"/>
        <w:ind w:firstLine="643" w:firstLineChars="200"/>
        <w:rPr>
          <w:rFonts w:ascii="仿宋_GB2312" w:eastAsia="仿宋_GB2312"/>
          <w:sz w:val="32"/>
          <w:szCs w:val="32"/>
        </w:rPr>
      </w:pPr>
      <w:r>
        <w:rPr>
          <w:rStyle w:val="14"/>
          <w:rFonts w:hint="eastAsia" w:ascii="仿宋_GB2312" w:hAnsi="仿宋" w:eastAsia="仿宋_GB2312"/>
          <w:bCs/>
          <w:sz w:val="32"/>
          <w:szCs w:val="32"/>
        </w:rPr>
        <w:t>3.文化旅游体育与传媒（类）其他文化旅游体育与传媒（款）宣传文化发展专项支出（项）:</w:t>
      </w:r>
      <w:r>
        <w:rPr>
          <w:rFonts w:hint="eastAsia" w:ascii="仿宋_GB2312" w:eastAsia="仿宋_GB2312"/>
          <w:sz w:val="32"/>
          <w:szCs w:val="32"/>
        </w:rPr>
        <w:t>年初预算50万元，支出决算为50万元，完成预算100%。</w:t>
      </w:r>
    </w:p>
    <w:p>
      <w:pPr>
        <w:spacing w:line="600" w:lineRule="exact"/>
        <w:ind w:firstLine="643" w:firstLineChars="200"/>
        <w:rPr>
          <w:rFonts w:ascii="仿宋_GB2312" w:eastAsia="仿宋_GB2312"/>
          <w:sz w:val="32"/>
          <w:szCs w:val="32"/>
        </w:rPr>
      </w:pPr>
      <w:r>
        <w:rPr>
          <w:rStyle w:val="14"/>
          <w:rFonts w:hint="eastAsia" w:ascii="仿宋_GB2312" w:hAnsi="仿宋" w:eastAsia="仿宋_GB2312"/>
          <w:bCs/>
          <w:sz w:val="32"/>
          <w:szCs w:val="32"/>
        </w:rPr>
        <w:t>4.文化旅游体育与传媒（类）其他文化旅游体育与传媒（款）文化产业发展专项支出（项）:</w:t>
      </w:r>
      <w:r>
        <w:rPr>
          <w:rFonts w:hint="eastAsia" w:ascii="仿宋_GB2312" w:eastAsia="仿宋_GB2312"/>
          <w:sz w:val="32"/>
          <w:szCs w:val="32"/>
        </w:rPr>
        <w:t>年初预算55万元，支出决算为55万元，完成预算100%。</w:t>
      </w:r>
    </w:p>
    <w:p>
      <w:pPr>
        <w:spacing w:line="600" w:lineRule="exact"/>
        <w:ind w:firstLine="643" w:firstLineChars="200"/>
        <w:rPr>
          <w:rFonts w:ascii="仿宋_GB2312" w:eastAsia="仿宋_GB2312"/>
          <w:sz w:val="32"/>
          <w:szCs w:val="32"/>
        </w:rPr>
      </w:pPr>
      <w:r>
        <w:rPr>
          <w:rStyle w:val="14"/>
          <w:rFonts w:hint="eastAsia" w:ascii="仿宋_GB2312" w:hAnsi="仿宋" w:eastAsia="仿宋_GB2312"/>
          <w:bCs/>
          <w:sz w:val="32"/>
          <w:szCs w:val="32"/>
        </w:rPr>
        <w:t>5.社会保障和就业（类）行政事业单位养老支出（款）事业单位离退休（项）:</w:t>
      </w:r>
      <w:r>
        <w:rPr>
          <w:rFonts w:hint="eastAsia" w:ascii="仿宋_GB2312" w:eastAsia="仿宋_GB2312"/>
          <w:sz w:val="32"/>
          <w:szCs w:val="32"/>
        </w:rPr>
        <w:t>年初预算2.52万元，支出决算为2.52万元，完成预算100%。</w:t>
      </w:r>
    </w:p>
    <w:p>
      <w:pPr>
        <w:spacing w:line="600" w:lineRule="exact"/>
        <w:ind w:firstLine="643" w:firstLineChars="200"/>
        <w:rPr>
          <w:rFonts w:ascii="仿宋_GB2312" w:eastAsia="仿宋_GB2312"/>
          <w:sz w:val="32"/>
          <w:szCs w:val="32"/>
        </w:rPr>
      </w:pPr>
      <w:r>
        <w:rPr>
          <w:rStyle w:val="14"/>
          <w:rFonts w:hint="eastAsia" w:ascii="仿宋_GB2312" w:hAnsi="仿宋" w:eastAsia="仿宋_GB2312"/>
          <w:bCs/>
          <w:sz w:val="32"/>
          <w:szCs w:val="32"/>
        </w:rPr>
        <w:t>6.社会保障和就业（类）行政事业单位养老支出（款）机关事业单位基本养老保险缴费支出（项）:</w:t>
      </w:r>
      <w:r>
        <w:rPr>
          <w:rFonts w:hint="eastAsia" w:ascii="仿宋_GB2312" w:eastAsia="仿宋_GB2312"/>
          <w:sz w:val="32"/>
          <w:szCs w:val="32"/>
        </w:rPr>
        <w:t>年初预算9.39万元，支出决算为9.39万元，完成预算100%。</w:t>
      </w:r>
    </w:p>
    <w:p>
      <w:pPr>
        <w:spacing w:line="600" w:lineRule="exact"/>
        <w:ind w:firstLine="643" w:firstLineChars="200"/>
        <w:rPr>
          <w:rFonts w:ascii="仿宋_GB2312" w:eastAsia="仿宋_GB2312"/>
          <w:sz w:val="32"/>
          <w:szCs w:val="32"/>
        </w:rPr>
      </w:pPr>
      <w:r>
        <w:rPr>
          <w:rStyle w:val="14"/>
          <w:rFonts w:hint="eastAsia" w:ascii="仿宋_GB2312" w:hAnsi="仿宋" w:eastAsia="仿宋_GB2312"/>
          <w:bCs/>
          <w:sz w:val="32"/>
          <w:szCs w:val="32"/>
        </w:rPr>
        <w:t>7.社会保障和就业（类）行政事业单位养老支出（款）机关事业单位职业年金缴费支出（项）:</w:t>
      </w:r>
      <w:r>
        <w:rPr>
          <w:rFonts w:hint="eastAsia" w:ascii="仿宋_GB2312" w:eastAsia="仿宋_GB2312"/>
          <w:sz w:val="32"/>
          <w:szCs w:val="32"/>
        </w:rPr>
        <w:t>年初预算3.20万元，支出决算为3.20万元，完成预算100%。</w:t>
      </w:r>
    </w:p>
    <w:p>
      <w:pPr>
        <w:spacing w:line="600" w:lineRule="exact"/>
        <w:ind w:firstLine="643" w:firstLineChars="200"/>
        <w:rPr>
          <w:rFonts w:ascii="仿宋_GB2312" w:hAnsi="仿宋" w:eastAsia="仿宋_GB2312"/>
          <w:b/>
          <w:sz w:val="32"/>
          <w:szCs w:val="32"/>
        </w:rPr>
      </w:pPr>
      <w:r>
        <w:rPr>
          <w:rStyle w:val="14"/>
          <w:rFonts w:hint="eastAsia" w:ascii="仿宋_GB2312" w:hAnsi="仿宋" w:eastAsia="仿宋_GB2312"/>
          <w:bCs/>
          <w:sz w:val="32"/>
          <w:szCs w:val="32"/>
        </w:rPr>
        <w:t>8.</w:t>
      </w:r>
      <w:r>
        <w:rPr>
          <w:rFonts w:hint="eastAsia" w:ascii="仿宋_GB2312" w:hAnsi="仿宋" w:eastAsia="仿宋_GB2312"/>
          <w:b/>
          <w:bCs/>
          <w:sz w:val="32"/>
          <w:szCs w:val="32"/>
        </w:rPr>
        <w:t>卫生健康</w:t>
      </w:r>
      <w:r>
        <w:rPr>
          <w:rStyle w:val="14"/>
          <w:rFonts w:hint="eastAsia" w:ascii="仿宋_GB2312" w:hAnsi="仿宋" w:eastAsia="仿宋_GB2312"/>
          <w:bCs/>
          <w:sz w:val="32"/>
          <w:szCs w:val="32"/>
        </w:rPr>
        <w:t>（类）行政事业单位医疗（款）事业单位医疗（项）:</w:t>
      </w:r>
      <w:r>
        <w:rPr>
          <w:rFonts w:hint="eastAsia" w:ascii="仿宋_GB2312" w:eastAsia="仿宋_GB2312"/>
          <w:sz w:val="32"/>
          <w:szCs w:val="32"/>
        </w:rPr>
        <w:t>年初预算4.20万元，支出决算为4.20万元，完成预算100%。</w:t>
      </w:r>
    </w:p>
    <w:p>
      <w:pPr>
        <w:spacing w:line="600" w:lineRule="exact"/>
        <w:ind w:firstLine="643" w:firstLineChars="200"/>
        <w:rPr>
          <w:rFonts w:ascii="仿宋_GB2312" w:hAnsi="仿宋" w:eastAsia="仿宋_GB2312"/>
          <w:b/>
          <w:sz w:val="32"/>
          <w:szCs w:val="32"/>
          <w:highlight w:val="red"/>
        </w:rPr>
      </w:pPr>
      <w:r>
        <w:rPr>
          <w:rFonts w:hint="eastAsia" w:ascii="仿宋_GB2312" w:hAnsi="仿宋" w:eastAsia="仿宋_GB2312"/>
          <w:b/>
          <w:sz w:val="32"/>
          <w:szCs w:val="32"/>
        </w:rPr>
        <w:t>9.住房保障支</w:t>
      </w:r>
      <w:r>
        <w:rPr>
          <w:rStyle w:val="14"/>
          <w:rFonts w:hint="eastAsia" w:ascii="仿宋_GB2312" w:hAnsi="仿宋" w:eastAsia="仿宋_GB2312"/>
          <w:bCs/>
          <w:sz w:val="32"/>
          <w:szCs w:val="32"/>
        </w:rPr>
        <w:t>出（类）</w:t>
      </w:r>
      <w:r>
        <w:rPr>
          <w:rFonts w:hint="eastAsia" w:ascii="仿宋_GB2312" w:hAnsi="仿宋" w:eastAsia="仿宋_GB2312"/>
          <w:b/>
          <w:sz w:val="32"/>
          <w:szCs w:val="32"/>
        </w:rPr>
        <w:t>住房改革支出</w:t>
      </w:r>
      <w:r>
        <w:rPr>
          <w:rStyle w:val="14"/>
          <w:rFonts w:hint="eastAsia" w:ascii="仿宋_GB2312" w:hAnsi="仿宋" w:eastAsia="仿宋_GB2312"/>
          <w:bCs/>
          <w:sz w:val="32"/>
          <w:szCs w:val="32"/>
        </w:rPr>
        <w:t>（款）住房公积金（项）:</w:t>
      </w:r>
      <w:r>
        <w:rPr>
          <w:rFonts w:hint="eastAsia" w:ascii="仿宋_GB2312" w:eastAsia="仿宋_GB2312"/>
          <w:sz w:val="32"/>
          <w:szCs w:val="32"/>
        </w:rPr>
        <w:t>年初预算7.80万元，支出决算为7.80万元，完成预算100%。</w:t>
      </w:r>
    </w:p>
    <w:p>
      <w:pPr>
        <w:tabs>
          <w:tab w:val="right" w:pos="8306"/>
        </w:tabs>
        <w:spacing w:line="600" w:lineRule="exact"/>
        <w:ind w:firstLine="640"/>
        <w:outlineLvl w:val="1"/>
        <w:rPr>
          <w:rStyle w:val="26"/>
          <w:rFonts w:ascii="黑体" w:hAnsi="黑体" w:eastAsia="黑体"/>
          <w:b w:val="0"/>
        </w:rPr>
      </w:pPr>
      <w:bookmarkStart w:id="34" w:name="_Toc15396608"/>
      <w:bookmarkStart w:id="35" w:name="_Toc15377214"/>
      <w:r>
        <w:rPr>
          <w:rFonts w:hint="eastAsia" w:ascii="黑体" w:hAnsi="黑体" w:eastAsia="黑体"/>
          <w:sz w:val="32"/>
          <w:szCs w:val="32"/>
        </w:rPr>
        <w:t>六、</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34"/>
      <w:bookmarkEnd w:id="35"/>
      <w:r>
        <w:rPr>
          <w:rStyle w:val="26"/>
          <w:rFonts w:hint="eastAsia" w:ascii="黑体" w:hAnsi="黑体" w:eastAsia="黑体"/>
          <w:b w:val="0"/>
        </w:rPr>
        <w:tab/>
      </w:r>
    </w:p>
    <w:p>
      <w:pPr>
        <w:spacing w:line="600" w:lineRule="exact"/>
        <w:ind w:firstLine="645"/>
        <w:rPr>
          <w:rFonts w:ascii="仿宋_GB2312" w:eastAsia="仿宋_GB2312"/>
          <w:sz w:val="32"/>
          <w:szCs w:val="32"/>
        </w:rPr>
      </w:pPr>
      <w:r>
        <w:rPr>
          <w:rFonts w:hint="eastAsia" w:ascii="仿宋_GB2312" w:eastAsia="仿宋_GB2312"/>
          <w:sz w:val="32"/>
          <w:szCs w:val="32"/>
        </w:rPr>
        <w:t>2020年一般公共预算财政拨款基本支出74.98万元，其中：</w:t>
      </w:r>
    </w:p>
    <w:p>
      <w:pPr>
        <w:spacing w:line="600" w:lineRule="exact"/>
        <w:ind w:firstLine="645"/>
        <w:rPr>
          <w:rFonts w:hint="eastAsia" w:ascii="仿宋_GB2312" w:eastAsia="仿宋_GB2312"/>
          <w:sz w:val="32"/>
          <w:szCs w:val="32"/>
          <w:lang w:eastAsia="zh-CN"/>
        </w:rPr>
      </w:pPr>
      <w:r>
        <w:rPr>
          <w:rFonts w:hint="eastAsia" w:ascii="仿宋_GB2312" w:eastAsia="仿宋_GB2312"/>
          <w:sz w:val="32"/>
          <w:szCs w:val="32"/>
        </w:rPr>
        <w:t>人员经费57.12万元，主要包括：基本工资、津贴补贴、绩效工资、机关事业单位基本养老保险缴费、职业年金缴费、职业基本医疗保险缴费、其他社会保障缴费、住房公积金、其他工资福利支出、对个人和家庭生活补助。</w:t>
      </w:r>
    </w:p>
    <w:p>
      <w:pPr>
        <w:spacing w:line="600" w:lineRule="exact"/>
        <w:ind w:firstLine="645"/>
        <w:rPr>
          <w:rFonts w:ascii="仿宋_GB2312" w:hAnsi="仿宋" w:eastAsia="仿宋_GB2312"/>
          <w:sz w:val="32"/>
          <w:szCs w:val="32"/>
        </w:rPr>
      </w:pPr>
      <w:r>
        <w:rPr>
          <w:rFonts w:hint="eastAsia" w:ascii="仿宋_GB2312" w:eastAsia="仿宋_GB2312"/>
          <w:sz w:val="32"/>
          <w:szCs w:val="32"/>
        </w:rPr>
        <w:t>　　公用经费17.86万元，主要包括：办公费、手续费、电费、邮电费、物业管理费、差旅费、维修（护）费、会议费、公务接待费、工会经费、福利费、公务用车运行维护费、其他商品和服务支出。</w:t>
      </w:r>
    </w:p>
    <w:p>
      <w:pPr>
        <w:spacing w:line="600" w:lineRule="exact"/>
        <w:ind w:firstLine="640"/>
        <w:outlineLvl w:val="1"/>
        <w:rPr>
          <w:rStyle w:val="26"/>
          <w:rFonts w:ascii="黑体" w:hAnsi="黑体" w:eastAsia="黑体"/>
          <w:b w:val="0"/>
        </w:rPr>
      </w:pPr>
      <w:bookmarkStart w:id="36" w:name="_Toc15377215"/>
      <w:bookmarkStart w:id="37" w:name="_Toc15396609"/>
      <w:r>
        <w:rPr>
          <w:rFonts w:hint="eastAsia" w:ascii="黑体" w:hAnsi="黑体" w:eastAsia="黑体"/>
          <w:sz w:val="32"/>
          <w:szCs w:val="32"/>
        </w:rPr>
        <w:t>七、</w:t>
      </w:r>
      <w:r>
        <w:rPr>
          <w:rStyle w:val="26"/>
          <w:rFonts w:hint="eastAsia" w:ascii="黑体" w:hAnsi="黑体" w:eastAsia="黑体"/>
          <w:b w:val="0"/>
        </w:rPr>
        <w:t>“三公”经费财政拨款支出决算情况说明</w:t>
      </w:r>
      <w:bookmarkEnd w:id="36"/>
      <w:bookmarkEnd w:id="37"/>
    </w:p>
    <w:p>
      <w:pPr>
        <w:spacing w:line="600" w:lineRule="exact"/>
        <w:ind w:firstLine="640"/>
        <w:outlineLvl w:val="2"/>
        <w:rPr>
          <w:rFonts w:ascii="仿宋_GB2312" w:hAnsi="仿宋" w:eastAsia="仿宋_GB2312"/>
          <w:b/>
          <w:sz w:val="32"/>
          <w:szCs w:val="32"/>
        </w:rPr>
      </w:pPr>
      <w:bookmarkStart w:id="38" w:name="_Toc15377216"/>
      <w:r>
        <w:rPr>
          <w:rFonts w:hint="eastAsia" w:ascii="仿宋_GB2312" w:hAnsi="仿宋" w:eastAsia="仿宋_GB2312"/>
          <w:b/>
          <w:sz w:val="32"/>
          <w:szCs w:val="32"/>
        </w:rPr>
        <w:t>（一）“三公”经费财政拨款支出决算总体情况说明</w:t>
      </w:r>
      <w:bookmarkEnd w:id="38"/>
    </w:p>
    <w:p>
      <w:pPr>
        <w:spacing w:line="600" w:lineRule="exact"/>
        <w:ind w:firstLine="645"/>
        <w:rPr>
          <w:rFonts w:ascii="仿宋_GB2312" w:hAnsi="仿宋" w:eastAsia="仿宋_GB2312"/>
          <w:sz w:val="32"/>
          <w:szCs w:val="32"/>
        </w:rPr>
      </w:pPr>
      <w:r>
        <w:rPr>
          <w:rFonts w:hint="eastAsia" w:ascii="仿宋_GB2312" w:eastAsia="仿宋_GB2312"/>
          <w:sz w:val="32"/>
          <w:szCs w:val="32"/>
        </w:rPr>
        <w:t>2020年“三公”经费财政拨款支出决算为0.97万元，完成预算100%，决算数与预算数持平。</w:t>
      </w:r>
    </w:p>
    <w:p>
      <w:pPr>
        <w:spacing w:line="600" w:lineRule="exact"/>
        <w:ind w:firstLine="640"/>
        <w:outlineLvl w:val="2"/>
        <w:rPr>
          <w:rFonts w:ascii="仿宋_GB2312" w:hAnsi="仿宋" w:eastAsia="仿宋_GB2312"/>
          <w:b/>
          <w:sz w:val="32"/>
          <w:szCs w:val="32"/>
        </w:rPr>
      </w:pPr>
      <w:bookmarkStart w:id="39" w:name="_Toc15377217"/>
      <w:r>
        <w:rPr>
          <w:rFonts w:hint="eastAsia" w:ascii="仿宋_GB2312" w:hAnsi="仿宋" w:eastAsia="仿宋_GB2312"/>
          <w:b/>
          <w:sz w:val="32"/>
          <w:szCs w:val="32"/>
        </w:rPr>
        <w:t>（二）“三公”经费财政拨款支出决算具体情况说明</w:t>
      </w:r>
      <w:bookmarkEnd w:id="39"/>
    </w:p>
    <w:p>
      <w:pPr>
        <w:spacing w:line="600" w:lineRule="exact"/>
        <w:ind w:firstLine="640"/>
        <w:rPr>
          <w:rFonts w:ascii="仿宋_GB2312" w:eastAsia="仿宋_GB2312"/>
          <w:sz w:val="32"/>
          <w:szCs w:val="32"/>
        </w:rPr>
      </w:pPr>
      <w:r>
        <w:rPr>
          <w:rFonts w:hint="eastAsia" w:ascii="仿宋_GB2312" w:hAnsi="仿宋" w:eastAsia="仿宋_GB2312"/>
          <w:sz w:val="32"/>
          <w:szCs w:val="32"/>
        </w:rPr>
        <w:t>2</w:t>
      </w:r>
      <w:r>
        <w:rPr>
          <w:rFonts w:hint="eastAsia" w:ascii="仿宋_GB2312" w:eastAsia="仿宋_GB2312"/>
          <w:sz w:val="32"/>
          <w:szCs w:val="32"/>
        </w:rPr>
        <w:t>020年“三公”经费财政拨款支出决算中，公务用车购置及运行维护费支出决算0.50万元，占51.55%；公务接待费支出决算0.47万元，占48.45%。具体情况如下：</w:t>
      </w:r>
    </w:p>
    <w:p>
      <w:pPr>
        <w:widowControl/>
        <w:jc w:val="left"/>
        <w:rPr>
          <w:rFonts w:ascii="仿宋_GB2312" w:eastAsia="仿宋_GB2312"/>
          <w:sz w:val="32"/>
          <w:szCs w:val="32"/>
        </w:rPr>
      </w:pPr>
      <w:r>
        <w:rPr>
          <w:rFonts w:ascii="仿宋_GB2312" w:eastAsia="仿宋_GB2312"/>
          <w:sz w:val="32"/>
          <w:szCs w:val="32"/>
        </w:rPr>
        <w:br w:type="page"/>
      </w:r>
    </w:p>
    <w:p>
      <w:pPr>
        <w:spacing w:line="600" w:lineRule="exact"/>
        <w:ind w:firstLine="640"/>
        <w:rPr>
          <w:rFonts w:ascii="仿宋_GB2312" w:hAnsi="仿宋" w:eastAsia="仿宋_GB2312"/>
          <w:sz w:val="32"/>
          <w:szCs w:val="32"/>
        </w:rPr>
      </w:pPr>
      <w:r>
        <w:rPr>
          <w:rFonts w:hint="eastAsia" w:ascii="仿宋_GB2312" w:eastAsia="仿宋_GB2312"/>
          <w:sz w:val="32"/>
          <w:szCs w:val="32"/>
        </w:rPr>
        <w:t>（图7：“三公”经费财政拨款支出结构）（饼状图）</w:t>
      </w:r>
    </w:p>
    <w:p>
      <w:pPr>
        <w:pStyle w:val="2"/>
        <w:spacing w:before="93"/>
        <w:jc w:val="center"/>
      </w:pPr>
      <w:r>
        <w:rPr>
          <w:rFonts w:hint="eastAsia"/>
        </w:rPr>
        <w:drawing>
          <wp:inline distT="0" distB="0" distL="114300" distR="114300">
            <wp:extent cx="5080000" cy="3810000"/>
            <wp:effectExtent l="4445" t="4445" r="209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600" w:lineRule="exact"/>
        <w:ind w:firstLine="640"/>
        <w:rPr>
          <w:rFonts w:ascii="仿宋_GB2312" w:eastAsia="仿宋_GB2312"/>
          <w:sz w:val="32"/>
          <w:szCs w:val="32"/>
        </w:rPr>
      </w:pPr>
      <w:r>
        <w:rPr>
          <w:rFonts w:hint="eastAsia" w:ascii="仿宋_GB2312" w:eastAsia="仿宋_GB2312"/>
          <w:b/>
          <w:sz w:val="32"/>
          <w:szCs w:val="32"/>
        </w:rPr>
        <w:t>1.公务用车购置及运行维护费支出</w:t>
      </w:r>
      <w:r>
        <w:rPr>
          <w:rFonts w:hint="eastAsia" w:ascii="仿宋_GB2312" w:eastAsia="仿宋_GB2312"/>
          <w:sz w:val="32"/>
          <w:szCs w:val="32"/>
        </w:rPr>
        <w:t>0.50万元,完成预算100%。公务用车购置及运行维护费支出决算与2019年持平。</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0万元。截至2020年12月底，单位共有公务用车1辆，其中：轿车1辆。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0.50万元。主要用于保障单位文化交流宣传业务工作等所需的公务用车燃料费、维修费、过路过桥费、保险费等支出。</w:t>
      </w:r>
    </w:p>
    <w:p>
      <w:pPr>
        <w:spacing w:line="600" w:lineRule="exact"/>
        <w:ind w:firstLine="640"/>
        <w:rPr>
          <w:rFonts w:ascii="仿宋_GB2312" w:eastAsia="仿宋_GB2312"/>
          <w:sz w:val="32"/>
          <w:szCs w:val="32"/>
        </w:rPr>
      </w:pPr>
      <w:r>
        <w:rPr>
          <w:rFonts w:hint="eastAsia" w:ascii="仿宋_GB2312" w:eastAsia="仿宋_GB2312"/>
          <w:b/>
          <w:sz w:val="32"/>
          <w:szCs w:val="32"/>
        </w:rPr>
        <w:t>2.公务接待费支出</w:t>
      </w:r>
      <w:r>
        <w:rPr>
          <w:rFonts w:hint="eastAsia" w:ascii="仿宋_GB2312" w:eastAsia="仿宋_GB2312"/>
          <w:sz w:val="32"/>
          <w:szCs w:val="32"/>
        </w:rPr>
        <w:t>0.47万元，完成预算100%。公务接待费支出决算比2019年减少0.03万元，下降0.01%。主要原因是按要求压缩三公经费。其中：</w:t>
      </w:r>
    </w:p>
    <w:p>
      <w:pPr>
        <w:spacing w:line="600" w:lineRule="exact"/>
        <w:ind w:firstLine="640"/>
        <w:rPr>
          <w:rFonts w:hint="eastAsia" w:ascii="仿宋_GB2312" w:eastAsia="仿宋_GB2312"/>
          <w:sz w:val="32"/>
          <w:szCs w:val="32"/>
        </w:rPr>
      </w:pPr>
      <w:r>
        <w:rPr>
          <w:rFonts w:hint="eastAsia" w:ascii="仿宋_GB2312" w:hAnsi="仿宋" w:eastAsia="仿宋_GB2312"/>
          <w:b/>
          <w:sz w:val="32"/>
          <w:szCs w:val="32"/>
        </w:rPr>
        <w:t>国内公务接待支出</w:t>
      </w:r>
      <w:r>
        <w:rPr>
          <w:rFonts w:hint="eastAsia" w:ascii="仿宋_GB2312" w:eastAsia="仿宋_GB2312"/>
          <w:sz w:val="32"/>
          <w:szCs w:val="32"/>
        </w:rPr>
        <w:t>0.47万元，主要用于国内公务接待7批次，33人次（不包括陪同人员），共计支出0.47万元。</w:t>
      </w:r>
    </w:p>
    <w:p>
      <w:pPr>
        <w:pStyle w:val="2"/>
        <w:spacing w:before="93"/>
      </w:pPr>
      <w:bookmarkStart w:id="40" w:name="_Toc15396610"/>
      <w:bookmarkStart w:id="41" w:name="_Toc15377218"/>
      <w:r>
        <w:rPr>
          <w:rFonts w:hint="eastAsia"/>
        </w:rPr>
        <w:t xml:space="preserve"> </w:t>
      </w:r>
      <w:bookmarkStart w:id="52" w:name="_GoBack"/>
      <w:r>
        <w:rPr>
          <w:rFonts w:hint="eastAsia"/>
        </w:rPr>
        <w:t xml:space="preserve">  </w:t>
      </w:r>
      <w:r>
        <w:rPr>
          <w:rFonts w:hint="eastAsia" w:ascii="仿宋_GB2312" w:hAnsi="Times New Roman" w:eastAsia="仿宋_GB2312" w:cs="Times New Roman"/>
          <w:b/>
          <w:kern w:val="2"/>
          <w:sz w:val="32"/>
          <w:szCs w:val="32"/>
          <w:lang w:val="en-US" w:eastAsia="zh-CN" w:bidi="ar-SA"/>
        </w:rPr>
        <w:t xml:space="preserve"> 3. 因公出国（境）费</w:t>
      </w:r>
      <w:r>
        <w:rPr>
          <w:rFonts w:hint="eastAsia" w:ascii="仿宋" w:hAnsi="仿宋" w:eastAsia="仿宋"/>
          <w:color w:val="000000"/>
          <w:sz w:val="32"/>
          <w:szCs w:val="32"/>
        </w:rPr>
        <w:t>，无支出，与</w:t>
      </w:r>
      <w:r>
        <w:rPr>
          <w:rFonts w:hint="eastAsia" w:ascii="仿宋" w:hAnsi="仿宋" w:eastAsia="仿宋"/>
          <w:color w:val="000000"/>
          <w:sz w:val="32"/>
          <w:szCs w:val="32"/>
          <w:lang w:val="en-US" w:eastAsia="zh-CN"/>
        </w:rPr>
        <w:t>去</w:t>
      </w:r>
      <w:r>
        <w:rPr>
          <w:rFonts w:hint="eastAsia" w:ascii="仿宋" w:hAnsi="仿宋" w:eastAsia="仿宋"/>
          <w:color w:val="000000"/>
          <w:sz w:val="32"/>
          <w:szCs w:val="32"/>
        </w:rPr>
        <w:t>年相比无变化。</w:t>
      </w:r>
    </w:p>
    <w:bookmarkEnd w:id="52"/>
    <w:p>
      <w:pPr>
        <w:spacing w:line="600" w:lineRule="exact"/>
        <w:ind w:firstLine="640"/>
        <w:outlineLvl w:val="1"/>
        <w:rPr>
          <w:rStyle w:val="26"/>
          <w:rFonts w:ascii="黑体" w:hAnsi="黑体" w:eastAsia="黑体"/>
        </w:rPr>
      </w:pPr>
      <w:r>
        <w:rPr>
          <w:rFonts w:hint="eastAsia" w:ascii="黑体" w:hAnsi="黑体" w:eastAsia="黑体"/>
          <w:sz w:val="32"/>
          <w:szCs w:val="32"/>
        </w:rPr>
        <w:t>八、</w:t>
      </w:r>
      <w:r>
        <w:rPr>
          <w:rStyle w:val="26"/>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hint="eastAsia" w:ascii="仿宋_GB2312" w:eastAsia="仿宋_GB2312"/>
          <w:sz w:val="32"/>
          <w:szCs w:val="32"/>
        </w:rPr>
        <w:t>2020年政府性基金预算财政拨款支出0万元。</w:t>
      </w:r>
    </w:p>
    <w:p>
      <w:pPr>
        <w:numPr>
          <w:ilvl w:val="0"/>
          <w:numId w:val="2"/>
        </w:numPr>
        <w:spacing w:line="600" w:lineRule="exact"/>
        <w:ind w:firstLine="640"/>
        <w:outlineLvl w:val="1"/>
        <w:rPr>
          <w:rStyle w:val="26"/>
          <w:rFonts w:ascii="黑体" w:hAnsi="黑体" w:eastAsia="黑体"/>
          <w:b w:val="0"/>
        </w:rPr>
      </w:pPr>
      <w:bookmarkStart w:id="42" w:name="_Toc15377219"/>
      <w:bookmarkStart w:id="43" w:name="_Toc15396611"/>
      <w:r>
        <w:rPr>
          <w:rStyle w:val="26"/>
          <w:rFonts w:hint="eastAsia" w:ascii="黑体" w:hAnsi="黑体" w:eastAsia="黑体"/>
          <w:b w:val="0"/>
        </w:rPr>
        <w:t>国有资本经营预算支出决算情况说明</w:t>
      </w:r>
      <w:bookmarkEnd w:id="42"/>
      <w:bookmarkEnd w:id="43"/>
    </w:p>
    <w:p>
      <w:pPr>
        <w:spacing w:line="600" w:lineRule="exact"/>
        <w:ind w:firstLine="640"/>
        <w:rPr>
          <w:rFonts w:ascii="仿宋_GB2312" w:hAnsi="方正小标宋简体" w:eastAsia="仿宋_GB2312" w:cs="方正小标宋简体"/>
          <w:sz w:val="44"/>
          <w:szCs w:val="44"/>
        </w:rPr>
      </w:pPr>
      <w:r>
        <w:rPr>
          <w:rFonts w:hint="eastAsia" w:ascii="仿宋_GB2312" w:eastAsia="仿宋_GB2312"/>
          <w:sz w:val="32"/>
          <w:szCs w:val="32"/>
        </w:rPr>
        <w:t>2020年国有资本经营预算财政拨款支出0万元。</w:t>
      </w:r>
    </w:p>
    <w:p>
      <w:pPr>
        <w:numPr>
          <w:ilvl w:val="0"/>
          <w:numId w:val="2"/>
        </w:numPr>
        <w:spacing w:line="600" w:lineRule="exact"/>
        <w:ind w:firstLine="640"/>
        <w:outlineLvl w:val="1"/>
        <w:rPr>
          <w:rStyle w:val="26"/>
          <w:rFonts w:ascii="黑体" w:hAnsi="黑体" w:eastAsia="黑体"/>
          <w:b w:val="0"/>
        </w:rPr>
      </w:pPr>
      <w:bookmarkStart w:id="44" w:name="_Toc15377221"/>
      <w:bookmarkStart w:id="45" w:name="_Toc15396612"/>
      <w:r>
        <w:rPr>
          <w:rStyle w:val="26"/>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_GB2312" w:hAnsi="仿宋" w:eastAsia="仿宋_GB2312"/>
          <w:sz w:val="32"/>
          <w:szCs w:val="32"/>
        </w:rPr>
      </w:pPr>
      <w:bookmarkStart w:id="46" w:name="_Toc15377222"/>
      <w:r>
        <w:rPr>
          <w:rFonts w:hint="eastAsia" w:ascii="仿宋_GB2312" w:hAnsi="仿宋" w:eastAsia="仿宋_GB2312"/>
          <w:b/>
          <w:sz w:val="32"/>
          <w:szCs w:val="32"/>
        </w:rPr>
        <w:t>（一）机关运行经费支出情况</w:t>
      </w:r>
      <w:bookmarkEnd w:id="46"/>
    </w:p>
    <w:p>
      <w:pPr>
        <w:spacing w:line="600" w:lineRule="exact"/>
        <w:ind w:firstLine="1285" w:firstLineChars="400"/>
        <w:rPr>
          <w:rFonts w:ascii="仿宋_GB2312" w:hAnsi="仿宋" w:eastAsia="仿宋_GB2312"/>
          <w:b/>
          <w:sz w:val="32"/>
          <w:szCs w:val="32"/>
        </w:rPr>
      </w:pPr>
      <w:r>
        <w:rPr>
          <w:rFonts w:hint="eastAsia" w:ascii="仿宋_GB2312" w:hAnsi="仿宋" w:eastAsia="仿宋_GB2312"/>
          <w:b/>
          <w:sz w:val="32"/>
          <w:szCs w:val="32"/>
        </w:rPr>
        <w:t>无</w:t>
      </w:r>
    </w:p>
    <w:p>
      <w:pPr>
        <w:autoSpaceDE w:val="0"/>
        <w:autoSpaceDN w:val="0"/>
        <w:adjustRightInd w:val="0"/>
        <w:spacing w:line="600" w:lineRule="exact"/>
        <w:ind w:firstLine="643" w:firstLineChars="200"/>
        <w:jc w:val="left"/>
        <w:outlineLvl w:val="2"/>
        <w:rPr>
          <w:rFonts w:ascii="仿宋_GB2312" w:hAnsi="仿宋" w:eastAsia="仿宋_GB2312"/>
          <w:b/>
          <w:sz w:val="32"/>
          <w:szCs w:val="32"/>
        </w:rPr>
      </w:pPr>
      <w:bookmarkStart w:id="47" w:name="_Toc15377223"/>
      <w:r>
        <w:rPr>
          <w:rFonts w:hint="eastAsia" w:ascii="仿宋_GB2312" w:hAnsi="仿宋" w:eastAsia="仿宋_GB2312"/>
          <w:b/>
          <w:sz w:val="32"/>
          <w:szCs w:val="32"/>
        </w:rPr>
        <w:t>（二）政府采购支出情况</w:t>
      </w:r>
      <w:bookmarkEnd w:id="47"/>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2020年公务用车运行费政府采购支出总额0.50万元，其中：政府采购车辆加油服务支出0.50万元万元。主要用于保障单位开展综合业务工作需要，占政府采购支出总额的100%。</w:t>
      </w:r>
      <w:r>
        <w:rPr>
          <w:rFonts w:hint="eastAsia" w:ascii="仿宋_GB2312" w:eastAsia="仿宋_GB2312"/>
          <w:color w:val="000000"/>
          <w:sz w:val="32"/>
          <w:szCs w:val="32"/>
        </w:rPr>
        <w:t>授予中小企业合同金额0.5万元，占政府采购支出总额的100</w:t>
      </w:r>
      <w:r>
        <w:rPr>
          <w:rFonts w:ascii="仿宋_GB2312" w:eastAsia="仿宋_GB2312"/>
          <w:color w:val="000000"/>
          <w:sz w:val="32"/>
          <w:szCs w:val="32"/>
        </w:rPr>
        <w:t>%</w:t>
      </w:r>
      <w:r>
        <w:rPr>
          <w:rFonts w:hint="eastAsia" w:ascii="仿宋_GB2312" w:eastAsia="仿宋_GB2312"/>
          <w:color w:val="000000"/>
          <w:sz w:val="32"/>
          <w:szCs w:val="32"/>
        </w:rPr>
        <w:t>，无授予小微企业合同金额。</w:t>
      </w:r>
    </w:p>
    <w:p>
      <w:pPr>
        <w:autoSpaceDE w:val="0"/>
        <w:autoSpaceDN w:val="0"/>
        <w:adjustRightInd w:val="0"/>
        <w:spacing w:line="600" w:lineRule="exact"/>
        <w:ind w:firstLine="643" w:firstLineChars="200"/>
        <w:jc w:val="left"/>
        <w:outlineLvl w:val="2"/>
        <w:rPr>
          <w:rFonts w:ascii="仿宋_GB2312" w:hAnsi="仿宋" w:eastAsia="仿宋_GB2312"/>
          <w:b/>
          <w:sz w:val="32"/>
          <w:szCs w:val="32"/>
        </w:rPr>
      </w:pPr>
      <w:bookmarkStart w:id="48" w:name="_Toc15377224"/>
      <w:r>
        <w:rPr>
          <w:rFonts w:hint="eastAsia" w:ascii="仿宋_GB2312" w:hAnsi="仿宋" w:eastAsia="仿宋_GB2312"/>
          <w:b/>
          <w:sz w:val="32"/>
          <w:szCs w:val="32"/>
        </w:rPr>
        <w:t>（三）国有资产占有使用情况</w:t>
      </w:r>
      <w:bookmarkEnd w:id="48"/>
    </w:p>
    <w:p>
      <w:pPr>
        <w:spacing w:line="580" w:lineRule="exact"/>
        <w:ind w:firstLine="640" w:firstLineChars="200"/>
        <w:rPr>
          <w:rFonts w:ascii="仿宋_GB2312" w:eastAsia="仿宋_GB2312"/>
          <w:sz w:val="32"/>
          <w:szCs w:val="32"/>
        </w:rPr>
      </w:pPr>
      <w:r>
        <w:rPr>
          <w:rFonts w:hint="eastAsia" w:ascii="仿宋_GB2312" w:eastAsia="仿宋_GB2312"/>
          <w:sz w:val="32"/>
          <w:szCs w:val="32"/>
        </w:rPr>
        <w:t>截至2020年12月31日，省文产（交流）中心共有车辆壹辆,其中：主要领导干部用车0辆、机要通信用车0辆、应急保障用车0辆、其他用车1辆，其他用车主要是用于保障单位综合业务工作等，单价50万元以上通用设备0台（套），单价100万元以上专用设备0台（套）。</w:t>
      </w:r>
    </w:p>
    <w:p>
      <w:pPr>
        <w:autoSpaceDE w:val="0"/>
        <w:autoSpaceDN w:val="0"/>
        <w:adjustRightInd w:val="0"/>
        <w:spacing w:line="600" w:lineRule="exact"/>
        <w:ind w:firstLine="643" w:firstLineChars="200"/>
        <w:jc w:val="left"/>
        <w:outlineLvl w:val="2"/>
        <w:rPr>
          <w:rFonts w:ascii="仿宋_GB2312" w:hAnsi="仿宋" w:eastAsia="仿宋_GB2312"/>
          <w:b/>
          <w:sz w:val="32"/>
          <w:szCs w:val="32"/>
        </w:rPr>
      </w:pPr>
      <w:r>
        <w:rPr>
          <w:rFonts w:hint="eastAsia" w:ascii="仿宋_GB2312" w:hAnsi="仿宋" w:eastAsia="仿宋_GB2312"/>
          <w:b/>
          <w:sz w:val="32"/>
          <w:szCs w:val="32"/>
        </w:rPr>
        <w:t>（四）预算绩效管理情况</w:t>
      </w:r>
    </w:p>
    <w:p>
      <w:pPr>
        <w:overflowPunct w:val="0"/>
        <w:adjustRightInd w:val="0"/>
        <w:snapToGrid w:val="0"/>
        <w:spacing w:line="576" w:lineRule="exact"/>
        <w:ind w:firstLine="640" w:firstLineChars="200"/>
        <w:rPr>
          <w:rFonts w:ascii="仿宋_GB2312" w:eastAsia="仿宋_GB2312"/>
          <w:sz w:val="32"/>
          <w:szCs w:val="32"/>
        </w:rPr>
      </w:pPr>
      <w:r>
        <w:rPr>
          <w:rFonts w:eastAsia="楷体_GB2312"/>
          <w:bCs/>
          <w:snapToGrid w:val="0"/>
          <w:kern w:val="0"/>
          <w:sz w:val="32"/>
          <w:szCs w:val="32"/>
        </w:rPr>
        <w:t>（</w:t>
      </w:r>
      <w:r>
        <w:rPr>
          <w:rFonts w:hint="eastAsia" w:eastAsia="楷体_GB2312"/>
          <w:bCs/>
          <w:snapToGrid w:val="0"/>
          <w:kern w:val="0"/>
          <w:sz w:val="32"/>
          <w:szCs w:val="32"/>
        </w:rPr>
        <w:t>1</w:t>
      </w:r>
      <w:r>
        <w:rPr>
          <w:rFonts w:eastAsia="楷体_GB2312"/>
          <w:bCs/>
          <w:snapToGrid w:val="0"/>
          <w:kern w:val="0"/>
          <w:sz w:val="32"/>
          <w:szCs w:val="32"/>
        </w:rPr>
        <w:t>）项目绩效目标完成情况。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根据预算绩效管理要求，本单位没有100万（含100万）以上的预算项目，没有开展项目事前绩效评估、绩效目标编制、绩效监控、绩效目标完成情况自评等工作。</w:t>
      </w: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（2）单位绩效评价结果。</w:t>
      </w:r>
    </w:p>
    <w:p>
      <w:pPr>
        <w:pStyle w:val="2"/>
        <w:spacing w:before="93"/>
      </w:pPr>
      <w:r>
        <w:rPr>
          <w:rFonts w:hint="eastAsia"/>
        </w:rPr>
        <w:t xml:space="preserve">    本单位没有组织开展项目绩效评价。</w:t>
      </w:r>
    </w:p>
    <w:p>
      <w:pPr>
        <w:widowControl/>
        <w:jc w:val="left"/>
        <w:rPr>
          <w:rFonts w:ascii="楷体_GB2312" w:hAnsi="楷体_GB2312" w:eastAsia="楷体_GB2312" w:cs="楷体_GB2312"/>
          <w:sz w:val="32"/>
          <w:szCs w:val="32"/>
        </w:rPr>
      </w:pPr>
    </w:p>
    <w:p>
      <w:pPr>
        <w:pStyle w:val="2"/>
        <w:spacing w:before="93"/>
        <w:rPr>
          <w:rFonts w:ascii="黑体" w:hAnsi="黑体" w:eastAsia="黑体"/>
          <w:color w:val="000000"/>
          <w:sz w:val="44"/>
          <w:szCs w:val="44"/>
        </w:rPr>
      </w:pPr>
      <w:bookmarkStart w:id="49" w:name="_Toc15396613"/>
      <w:bookmarkStart w:id="50" w:name="_Toc15377225"/>
    </w:p>
    <w:p>
      <w:pPr>
        <w:pStyle w:val="2"/>
        <w:spacing w:before="93"/>
        <w:rPr>
          <w:rFonts w:ascii="黑体" w:hAnsi="黑体" w:eastAsia="黑体"/>
          <w:color w:val="000000"/>
          <w:sz w:val="44"/>
          <w:szCs w:val="44"/>
        </w:rPr>
      </w:pPr>
    </w:p>
    <w:p>
      <w:pPr>
        <w:pStyle w:val="2"/>
        <w:spacing w:before="93"/>
        <w:rPr>
          <w:rFonts w:ascii="黑体" w:hAnsi="黑体" w:eastAsia="黑体"/>
          <w:color w:val="000000"/>
          <w:sz w:val="44"/>
          <w:szCs w:val="44"/>
        </w:rPr>
      </w:pPr>
    </w:p>
    <w:p>
      <w:pPr>
        <w:pStyle w:val="2"/>
        <w:spacing w:before="93"/>
        <w:rPr>
          <w:rFonts w:ascii="黑体" w:hAnsi="黑体" w:eastAsia="黑体"/>
          <w:color w:val="000000"/>
          <w:sz w:val="44"/>
          <w:szCs w:val="44"/>
        </w:rPr>
      </w:pPr>
    </w:p>
    <w:p>
      <w:pPr>
        <w:pStyle w:val="2"/>
        <w:spacing w:before="93"/>
        <w:rPr>
          <w:rFonts w:ascii="黑体" w:hAnsi="黑体" w:eastAsia="黑体"/>
          <w:color w:val="000000"/>
          <w:sz w:val="44"/>
          <w:szCs w:val="44"/>
        </w:rPr>
      </w:pPr>
    </w:p>
    <w:p>
      <w:pPr>
        <w:pStyle w:val="2"/>
        <w:spacing w:before="93"/>
        <w:rPr>
          <w:rFonts w:ascii="黑体" w:hAnsi="黑体" w:eastAsia="黑体"/>
          <w:color w:val="000000"/>
          <w:sz w:val="44"/>
          <w:szCs w:val="44"/>
        </w:rPr>
      </w:pPr>
    </w:p>
    <w:p>
      <w:pPr>
        <w:pStyle w:val="2"/>
        <w:spacing w:before="93"/>
        <w:rPr>
          <w:rFonts w:ascii="黑体" w:hAnsi="黑体" w:eastAsia="黑体"/>
          <w:color w:val="000000"/>
          <w:sz w:val="44"/>
          <w:szCs w:val="44"/>
        </w:rPr>
      </w:pPr>
    </w:p>
    <w:p>
      <w:pPr>
        <w:pStyle w:val="2"/>
        <w:spacing w:before="93"/>
        <w:rPr>
          <w:rFonts w:ascii="黑体" w:hAnsi="黑体" w:eastAsia="黑体"/>
          <w:color w:val="000000"/>
          <w:sz w:val="44"/>
          <w:szCs w:val="44"/>
        </w:rPr>
      </w:pPr>
    </w:p>
    <w:p>
      <w:pPr>
        <w:pStyle w:val="2"/>
        <w:spacing w:before="93"/>
        <w:rPr>
          <w:rFonts w:ascii="黑体" w:hAnsi="黑体" w:eastAsia="黑体"/>
          <w:color w:val="000000"/>
          <w:sz w:val="44"/>
          <w:szCs w:val="44"/>
        </w:rPr>
      </w:pPr>
    </w:p>
    <w:p>
      <w:pPr>
        <w:pStyle w:val="2"/>
        <w:spacing w:before="93"/>
        <w:rPr>
          <w:rFonts w:ascii="黑体" w:hAnsi="黑体" w:eastAsia="黑体"/>
          <w:color w:val="000000"/>
          <w:sz w:val="44"/>
          <w:szCs w:val="44"/>
        </w:rPr>
      </w:pPr>
    </w:p>
    <w:p>
      <w:pPr>
        <w:pStyle w:val="2"/>
        <w:spacing w:before="93"/>
        <w:rPr>
          <w:rFonts w:ascii="黑体" w:hAnsi="黑体" w:eastAsia="黑体"/>
          <w:color w:val="000000"/>
          <w:sz w:val="44"/>
          <w:szCs w:val="44"/>
        </w:rPr>
      </w:pPr>
    </w:p>
    <w:p>
      <w:pPr>
        <w:pStyle w:val="2"/>
        <w:spacing w:before="93"/>
        <w:rPr>
          <w:rFonts w:ascii="黑体" w:hAnsi="黑体" w:eastAsia="黑体"/>
          <w:color w:val="000000"/>
          <w:sz w:val="44"/>
          <w:szCs w:val="44"/>
        </w:rPr>
      </w:pPr>
    </w:p>
    <w:p>
      <w:pPr>
        <w:pStyle w:val="2"/>
        <w:spacing w:before="93"/>
        <w:rPr>
          <w:rFonts w:ascii="黑体" w:hAnsi="黑体" w:eastAsia="黑体"/>
          <w:color w:val="000000"/>
          <w:sz w:val="44"/>
          <w:szCs w:val="44"/>
        </w:rPr>
      </w:pPr>
    </w:p>
    <w:p>
      <w:pPr>
        <w:spacing w:line="600" w:lineRule="exact"/>
        <w:jc w:val="center"/>
        <w:outlineLvl w:val="0"/>
        <w:rPr>
          <w:rStyle w:val="25"/>
          <w:rFonts w:ascii="黑体" w:hAnsi="黑体" w:eastAsia="黑体"/>
          <w:b w:val="0"/>
        </w:rPr>
      </w:pPr>
      <w:r>
        <w:rPr>
          <w:rFonts w:hint="eastAsia" w:ascii="黑体" w:hAnsi="黑体" w:eastAsia="黑体"/>
          <w:color w:val="000000"/>
          <w:sz w:val="44"/>
          <w:szCs w:val="44"/>
        </w:rPr>
        <w:t>第三部分 名</w:t>
      </w:r>
      <w:r>
        <w:rPr>
          <w:rStyle w:val="25"/>
          <w:rFonts w:hint="eastAsia" w:ascii="黑体" w:hAnsi="黑体" w:eastAsia="黑体"/>
          <w:b w:val="0"/>
        </w:rPr>
        <w:t>词解释</w:t>
      </w:r>
      <w:bookmarkEnd w:id="49"/>
      <w:bookmarkEnd w:id="50"/>
    </w:p>
    <w:p>
      <w:pPr>
        <w:spacing w:line="600" w:lineRule="exact"/>
        <w:jc w:val="left"/>
        <w:rPr>
          <w:rFonts w:ascii="宋体"/>
          <w:b/>
          <w:color w:val="000000"/>
          <w:sz w:val="44"/>
          <w:szCs w:val="44"/>
        </w:rPr>
      </w:pPr>
    </w:p>
    <w:p>
      <w:pPr>
        <w:pStyle w:val="23"/>
        <w:spacing w:line="560" w:lineRule="exact"/>
        <w:ind w:firstLine="640" w:firstLineChars="200"/>
        <w:rPr>
          <w:rFonts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rPr>
        <w:t>1.财政拨款收入：指单位从同级财政部门取得的财政预算资金。</w:t>
      </w:r>
    </w:p>
    <w:p>
      <w:pPr>
        <w:pStyle w:val="23"/>
        <w:spacing w:line="560" w:lineRule="exact"/>
        <w:ind w:firstLine="640" w:firstLineChars="200"/>
        <w:rPr>
          <w:rFonts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rPr>
        <w:t>2.其他收入：指单位取得的除上述收入以外的各项收入。</w:t>
      </w:r>
    </w:p>
    <w:p>
      <w:pPr>
        <w:pStyle w:val="23"/>
        <w:spacing w:line="560" w:lineRule="exact"/>
        <w:ind w:firstLine="640" w:firstLineChars="200"/>
        <w:rPr>
          <w:rFonts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rPr>
        <w:t>3.使用非财政拨款结余：指事业单位使用以前年度积累的非财政拨款结余弥补当年收支差额的金额。</w:t>
      </w:r>
    </w:p>
    <w:p>
      <w:pPr>
        <w:pStyle w:val="23"/>
        <w:spacing w:line="560" w:lineRule="exact"/>
        <w:ind w:firstLine="707" w:firstLineChars="221"/>
        <w:rPr>
          <w:rFonts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rPr>
        <w:t>4．一般公共服务（类）宣传事务（款）事业运行（项）：指省文产(交流)中心用于保障机构正常运行、开展日常工作的基本支出。</w:t>
      </w:r>
    </w:p>
    <w:p>
      <w:pPr>
        <w:pStyle w:val="23"/>
        <w:spacing w:line="560" w:lineRule="exact"/>
        <w:ind w:firstLine="707" w:firstLineChars="221"/>
        <w:rPr>
          <w:rFonts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rPr>
        <w:t>5．文化体育与传媒支出（类）其他文化体育与传媒支出（款）宣传文化发展专项支出（项）：指省文产(交流)中心按照国家有关政策开展文化宣传发展工作的专项支出。</w:t>
      </w:r>
    </w:p>
    <w:p>
      <w:pPr>
        <w:pStyle w:val="23"/>
        <w:spacing w:line="560" w:lineRule="exact"/>
        <w:ind w:firstLine="707" w:firstLineChars="221"/>
        <w:rPr>
          <w:rFonts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rPr>
        <w:t>6．文化体育与传媒支出（类）其他文化体育与传媒支出（款）文化产业发展专项支出（项）：指省文产(交流)中心按照国家有关政策开展文化产业发展工作的专项支出。</w:t>
      </w:r>
    </w:p>
    <w:p>
      <w:pPr>
        <w:pStyle w:val="23"/>
        <w:spacing w:line="560" w:lineRule="exact"/>
        <w:ind w:firstLine="707" w:firstLineChars="221"/>
        <w:rPr>
          <w:rFonts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rPr>
        <w:t>7．社会保障和就业支出（类）行政事业单位离退休（款）事业单位离休费（项）：指事业单位开支的离退休经费。</w:t>
      </w:r>
    </w:p>
    <w:p>
      <w:pPr>
        <w:pStyle w:val="23"/>
        <w:spacing w:line="560" w:lineRule="exact"/>
        <w:ind w:firstLine="707" w:firstLineChars="221"/>
        <w:rPr>
          <w:rFonts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rPr>
        <w:t>8．社会保障和就业支出（类）行政事业单位离退休（款）机关事业单位基本养老保险缴费支出（项）：指事业单位实施养老保险制度由单位缴纳的基本养老保险。</w:t>
      </w:r>
    </w:p>
    <w:p>
      <w:pPr>
        <w:pStyle w:val="23"/>
        <w:spacing w:line="560" w:lineRule="exact"/>
        <w:ind w:firstLine="707" w:firstLineChars="221"/>
        <w:rPr>
          <w:rFonts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rPr>
        <w:t>9．社会保障和就业支出（类）行政事业单位离退休（款）机关事业单位职业年金缴费支出（项）：指事业单位实施养老保险制度由单位缴纳的职业年金支出。</w:t>
      </w:r>
    </w:p>
    <w:p>
      <w:pPr>
        <w:pStyle w:val="23"/>
        <w:spacing w:line="560" w:lineRule="exact"/>
        <w:ind w:firstLine="707" w:firstLineChars="221"/>
        <w:rPr>
          <w:rFonts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rPr>
        <w:t>10．卫生健康支出（类）行政事业单位医疗（款）事业单位医疗（项）：指用于事业单位医疗保险缴费经费。</w:t>
      </w:r>
    </w:p>
    <w:p>
      <w:pPr>
        <w:pStyle w:val="23"/>
        <w:spacing w:line="560" w:lineRule="exact"/>
        <w:ind w:firstLine="707" w:firstLineChars="221"/>
        <w:rPr>
          <w:rFonts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rPr>
        <w:t>11．住房保障支出（类）住房改革支出（款）住房公积金（项）：指用于事业单位按人力资源和社会保障部、财政部规定的基本工资和津贴补贴以及规定比例为职工缴纳的住房公积金。</w:t>
      </w:r>
    </w:p>
    <w:p>
      <w:pPr>
        <w:pStyle w:val="23"/>
        <w:spacing w:line="560" w:lineRule="exact"/>
        <w:ind w:firstLine="707" w:firstLineChars="221"/>
        <w:rPr>
          <w:rFonts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rPr>
        <w:t>12．基本支出：指为保障机构正常运转、完成日常工作任务而发生的人员支出和公用支出。</w:t>
      </w:r>
    </w:p>
    <w:p>
      <w:pPr>
        <w:pStyle w:val="23"/>
        <w:spacing w:line="560" w:lineRule="exact"/>
        <w:ind w:firstLine="707" w:firstLineChars="221"/>
        <w:rPr>
          <w:rFonts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rPr>
        <w:t>13．项目支出：指在基本支出之外为完成特定行政任务和事业发展目标所发生的支出。</w:t>
      </w:r>
    </w:p>
    <w:p>
      <w:pPr>
        <w:pStyle w:val="23"/>
        <w:spacing w:line="560" w:lineRule="exact"/>
        <w:ind w:firstLine="707" w:firstLineChars="221"/>
        <w:rPr>
          <w:rFonts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rPr>
        <w:t>14.“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hAnsi="Times New Roman" w:eastAsia="仿宋_GB2312" w:cs="Times New Roman"/>
          <w:color w:val="auto"/>
          <w:kern w:val="2"/>
          <w:sz w:val="32"/>
          <w:szCs w:val="32"/>
        </w:rPr>
      </w:pPr>
    </w:p>
    <w:p>
      <w:pPr>
        <w:jc w:val="center"/>
        <w:rPr>
          <w:rFonts w:ascii="黑体" w:eastAsia="黑体"/>
          <w:color w:val="000000"/>
          <w:sz w:val="44"/>
          <w:szCs w:val="44"/>
        </w:rPr>
      </w:pPr>
    </w:p>
    <w:p>
      <w:pPr>
        <w:jc w:val="center"/>
        <w:rPr>
          <w:rFonts w:ascii="黑体" w:eastAsia="黑体"/>
          <w:color w:val="000000"/>
          <w:sz w:val="44"/>
          <w:szCs w:val="44"/>
        </w:rPr>
      </w:pPr>
    </w:p>
    <w:p>
      <w:pPr>
        <w:jc w:val="center"/>
        <w:rPr>
          <w:rFonts w:ascii="黑体" w:eastAsia="黑体"/>
          <w:color w:val="000000"/>
          <w:sz w:val="44"/>
          <w:szCs w:val="44"/>
        </w:rPr>
      </w:pPr>
    </w:p>
    <w:p>
      <w:pPr>
        <w:jc w:val="center"/>
        <w:rPr>
          <w:rFonts w:ascii="黑体" w:eastAsia="黑体"/>
          <w:color w:val="000000"/>
          <w:sz w:val="44"/>
          <w:szCs w:val="44"/>
        </w:rPr>
      </w:pPr>
    </w:p>
    <w:p>
      <w:pPr>
        <w:jc w:val="center"/>
        <w:rPr>
          <w:rStyle w:val="31"/>
          <w:rFonts w:ascii="黑体" w:eastAsia="黑体"/>
          <w:b w:val="0"/>
        </w:rPr>
      </w:pPr>
      <w:r>
        <w:rPr>
          <w:rFonts w:hint="eastAsia" w:ascii="黑体" w:eastAsia="黑体"/>
          <w:color w:val="000000"/>
          <w:sz w:val="44"/>
          <w:szCs w:val="44"/>
        </w:rPr>
        <w:t>第</w:t>
      </w:r>
      <w:r>
        <w:rPr>
          <w:rStyle w:val="31"/>
          <w:rFonts w:hint="eastAsia" w:ascii="黑体" w:eastAsia="黑体"/>
          <w:b w:val="0"/>
        </w:rPr>
        <w:t>四部分 附件</w:t>
      </w:r>
    </w:p>
    <w:p>
      <w:pPr>
        <w:pStyle w:val="2"/>
        <w:spacing w:before="93"/>
        <w:jc w:val="center"/>
      </w:pPr>
      <w:r>
        <w:rPr>
          <w:rFonts w:hint="eastAsia"/>
          <w:kern w:val="2"/>
          <w:sz w:val="32"/>
          <w:szCs w:val="32"/>
        </w:rPr>
        <w:t>无。</w:t>
      </w:r>
    </w:p>
    <w:p>
      <w:pPr>
        <w:pStyle w:val="23"/>
        <w:spacing w:line="560" w:lineRule="exact"/>
        <w:ind w:firstLine="640" w:firstLineChars="200"/>
        <w:rPr>
          <w:rFonts w:ascii="仿宋_GB2312" w:hAnsi="Times New Roman" w:eastAsia="仿宋_GB2312" w:cs="Times New Roman"/>
          <w:color w:val="auto"/>
          <w:kern w:val="2"/>
          <w:sz w:val="32"/>
          <w:szCs w:val="32"/>
        </w:rPr>
      </w:pPr>
    </w:p>
    <w:p>
      <w:pPr>
        <w:pStyle w:val="23"/>
        <w:spacing w:line="560" w:lineRule="exact"/>
        <w:ind w:firstLine="640" w:firstLineChars="200"/>
        <w:rPr>
          <w:rFonts w:ascii="仿宋_GB2312" w:hAnsi="Times New Roman" w:eastAsia="仿宋_GB2312" w:cs="Times New Roman"/>
          <w:color w:val="auto"/>
          <w:kern w:val="2"/>
          <w:sz w:val="32"/>
          <w:szCs w:val="32"/>
        </w:rPr>
      </w:pPr>
    </w:p>
    <w:p>
      <w:pPr>
        <w:pStyle w:val="23"/>
        <w:spacing w:line="560" w:lineRule="exact"/>
        <w:ind w:firstLine="640" w:firstLineChars="200"/>
        <w:rPr>
          <w:rFonts w:ascii="仿宋_GB2312" w:hAnsi="Times New Roman" w:eastAsia="仿宋_GB2312" w:cs="Times New Roman"/>
          <w:color w:val="auto"/>
          <w:kern w:val="2"/>
          <w:sz w:val="32"/>
          <w:szCs w:val="32"/>
        </w:rPr>
      </w:pPr>
    </w:p>
    <w:p>
      <w:pPr>
        <w:pStyle w:val="23"/>
        <w:spacing w:line="560" w:lineRule="exact"/>
        <w:ind w:firstLine="640" w:firstLineChars="200"/>
        <w:rPr>
          <w:rFonts w:ascii="仿宋_GB2312" w:hAnsi="Times New Roman" w:eastAsia="仿宋_GB2312" w:cs="Times New Roman"/>
          <w:color w:val="auto"/>
          <w:kern w:val="2"/>
          <w:sz w:val="32"/>
          <w:szCs w:val="32"/>
        </w:rPr>
      </w:pPr>
    </w:p>
    <w:p>
      <w:pPr>
        <w:pStyle w:val="23"/>
        <w:spacing w:line="560" w:lineRule="exact"/>
        <w:ind w:firstLine="640" w:firstLineChars="200"/>
        <w:rPr>
          <w:rFonts w:ascii="仿宋_GB2312" w:hAnsi="Times New Roman" w:eastAsia="仿宋_GB2312" w:cs="Times New Roman"/>
          <w:color w:val="auto"/>
          <w:kern w:val="2"/>
          <w:sz w:val="32"/>
          <w:szCs w:val="32"/>
        </w:rPr>
      </w:pPr>
    </w:p>
    <w:p>
      <w:pPr>
        <w:pStyle w:val="23"/>
        <w:spacing w:line="560" w:lineRule="exact"/>
        <w:ind w:firstLine="640" w:firstLineChars="200"/>
        <w:rPr>
          <w:rFonts w:ascii="仿宋_GB2312" w:hAnsi="Times New Roman" w:eastAsia="仿宋_GB2312" w:cs="Times New Roman"/>
          <w:color w:val="auto"/>
          <w:kern w:val="2"/>
          <w:sz w:val="32"/>
          <w:szCs w:val="32"/>
        </w:rPr>
      </w:pPr>
    </w:p>
    <w:p>
      <w:pPr>
        <w:pStyle w:val="23"/>
        <w:spacing w:line="560" w:lineRule="exact"/>
        <w:ind w:firstLine="640" w:firstLineChars="200"/>
        <w:rPr>
          <w:rFonts w:ascii="仿宋_GB2312" w:hAnsi="Times New Roman" w:eastAsia="仿宋_GB2312" w:cs="Times New Roman"/>
          <w:color w:val="auto"/>
          <w:kern w:val="2"/>
          <w:sz w:val="32"/>
          <w:szCs w:val="32"/>
        </w:rPr>
      </w:pPr>
    </w:p>
    <w:p>
      <w:pPr>
        <w:pStyle w:val="23"/>
        <w:spacing w:line="560" w:lineRule="exact"/>
        <w:ind w:firstLine="640" w:firstLineChars="200"/>
        <w:rPr>
          <w:rFonts w:ascii="仿宋_GB2312" w:hAnsi="Times New Roman" w:eastAsia="仿宋_GB2312" w:cs="Times New Roman"/>
          <w:color w:val="auto"/>
          <w:kern w:val="2"/>
          <w:sz w:val="32"/>
          <w:szCs w:val="32"/>
        </w:rPr>
      </w:pPr>
    </w:p>
    <w:p>
      <w:pPr>
        <w:pStyle w:val="23"/>
        <w:spacing w:line="560" w:lineRule="exact"/>
        <w:ind w:firstLine="640" w:firstLineChars="200"/>
        <w:rPr>
          <w:rFonts w:ascii="仿宋_GB2312" w:hAnsi="Times New Roman" w:eastAsia="仿宋_GB2312" w:cs="Times New Roman"/>
          <w:color w:val="auto"/>
          <w:kern w:val="2"/>
          <w:sz w:val="32"/>
          <w:szCs w:val="32"/>
        </w:rPr>
      </w:pPr>
    </w:p>
    <w:p>
      <w:pPr>
        <w:pStyle w:val="23"/>
        <w:spacing w:line="560" w:lineRule="exact"/>
        <w:ind w:firstLine="640" w:firstLineChars="200"/>
        <w:rPr>
          <w:rFonts w:ascii="仿宋_GB2312" w:hAnsi="Times New Roman" w:eastAsia="仿宋_GB2312" w:cs="Times New Roman"/>
          <w:color w:val="auto"/>
          <w:kern w:val="2"/>
          <w:sz w:val="32"/>
          <w:szCs w:val="32"/>
        </w:rPr>
      </w:pPr>
    </w:p>
    <w:p>
      <w:pPr>
        <w:pStyle w:val="23"/>
        <w:spacing w:line="560" w:lineRule="exact"/>
        <w:ind w:firstLine="640" w:firstLineChars="200"/>
        <w:rPr>
          <w:rFonts w:ascii="仿宋_GB2312" w:hAnsi="Times New Roman" w:eastAsia="仿宋_GB2312" w:cs="Times New Roman"/>
          <w:color w:val="auto"/>
          <w:kern w:val="2"/>
          <w:sz w:val="32"/>
          <w:szCs w:val="32"/>
        </w:rPr>
      </w:pPr>
    </w:p>
    <w:p>
      <w:pPr>
        <w:pStyle w:val="23"/>
        <w:spacing w:line="560" w:lineRule="exact"/>
        <w:ind w:firstLine="640" w:firstLineChars="200"/>
        <w:rPr>
          <w:rFonts w:ascii="仿宋_GB2312" w:hAnsi="Times New Roman" w:eastAsia="仿宋_GB2312" w:cs="Times New Roman"/>
          <w:color w:val="auto"/>
          <w:kern w:val="2"/>
          <w:sz w:val="32"/>
          <w:szCs w:val="32"/>
        </w:rPr>
      </w:pPr>
    </w:p>
    <w:p>
      <w:pPr>
        <w:pStyle w:val="23"/>
        <w:spacing w:line="560" w:lineRule="exact"/>
        <w:ind w:firstLine="640" w:firstLineChars="200"/>
        <w:rPr>
          <w:rFonts w:ascii="仿宋_GB2312" w:hAnsi="Times New Roman" w:eastAsia="仿宋_GB2312" w:cs="Times New Roman"/>
          <w:color w:val="auto"/>
          <w:kern w:val="2"/>
          <w:sz w:val="32"/>
          <w:szCs w:val="32"/>
        </w:rPr>
      </w:pPr>
    </w:p>
    <w:p>
      <w:pPr>
        <w:pStyle w:val="23"/>
        <w:spacing w:line="560" w:lineRule="exact"/>
        <w:ind w:firstLine="640" w:firstLineChars="200"/>
        <w:rPr>
          <w:rFonts w:ascii="仿宋_GB2312" w:hAnsi="Times New Roman" w:eastAsia="仿宋_GB2312" w:cs="Times New Roman"/>
          <w:color w:val="auto"/>
          <w:kern w:val="2"/>
          <w:sz w:val="32"/>
          <w:szCs w:val="32"/>
        </w:rPr>
      </w:pPr>
    </w:p>
    <w:p>
      <w:pPr>
        <w:pStyle w:val="23"/>
        <w:spacing w:line="560" w:lineRule="exact"/>
        <w:ind w:firstLine="640" w:firstLineChars="200"/>
        <w:rPr>
          <w:rFonts w:ascii="仿宋_GB2312" w:hAnsi="Times New Roman" w:eastAsia="仿宋_GB2312" w:cs="Times New Roman"/>
          <w:color w:val="auto"/>
          <w:kern w:val="2"/>
          <w:sz w:val="32"/>
          <w:szCs w:val="32"/>
        </w:rPr>
      </w:pPr>
    </w:p>
    <w:p>
      <w:pPr>
        <w:pStyle w:val="23"/>
        <w:spacing w:line="560" w:lineRule="exact"/>
        <w:ind w:firstLine="640" w:firstLineChars="200"/>
        <w:rPr>
          <w:rFonts w:ascii="仿宋_GB2312" w:hAnsi="Times New Roman" w:eastAsia="仿宋_GB2312" w:cs="Times New Roman"/>
          <w:color w:val="auto"/>
          <w:kern w:val="2"/>
          <w:sz w:val="32"/>
          <w:szCs w:val="32"/>
        </w:rPr>
      </w:pPr>
    </w:p>
    <w:p>
      <w:pPr>
        <w:pStyle w:val="23"/>
        <w:spacing w:line="560" w:lineRule="exact"/>
        <w:ind w:firstLine="640" w:firstLineChars="200"/>
        <w:rPr>
          <w:rFonts w:ascii="仿宋_GB2312" w:hAnsi="Times New Roman" w:eastAsia="仿宋_GB2312" w:cs="Times New Roman"/>
          <w:color w:val="auto"/>
          <w:kern w:val="2"/>
          <w:sz w:val="32"/>
          <w:szCs w:val="32"/>
        </w:rPr>
      </w:pPr>
    </w:p>
    <w:p>
      <w:pPr>
        <w:pStyle w:val="23"/>
        <w:spacing w:line="560" w:lineRule="exact"/>
        <w:ind w:firstLine="640" w:firstLineChars="200"/>
        <w:rPr>
          <w:rFonts w:ascii="仿宋_GB2312" w:hAnsi="Times New Roman" w:eastAsia="仿宋_GB2312" w:cs="Times New Roman"/>
          <w:color w:val="auto"/>
          <w:kern w:val="2"/>
          <w:sz w:val="32"/>
          <w:szCs w:val="32"/>
        </w:rPr>
      </w:pPr>
    </w:p>
    <w:p>
      <w:pPr>
        <w:pStyle w:val="23"/>
        <w:spacing w:line="560" w:lineRule="exact"/>
        <w:ind w:firstLine="640" w:firstLineChars="200"/>
        <w:rPr>
          <w:rFonts w:ascii="仿宋_GB2312" w:hAnsi="Times New Roman" w:eastAsia="仿宋_GB2312" w:cs="Times New Roman"/>
          <w:color w:val="auto"/>
          <w:kern w:val="2"/>
          <w:sz w:val="32"/>
          <w:szCs w:val="32"/>
        </w:rPr>
      </w:pPr>
    </w:p>
    <w:p>
      <w:pPr>
        <w:pStyle w:val="23"/>
        <w:spacing w:line="560" w:lineRule="exact"/>
        <w:ind w:firstLine="640" w:firstLineChars="200"/>
        <w:rPr>
          <w:rFonts w:ascii="仿宋_GB2312" w:hAnsi="Times New Roman" w:eastAsia="仿宋_GB2312" w:cs="Times New Roman"/>
          <w:color w:val="auto"/>
          <w:kern w:val="2"/>
          <w:sz w:val="32"/>
          <w:szCs w:val="32"/>
        </w:rPr>
      </w:pPr>
    </w:p>
    <w:p>
      <w:pPr>
        <w:spacing w:line="600" w:lineRule="exact"/>
        <w:jc w:val="center"/>
        <w:outlineLvl w:val="0"/>
        <w:rPr>
          <w:rFonts w:ascii="仿宋" w:hAnsi="仿宋" w:eastAsia="仿宋"/>
          <w:color w:val="000000"/>
        </w:rPr>
      </w:pPr>
      <w:bookmarkStart w:id="51" w:name="_Toc15377226"/>
      <w:r>
        <w:rPr>
          <w:rFonts w:hint="eastAsia" w:ascii="黑体" w:hAnsi="黑体" w:eastAsia="黑体"/>
          <w:color w:val="000000"/>
          <w:sz w:val="44"/>
          <w:szCs w:val="44"/>
        </w:rPr>
        <w:t>第</w:t>
      </w:r>
      <w:r>
        <w:rPr>
          <w:rStyle w:val="25"/>
          <w:rFonts w:hint="eastAsia" w:ascii="黑体" w:hAnsi="黑体" w:eastAsia="黑体"/>
          <w:b w:val="0"/>
        </w:rPr>
        <w:t>五部分 附表</w:t>
      </w:r>
    </w:p>
    <w:p>
      <w:pPr>
        <w:pStyle w:val="4"/>
        <w:rPr>
          <w:rFonts w:ascii="仿宋" w:hAnsi="仿宋" w:eastAsia="仿宋"/>
          <w:color w:val="000000"/>
        </w:rPr>
      </w:pPr>
      <w:r>
        <w:rPr>
          <w:rFonts w:hint="eastAsia" w:ascii="仿宋" w:hAnsi="仿宋" w:eastAsia="仿宋"/>
          <w:b w:val="0"/>
          <w:color w:val="000000"/>
        </w:rPr>
        <w:t>一、收</w:t>
      </w:r>
      <w:r>
        <w:rPr>
          <w:rStyle w:val="26"/>
          <w:rFonts w:hint="eastAsia" w:ascii="仿宋" w:hAnsi="仿宋" w:eastAsia="仿宋"/>
          <w:b w:val="0"/>
          <w:bCs w:val="0"/>
        </w:rPr>
        <w:t>入支出决算总表</w:t>
      </w:r>
    </w:p>
    <w:p>
      <w:pPr>
        <w:pStyle w:val="4"/>
        <w:rPr>
          <w:rFonts w:ascii="仿宋" w:hAnsi="仿宋" w:eastAsia="仿宋"/>
          <w:color w:val="000000"/>
        </w:rPr>
      </w:pPr>
      <w:r>
        <w:rPr>
          <w:rFonts w:hint="eastAsia" w:ascii="仿宋" w:hAnsi="仿宋" w:eastAsia="仿宋"/>
          <w:b w:val="0"/>
          <w:color w:val="000000"/>
        </w:rPr>
        <w:t>二、收</w:t>
      </w:r>
      <w:r>
        <w:rPr>
          <w:rStyle w:val="26"/>
          <w:rFonts w:hint="eastAsia" w:ascii="仿宋" w:hAnsi="仿宋" w:eastAsia="仿宋"/>
          <w:b w:val="0"/>
          <w:bCs w:val="0"/>
        </w:rPr>
        <w:t>入决算表</w:t>
      </w:r>
    </w:p>
    <w:p>
      <w:pPr>
        <w:pStyle w:val="4"/>
        <w:rPr>
          <w:rFonts w:ascii="仿宋" w:hAnsi="仿宋" w:eastAsia="仿宋"/>
          <w:color w:val="000000"/>
        </w:rPr>
      </w:pPr>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p>
    <w:p>
      <w:pPr>
        <w:pStyle w:val="4"/>
        <w:rPr>
          <w:rFonts w:ascii="仿宋" w:hAnsi="仿宋" w:eastAsia="仿宋"/>
          <w:b w:val="0"/>
          <w:color w:val="000000"/>
        </w:rPr>
      </w:pPr>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p>
    <w:p>
      <w:pPr>
        <w:pStyle w:val="4"/>
        <w:rPr>
          <w:rStyle w:val="26"/>
          <w:rFonts w:ascii="仿宋" w:hAnsi="仿宋" w:eastAsia="仿宋"/>
          <w:b w:val="0"/>
          <w:bCs w:val="0"/>
        </w:rPr>
      </w:pPr>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p>
    <w:p>
      <w:pPr>
        <w:pStyle w:val="4"/>
        <w:rPr>
          <w:rFonts w:ascii="仿宋" w:hAnsi="仿宋" w:eastAsia="仿宋"/>
          <w:color w:val="000000"/>
        </w:rPr>
      </w:pPr>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p>
    <w:p>
      <w:pPr>
        <w:pStyle w:val="4"/>
        <w:rPr>
          <w:rFonts w:ascii="仿宋" w:hAnsi="仿宋" w:eastAsia="仿宋"/>
          <w:color w:val="000000"/>
        </w:rPr>
      </w:pPr>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p>
    <w:p>
      <w:pPr>
        <w:pStyle w:val="4"/>
        <w:rPr>
          <w:rFonts w:ascii="仿宋" w:hAnsi="仿宋" w:eastAsia="仿宋"/>
          <w:color w:val="000000"/>
        </w:rPr>
      </w:pPr>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p>
    <w:p>
      <w:pPr>
        <w:pStyle w:val="4"/>
        <w:rPr>
          <w:rFonts w:ascii="仿宋" w:hAnsi="仿宋" w:eastAsia="仿宋"/>
          <w:color w:val="000000"/>
        </w:rPr>
      </w:pPr>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p>
    <w:p>
      <w:pPr>
        <w:pStyle w:val="4"/>
        <w:rPr>
          <w:rFonts w:ascii="仿宋" w:hAnsi="仿宋" w:eastAsia="仿宋"/>
          <w:color w:val="000000"/>
        </w:rPr>
      </w:pPr>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p>
    <w:p>
      <w:pPr>
        <w:pStyle w:val="4"/>
        <w:rPr>
          <w:rFonts w:ascii="仿宋" w:hAnsi="仿宋" w:eastAsia="仿宋"/>
          <w:color w:val="000000"/>
        </w:rPr>
      </w:pPr>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p>
    <w:p>
      <w:pPr>
        <w:pStyle w:val="4"/>
        <w:rPr>
          <w:rFonts w:ascii="仿宋" w:hAnsi="仿宋" w:eastAsia="仿宋"/>
          <w:color w:val="000000"/>
        </w:rPr>
      </w:pPr>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p>
    <w:p>
      <w:pPr>
        <w:pStyle w:val="4"/>
        <w:rPr>
          <w:rStyle w:val="26"/>
          <w:rFonts w:ascii="仿宋" w:hAnsi="仿宋" w:eastAsia="仿宋"/>
          <w:b w:val="0"/>
          <w:bCs w:val="0"/>
        </w:rPr>
      </w:pPr>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有资本经营预算财政拨款收入支出决算表</w:t>
      </w:r>
    </w:p>
    <w:p>
      <w:pPr>
        <w:rPr>
          <w:rFonts w:eastAsia="仿宋"/>
        </w:rPr>
      </w:pPr>
      <w:r>
        <w:rPr>
          <w:rStyle w:val="26"/>
          <w:rFonts w:hint="eastAsia" w:ascii="仿宋" w:hAnsi="仿宋" w:eastAsia="仿宋"/>
          <w:b w:val="0"/>
          <w:bCs w:val="0"/>
        </w:rPr>
        <w:t>十四、国有资本经营预算财政拨款支出决算表</w:t>
      </w:r>
      <w:bookmarkEnd w:id="51"/>
    </w:p>
    <w:sectPr>
      <w:pgSz w:w="11907" w:h="16840"/>
      <w:pgMar w:top="1701" w:right="1588" w:bottom="1701"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4</w:t>
        </w:r>
        <w:r>
          <w:rPr>
            <w:lang w:val="zh-CN"/>
          </w:rP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RiYTFmOTMyMmE1NmI5M2E1Y2UzM2Q3ZmUwODNhMWIifQ=="/>
  </w:docVars>
  <w:rsids>
    <w:rsidRoot w:val="00F1361C"/>
    <w:rsid w:val="00003193"/>
    <w:rsid w:val="00021A3E"/>
    <w:rsid w:val="000222C6"/>
    <w:rsid w:val="0002549F"/>
    <w:rsid w:val="000264BA"/>
    <w:rsid w:val="000468DB"/>
    <w:rsid w:val="000637F8"/>
    <w:rsid w:val="0006487A"/>
    <w:rsid w:val="00065F8F"/>
    <w:rsid w:val="00070A43"/>
    <w:rsid w:val="000768F2"/>
    <w:rsid w:val="0009184B"/>
    <w:rsid w:val="00094236"/>
    <w:rsid w:val="0009593C"/>
    <w:rsid w:val="00097322"/>
    <w:rsid w:val="000A6A92"/>
    <w:rsid w:val="000B047F"/>
    <w:rsid w:val="000B2ACF"/>
    <w:rsid w:val="000B5923"/>
    <w:rsid w:val="000B5A48"/>
    <w:rsid w:val="000B6FF3"/>
    <w:rsid w:val="000C3467"/>
    <w:rsid w:val="000C3CA6"/>
    <w:rsid w:val="000D1267"/>
    <w:rsid w:val="000D1D50"/>
    <w:rsid w:val="000D5782"/>
    <w:rsid w:val="000E6613"/>
    <w:rsid w:val="000E7119"/>
    <w:rsid w:val="00114E9B"/>
    <w:rsid w:val="00122260"/>
    <w:rsid w:val="00142216"/>
    <w:rsid w:val="00144D6A"/>
    <w:rsid w:val="0014729F"/>
    <w:rsid w:val="00157BAB"/>
    <w:rsid w:val="00160879"/>
    <w:rsid w:val="001654D1"/>
    <w:rsid w:val="00174518"/>
    <w:rsid w:val="0018106D"/>
    <w:rsid w:val="001877A7"/>
    <w:rsid w:val="00191536"/>
    <w:rsid w:val="00196687"/>
    <w:rsid w:val="001C0962"/>
    <w:rsid w:val="001D7531"/>
    <w:rsid w:val="001E6F3C"/>
    <w:rsid w:val="001E737D"/>
    <w:rsid w:val="001F0592"/>
    <w:rsid w:val="001F7506"/>
    <w:rsid w:val="002006CD"/>
    <w:rsid w:val="00202B36"/>
    <w:rsid w:val="00204B7A"/>
    <w:rsid w:val="00204CDE"/>
    <w:rsid w:val="0021101A"/>
    <w:rsid w:val="00220536"/>
    <w:rsid w:val="00235629"/>
    <w:rsid w:val="00260C38"/>
    <w:rsid w:val="002616C0"/>
    <w:rsid w:val="00262887"/>
    <w:rsid w:val="00265372"/>
    <w:rsid w:val="002662AA"/>
    <w:rsid w:val="00280496"/>
    <w:rsid w:val="00294DC9"/>
    <w:rsid w:val="00295495"/>
    <w:rsid w:val="0029718A"/>
    <w:rsid w:val="002A31DE"/>
    <w:rsid w:val="002B2613"/>
    <w:rsid w:val="002C3B1A"/>
    <w:rsid w:val="002D6D05"/>
    <w:rsid w:val="002F0564"/>
    <w:rsid w:val="002F1818"/>
    <w:rsid w:val="002F567B"/>
    <w:rsid w:val="003216A9"/>
    <w:rsid w:val="00326B6D"/>
    <w:rsid w:val="00335A74"/>
    <w:rsid w:val="0034154E"/>
    <w:rsid w:val="00362440"/>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7CD8"/>
    <w:rsid w:val="003F4B93"/>
    <w:rsid w:val="00406254"/>
    <w:rsid w:val="004223DE"/>
    <w:rsid w:val="00430AE5"/>
    <w:rsid w:val="00434489"/>
    <w:rsid w:val="00437085"/>
    <w:rsid w:val="00443880"/>
    <w:rsid w:val="004464F4"/>
    <w:rsid w:val="00471401"/>
    <w:rsid w:val="00473F31"/>
    <w:rsid w:val="0048263A"/>
    <w:rsid w:val="00487E5D"/>
    <w:rsid w:val="004A711F"/>
    <w:rsid w:val="004B199D"/>
    <w:rsid w:val="004B4690"/>
    <w:rsid w:val="004B696A"/>
    <w:rsid w:val="004C6AF2"/>
    <w:rsid w:val="004E0A2D"/>
    <w:rsid w:val="004E206B"/>
    <w:rsid w:val="004E6DF7"/>
    <w:rsid w:val="004F0FBD"/>
    <w:rsid w:val="00505A47"/>
    <w:rsid w:val="00512FDA"/>
    <w:rsid w:val="00520DA0"/>
    <w:rsid w:val="00560E05"/>
    <w:rsid w:val="005664BB"/>
    <w:rsid w:val="00566FFA"/>
    <w:rsid w:val="0057481D"/>
    <w:rsid w:val="005835D6"/>
    <w:rsid w:val="0058486E"/>
    <w:rsid w:val="00585B33"/>
    <w:rsid w:val="0059014D"/>
    <w:rsid w:val="005B5C64"/>
    <w:rsid w:val="005C1D89"/>
    <w:rsid w:val="005C5337"/>
    <w:rsid w:val="005C6BD0"/>
    <w:rsid w:val="005D1C8B"/>
    <w:rsid w:val="005D468D"/>
    <w:rsid w:val="005D5CED"/>
    <w:rsid w:val="005F1A4C"/>
    <w:rsid w:val="00605688"/>
    <w:rsid w:val="006070AF"/>
    <w:rsid w:val="00607E6C"/>
    <w:rsid w:val="006101B1"/>
    <w:rsid w:val="006110D8"/>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E45C5"/>
    <w:rsid w:val="006F020C"/>
    <w:rsid w:val="007127B7"/>
    <w:rsid w:val="0071798E"/>
    <w:rsid w:val="00724204"/>
    <w:rsid w:val="007416B6"/>
    <w:rsid w:val="00746F48"/>
    <w:rsid w:val="0075404D"/>
    <w:rsid w:val="0076182A"/>
    <w:rsid w:val="00767B7E"/>
    <w:rsid w:val="00776652"/>
    <w:rsid w:val="007770C3"/>
    <w:rsid w:val="00784D24"/>
    <w:rsid w:val="00785FBA"/>
    <w:rsid w:val="00786E4A"/>
    <w:rsid w:val="007875EB"/>
    <w:rsid w:val="0079426B"/>
    <w:rsid w:val="007D1682"/>
    <w:rsid w:val="007D312A"/>
    <w:rsid w:val="007D3F19"/>
    <w:rsid w:val="007E23B0"/>
    <w:rsid w:val="007E23E5"/>
    <w:rsid w:val="007F0781"/>
    <w:rsid w:val="007F1991"/>
    <w:rsid w:val="007F2C2F"/>
    <w:rsid w:val="007F55FC"/>
    <w:rsid w:val="007F5665"/>
    <w:rsid w:val="00800112"/>
    <w:rsid w:val="00803737"/>
    <w:rsid w:val="00806ACE"/>
    <w:rsid w:val="00813348"/>
    <w:rsid w:val="008253BB"/>
    <w:rsid w:val="0083706E"/>
    <w:rsid w:val="008408F6"/>
    <w:rsid w:val="008423A5"/>
    <w:rsid w:val="00844DFE"/>
    <w:rsid w:val="00850625"/>
    <w:rsid w:val="00853718"/>
    <w:rsid w:val="00853A94"/>
    <w:rsid w:val="00855221"/>
    <w:rsid w:val="00860645"/>
    <w:rsid w:val="00871F71"/>
    <w:rsid w:val="00872FD8"/>
    <w:rsid w:val="00885AF4"/>
    <w:rsid w:val="008939CD"/>
    <w:rsid w:val="008B768C"/>
    <w:rsid w:val="008C4DB1"/>
    <w:rsid w:val="008C4EAF"/>
    <w:rsid w:val="008C5176"/>
    <w:rsid w:val="008C7FD0"/>
    <w:rsid w:val="008E1DE7"/>
    <w:rsid w:val="008E65D8"/>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0EB6"/>
    <w:rsid w:val="00971997"/>
    <w:rsid w:val="00971FFC"/>
    <w:rsid w:val="0098660A"/>
    <w:rsid w:val="009931C3"/>
    <w:rsid w:val="009B2C43"/>
    <w:rsid w:val="009B4EAE"/>
    <w:rsid w:val="009B7573"/>
    <w:rsid w:val="009C22F4"/>
    <w:rsid w:val="009C2A4B"/>
    <w:rsid w:val="009C2E98"/>
    <w:rsid w:val="009D3447"/>
    <w:rsid w:val="009D4711"/>
    <w:rsid w:val="009E0D96"/>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09AB"/>
    <w:rsid w:val="00B81598"/>
    <w:rsid w:val="00B841F1"/>
    <w:rsid w:val="00B944D6"/>
    <w:rsid w:val="00BB3307"/>
    <w:rsid w:val="00BB4DF0"/>
    <w:rsid w:val="00BC289F"/>
    <w:rsid w:val="00BC2D50"/>
    <w:rsid w:val="00BC3E1E"/>
    <w:rsid w:val="00BC5361"/>
    <w:rsid w:val="00BC5460"/>
    <w:rsid w:val="00BC6B50"/>
    <w:rsid w:val="00BD0E25"/>
    <w:rsid w:val="00BD4529"/>
    <w:rsid w:val="00BF5BD6"/>
    <w:rsid w:val="00C03E31"/>
    <w:rsid w:val="00C33E72"/>
    <w:rsid w:val="00C354B2"/>
    <w:rsid w:val="00C35554"/>
    <w:rsid w:val="00C42709"/>
    <w:rsid w:val="00C533CC"/>
    <w:rsid w:val="00C53BA7"/>
    <w:rsid w:val="00C5751C"/>
    <w:rsid w:val="00C61BFC"/>
    <w:rsid w:val="00C62B85"/>
    <w:rsid w:val="00C65438"/>
    <w:rsid w:val="00C84A8A"/>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621D6"/>
    <w:rsid w:val="00D7035F"/>
    <w:rsid w:val="00DA02B5"/>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344C5"/>
    <w:rsid w:val="00E379EE"/>
    <w:rsid w:val="00E472B1"/>
    <w:rsid w:val="00E50624"/>
    <w:rsid w:val="00E568DF"/>
    <w:rsid w:val="00E64269"/>
    <w:rsid w:val="00E82267"/>
    <w:rsid w:val="00E853CE"/>
    <w:rsid w:val="00E867B6"/>
    <w:rsid w:val="00EA010F"/>
    <w:rsid w:val="00EA7BFB"/>
    <w:rsid w:val="00EB3EDA"/>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B2B"/>
    <w:rsid w:val="00F36D8F"/>
    <w:rsid w:val="00F417B1"/>
    <w:rsid w:val="00F45853"/>
    <w:rsid w:val="00F602DF"/>
    <w:rsid w:val="00F754A1"/>
    <w:rsid w:val="00F81FD9"/>
    <w:rsid w:val="00F8241B"/>
    <w:rsid w:val="00F841AA"/>
    <w:rsid w:val="00F84A94"/>
    <w:rsid w:val="00F87E96"/>
    <w:rsid w:val="00FA23E8"/>
    <w:rsid w:val="00FB59A8"/>
    <w:rsid w:val="00FB75D7"/>
    <w:rsid w:val="00FD3CC1"/>
    <w:rsid w:val="00FF1E02"/>
    <w:rsid w:val="00FF30B4"/>
    <w:rsid w:val="00FF387C"/>
    <w:rsid w:val="01DC18A1"/>
    <w:rsid w:val="02172863"/>
    <w:rsid w:val="03373E43"/>
    <w:rsid w:val="034B7981"/>
    <w:rsid w:val="035A6275"/>
    <w:rsid w:val="03A02C7E"/>
    <w:rsid w:val="04284705"/>
    <w:rsid w:val="04292655"/>
    <w:rsid w:val="049A66A3"/>
    <w:rsid w:val="051A3860"/>
    <w:rsid w:val="056416DB"/>
    <w:rsid w:val="065B6A4A"/>
    <w:rsid w:val="06AD13E7"/>
    <w:rsid w:val="07026A71"/>
    <w:rsid w:val="07130C2C"/>
    <w:rsid w:val="07E73059"/>
    <w:rsid w:val="08163ECE"/>
    <w:rsid w:val="081F296B"/>
    <w:rsid w:val="08275B2B"/>
    <w:rsid w:val="082A4962"/>
    <w:rsid w:val="08F318AB"/>
    <w:rsid w:val="09062244"/>
    <w:rsid w:val="0911664F"/>
    <w:rsid w:val="095933B8"/>
    <w:rsid w:val="0A2032A3"/>
    <w:rsid w:val="0AD0280B"/>
    <w:rsid w:val="0B452E18"/>
    <w:rsid w:val="0B597F69"/>
    <w:rsid w:val="0BCD0B9D"/>
    <w:rsid w:val="0C17728D"/>
    <w:rsid w:val="0C7D259E"/>
    <w:rsid w:val="0C8A4771"/>
    <w:rsid w:val="0DCF2AFA"/>
    <w:rsid w:val="0DD117A1"/>
    <w:rsid w:val="0E421358"/>
    <w:rsid w:val="0EF837CF"/>
    <w:rsid w:val="0F052FFB"/>
    <w:rsid w:val="0F270043"/>
    <w:rsid w:val="0FA56BBC"/>
    <w:rsid w:val="108C38BE"/>
    <w:rsid w:val="10C055FF"/>
    <w:rsid w:val="10E56065"/>
    <w:rsid w:val="118107EC"/>
    <w:rsid w:val="123B76A9"/>
    <w:rsid w:val="13496324"/>
    <w:rsid w:val="140E1DC7"/>
    <w:rsid w:val="14482E5A"/>
    <w:rsid w:val="14EB7EEF"/>
    <w:rsid w:val="14F27718"/>
    <w:rsid w:val="151876E2"/>
    <w:rsid w:val="15631CDC"/>
    <w:rsid w:val="1575196F"/>
    <w:rsid w:val="157F517E"/>
    <w:rsid w:val="15847708"/>
    <w:rsid w:val="15A2478E"/>
    <w:rsid w:val="15D023F1"/>
    <w:rsid w:val="16A244C4"/>
    <w:rsid w:val="16BB723D"/>
    <w:rsid w:val="174C4D4B"/>
    <w:rsid w:val="17DF794E"/>
    <w:rsid w:val="17FC23CC"/>
    <w:rsid w:val="18015F3F"/>
    <w:rsid w:val="18161B66"/>
    <w:rsid w:val="18163643"/>
    <w:rsid w:val="18CC7B04"/>
    <w:rsid w:val="195C3EDD"/>
    <w:rsid w:val="1A0B5D30"/>
    <w:rsid w:val="1A707CF9"/>
    <w:rsid w:val="1AC61F8B"/>
    <w:rsid w:val="1BBF4DF2"/>
    <w:rsid w:val="1BE8440E"/>
    <w:rsid w:val="1BF11407"/>
    <w:rsid w:val="1C1E2D15"/>
    <w:rsid w:val="1D155CEE"/>
    <w:rsid w:val="1E4A7B42"/>
    <w:rsid w:val="1E752640"/>
    <w:rsid w:val="1EF12DB3"/>
    <w:rsid w:val="1F7E1679"/>
    <w:rsid w:val="1F8F35F5"/>
    <w:rsid w:val="20B51676"/>
    <w:rsid w:val="20F57F95"/>
    <w:rsid w:val="22A17DAB"/>
    <w:rsid w:val="23426526"/>
    <w:rsid w:val="234D1CF7"/>
    <w:rsid w:val="240371BF"/>
    <w:rsid w:val="24A61607"/>
    <w:rsid w:val="24BC50EC"/>
    <w:rsid w:val="259D6F1E"/>
    <w:rsid w:val="25D162F4"/>
    <w:rsid w:val="260258CB"/>
    <w:rsid w:val="26163109"/>
    <w:rsid w:val="266B1476"/>
    <w:rsid w:val="26CD1653"/>
    <w:rsid w:val="27153F5B"/>
    <w:rsid w:val="27842671"/>
    <w:rsid w:val="28F6646F"/>
    <w:rsid w:val="29824E63"/>
    <w:rsid w:val="29CD5A79"/>
    <w:rsid w:val="29FD04D3"/>
    <w:rsid w:val="2A1D0B88"/>
    <w:rsid w:val="2A222DE9"/>
    <w:rsid w:val="2ABE7A3E"/>
    <w:rsid w:val="2B7413E7"/>
    <w:rsid w:val="2BBC5AF1"/>
    <w:rsid w:val="2BD2445D"/>
    <w:rsid w:val="2C0D48AC"/>
    <w:rsid w:val="2CC77535"/>
    <w:rsid w:val="2CDF4759"/>
    <w:rsid w:val="2CE80ED6"/>
    <w:rsid w:val="2D013BB9"/>
    <w:rsid w:val="2E511991"/>
    <w:rsid w:val="2E963D60"/>
    <w:rsid w:val="2E9A6219"/>
    <w:rsid w:val="2F136972"/>
    <w:rsid w:val="2F1F1E50"/>
    <w:rsid w:val="2F685F67"/>
    <w:rsid w:val="2FF13123"/>
    <w:rsid w:val="30912A90"/>
    <w:rsid w:val="30A47F27"/>
    <w:rsid w:val="30CC3029"/>
    <w:rsid w:val="319F7F4E"/>
    <w:rsid w:val="332A736A"/>
    <w:rsid w:val="339F43F5"/>
    <w:rsid w:val="33B32C65"/>
    <w:rsid w:val="33D46ADE"/>
    <w:rsid w:val="34663B20"/>
    <w:rsid w:val="351E7F42"/>
    <w:rsid w:val="36123ABD"/>
    <w:rsid w:val="36532728"/>
    <w:rsid w:val="371435DD"/>
    <w:rsid w:val="372607F7"/>
    <w:rsid w:val="374C6D73"/>
    <w:rsid w:val="37A86DCC"/>
    <w:rsid w:val="380E42D2"/>
    <w:rsid w:val="3814264A"/>
    <w:rsid w:val="38D36D55"/>
    <w:rsid w:val="39010300"/>
    <w:rsid w:val="39144743"/>
    <w:rsid w:val="39837CAE"/>
    <w:rsid w:val="399168E2"/>
    <w:rsid w:val="3A213AFF"/>
    <w:rsid w:val="3AAC079C"/>
    <w:rsid w:val="3C0C0783"/>
    <w:rsid w:val="3C3833B2"/>
    <w:rsid w:val="3D3670DB"/>
    <w:rsid w:val="3D374DC0"/>
    <w:rsid w:val="3D6E08D6"/>
    <w:rsid w:val="3DD24281"/>
    <w:rsid w:val="3E541CF4"/>
    <w:rsid w:val="3E546952"/>
    <w:rsid w:val="3EB304F7"/>
    <w:rsid w:val="3EE8688D"/>
    <w:rsid w:val="3F6C0EED"/>
    <w:rsid w:val="3FA650AB"/>
    <w:rsid w:val="403B3E2B"/>
    <w:rsid w:val="4043671D"/>
    <w:rsid w:val="40596E74"/>
    <w:rsid w:val="412D0CCF"/>
    <w:rsid w:val="424403C3"/>
    <w:rsid w:val="42634B77"/>
    <w:rsid w:val="42A663B1"/>
    <w:rsid w:val="42AF5E65"/>
    <w:rsid w:val="432F5279"/>
    <w:rsid w:val="439148A0"/>
    <w:rsid w:val="43F614E5"/>
    <w:rsid w:val="44A62CEA"/>
    <w:rsid w:val="457871C4"/>
    <w:rsid w:val="45B93440"/>
    <w:rsid w:val="45FB4FF7"/>
    <w:rsid w:val="476501B9"/>
    <w:rsid w:val="47B63521"/>
    <w:rsid w:val="48FB01DA"/>
    <w:rsid w:val="493C27E9"/>
    <w:rsid w:val="496F39ED"/>
    <w:rsid w:val="497420AF"/>
    <w:rsid w:val="49FF41D3"/>
    <w:rsid w:val="4A7B2B67"/>
    <w:rsid w:val="4AA848DA"/>
    <w:rsid w:val="4AB67D64"/>
    <w:rsid w:val="4BE068DB"/>
    <w:rsid w:val="4BF6002B"/>
    <w:rsid w:val="4CB23B46"/>
    <w:rsid w:val="4CD3342D"/>
    <w:rsid w:val="4D2F7049"/>
    <w:rsid w:val="4E4A4682"/>
    <w:rsid w:val="4E6B238F"/>
    <w:rsid w:val="4ECE2238"/>
    <w:rsid w:val="4F224930"/>
    <w:rsid w:val="4F4636DA"/>
    <w:rsid w:val="4F6001AA"/>
    <w:rsid w:val="50602D88"/>
    <w:rsid w:val="511F6273"/>
    <w:rsid w:val="513919C7"/>
    <w:rsid w:val="513E28E6"/>
    <w:rsid w:val="51F9066F"/>
    <w:rsid w:val="521D0C9C"/>
    <w:rsid w:val="52216398"/>
    <w:rsid w:val="525E6DB8"/>
    <w:rsid w:val="52754266"/>
    <w:rsid w:val="54093DE2"/>
    <w:rsid w:val="55193F49"/>
    <w:rsid w:val="55B96514"/>
    <w:rsid w:val="56446085"/>
    <w:rsid w:val="56551718"/>
    <w:rsid w:val="56BE674D"/>
    <w:rsid w:val="57325936"/>
    <w:rsid w:val="5798465D"/>
    <w:rsid w:val="57D64BB4"/>
    <w:rsid w:val="57F32CB2"/>
    <w:rsid w:val="58AC22CA"/>
    <w:rsid w:val="58C5433C"/>
    <w:rsid w:val="590151A2"/>
    <w:rsid w:val="591E6E16"/>
    <w:rsid w:val="59B96BE0"/>
    <w:rsid w:val="59F63525"/>
    <w:rsid w:val="5A585F59"/>
    <w:rsid w:val="5A892762"/>
    <w:rsid w:val="5A8E78FE"/>
    <w:rsid w:val="5C5136F5"/>
    <w:rsid w:val="5DB6134F"/>
    <w:rsid w:val="5E1B71FB"/>
    <w:rsid w:val="5F094AA8"/>
    <w:rsid w:val="5F342348"/>
    <w:rsid w:val="5F8500AC"/>
    <w:rsid w:val="5FBF00D1"/>
    <w:rsid w:val="5FC67F97"/>
    <w:rsid w:val="60231B48"/>
    <w:rsid w:val="60F81C10"/>
    <w:rsid w:val="61345B98"/>
    <w:rsid w:val="619D0009"/>
    <w:rsid w:val="61F64021"/>
    <w:rsid w:val="62A03177"/>
    <w:rsid w:val="62BC1543"/>
    <w:rsid w:val="637671C8"/>
    <w:rsid w:val="64416380"/>
    <w:rsid w:val="6464320D"/>
    <w:rsid w:val="64CA39A1"/>
    <w:rsid w:val="64FA584F"/>
    <w:rsid w:val="65012D4F"/>
    <w:rsid w:val="65093CCA"/>
    <w:rsid w:val="65523D2F"/>
    <w:rsid w:val="659E779C"/>
    <w:rsid w:val="65F65A85"/>
    <w:rsid w:val="6631323C"/>
    <w:rsid w:val="66CA4291"/>
    <w:rsid w:val="67177241"/>
    <w:rsid w:val="67EB7356"/>
    <w:rsid w:val="684C512A"/>
    <w:rsid w:val="68A2162E"/>
    <w:rsid w:val="692579AA"/>
    <w:rsid w:val="69A577B9"/>
    <w:rsid w:val="69C755F7"/>
    <w:rsid w:val="6A535ED7"/>
    <w:rsid w:val="6ABD4279"/>
    <w:rsid w:val="6AEF782B"/>
    <w:rsid w:val="6B292DC5"/>
    <w:rsid w:val="6B545B10"/>
    <w:rsid w:val="6B553AE6"/>
    <w:rsid w:val="6B6E7DF4"/>
    <w:rsid w:val="6B7C4906"/>
    <w:rsid w:val="6B837193"/>
    <w:rsid w:val="6C272008"/>
    <w:rsid w:val="6C4A05C8"/>
    <w:rsid w:val="6CAA6BF7"/>
    <w:rsid w:val="6CCF33CC"/>
    <w:rsid w:val="6D5A65D4"/>
    <w:rsid w:val="6E00186D"/>
    <w:rsid w:val="6E0E5D73"/>
    <w:rsid w:val="6F187BC2"/>
    <w:rsid w:val="6F204DAC"/>
    <w:rsid w:val="6F8B5290"/>
    <w:rsid w:val="70CD0F17"/>
    <w:rsid w:val="710866BE"/>
    <w:rsid w:val="71B843A9"/>
    <w:rsid w:val="721D5B80"/>
    <w:rsid w:val="723E20AD"/>
    <w:rsid w:val="72734D90"/>
    <w:rsid w:val="729B32A7"/>
    <w:rsid w:val="72DE5C1F"/>
    <w:rsid w:val="74895E1C"/>
    <w:rsid w:val="77737833"/>
    <w:rsid w:val="7883251A"/>
    <w:rsid w:val="7884306C"/>
    <w:rsid w:val="78843B02"/>
    <w:rsid w:val="78AB1DF2"/>
    <w:rsid w:val="793B04A1"/>
    <w:rsid w:val="79484BA1"/>
    <w:rsid w:val="7BE455E9"/>
    <w:rsid w:val="7C1D5E89"/>
    <w:rsid w:val="7CC302EB"/>
    <w:rsid w:val="7CDE6B67"/>
    <w:rsid w:val="7D1403D3"/>
    <w:rsid w:val="7DA05A6B"/>
    <w:rsid w:val="7DB35AE7"/>
    <w:rsid w:val="7DF03EB6"/>
    <w:rsid w:val="7EBF42F0"/>
    <w:rsid w:val="7EE27645"/>
    <w:rsid w:val="7F5654C3"/>
    <w:rsid w:val="7FDC7E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page number"/>
    <w:basedOn w:val="13"/>
    <w:qFormat/>
    <w:uiPriority w:val="0"/>
  </w:style>
  <w:style w:type="character" w:styleId="16">
    <w:name w:val="Hyperlink"/>
    <w:basedOn w:val="13"/>
    <w:unhideWhenUsed/>
    <w:qFormat/>
    <w:uiPriority w:val="99"/>
    <w:rPr>
      <w:color w:val="0000FF" w:themeColor="hyperlink"/>
      <w:u w:val="single"/>
    </w:rPr>
  </w:style>
  <w:style w:type="character" w:customStyle="1" w:styleId="17">
    <w:name w:val="Header Char"/>
    <w:basedOn w:val="13"/>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3"/>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3"/>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3"/>
    <w:qFormat/>
    <w:uiPriority w:val="9"/>
    <w:rPr>
      <w:rFonts w:ascii="Times New Roman" w:hAnsi="Times New Roman"/>
      <w:b/>
      <w:bCs/>
      <w:kern w:val="44"/>
      <w:sz w:val="44"/>
      <w:szCs w:val="44"/>
    </w:rPr>
  </w:style>
  <w:style w:type="character" w:customStyle="1" w:styleId="26">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3"/>
    <w:link w:val="7"/>
    <w:semiHidden/>
    <w:qFormat/>
    <w:uiPriority w:val="99"/>
    <w:rPr>
      <w:rFonts w:ascii="Times New Roman" w:hAnsi="Times New Roman"/>
      <w:kern w:val="2"/>
      <w:sz w:val="18"/>
      <w:szCs w:val="18"/>
    </w:rPr>
  </w:style>
  <w:style w:type="character" w:customStyle="1" w:styleId="29">
    <w:name w:val="标题 3 Char"/>
    <w:basedOn w:val="13"/>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标题 1 Char1"/>
    <w:basedOn w:val="13"/>
    <w:link w:val="3"/>
    <w:qFormat/>
    <w:uiPriority w:val="0"/>
    <w:rPr>
      <w:rFonts w:ascii="Times New Roman" w:hAnsi="Times New Roman" w:eastAsia="宋体" w:cs="Times New Roman"/>
      <w:b/>
      <w:bCs/>
      <w:kern w:val="44"/>
      <w:sz w:val="44"/>
      <w:szCs w:val="4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latin typeface="仿宋" panose="02010609060101010101" pitchFamily="3" charset="-122"/>
                <a:ea typeface="仿宋" panose="02010609060101010101" pitchFamily="3" charset="-122"/>
              </a:rPr>
              <a:t>图</a:t>
            </a:r>
            <a:r>
              <a:rPr lang="en-US" altLang="zh-CN">
                <a:latin typeface="仿宋" panose="02010609060101010101" pitchFamily="3" charset="-122"/>
                <a:ea typeface="仿宋" panose="02010609060101010101" pitchFamily="3" charset="-122"/>
              </a:rPr>
              <a:t>1</a:t>
            </a:r>
            <a:r>
              <a:rPr lang="zh-CN" altLang="en-US">
                <a:latin typeface="仿宋" panose="02010609060101010101" pitchFamily="3" charset="-122"/>
                <a:ea typeface="仿宋" panose="02010609060101010101" pitchFamily="3" charset="-122"/>
              </a:rPr>
              <a:t>：收、支决算总计变动情况图（单位：万元）</a:t>
            </a:r>
            <a:endParaRPr lang="zh-CN" altLang="en-US">
              <a:latin typeface="仿宋" panose="02010609060101010101" pitchFamily="3" charset="-122"/>
              <a:ea typeface="仿宋" panose="02010609060101010101" pitchFamily="3" charset="-122"/>
            </a:endParaRPr>
          </a:p>
        </c:rich>
      </c:tx>
      <c:layout/>
      <c:overlay val="0"/>
      <c:spPr>
        <a:noFill/>
        <a:ln>
          <a:noFill/>
        </a:ln>
        <a:effectLst/>
      </c:spPr>
    </c:title>
    <c:autoTitleDeleted val="0"/>
    <c:plotArea>
      <c:layout>
        <c:manualLayout>
          <c:layoutTarget val="inner"/>
          <c:xMode val="edge"/>
          <c:yMode val="edge"/>
          <c:x val="0.052825"/>
          <c:y val="0.132333333333333"/>
          <c:w val="0.927925"/>
          <c:h val="0.716566666666667"/>
        </c:manualLayout>
      </c:layout>
      <c:barChart>
        <c:barDir val="col"/>
        <c:grouping val="clustered"/>
        <c:varyColors val="0"/>
        <c:ser>
          <c:idx val="0"/>
          <c:order val="0"/>
          <c:tx>
            <c:strRef>
              <c:f>Sheet1!$B$1</c:f>
              <c:strCache>
                <c:ptCount val="1"/>
                <c:pt idx="0">
                  <c:v>2019年</c:v>
                </c:pt>
              </c:strCache>
            </c:strRef>
          </c:tx>
          <c:spPr>
            <a:solidFill>
              <a:schemeClr val="accent1">
                <a:shade val="76667"/>
              </a:schemeClr>
            </a:solidFill>
            <a:ln>
              <a:noFill/>
            </a:ln>
            <a:effectLst/>
          </c:spPr>
          <c:invertIfNegative val="0"/>
          <c:dPt>
            <c:idx val="1"/>
            <c:invertIfNegative val="0"/>
            <c:bubble3D val="0"/>
            <c:spPr>
              <a:solidFill>
                <a:schemeClr val="accent2"/>
              </a:solidFill>
              <a:ln>
                <a:noFill/>
              </a:ln>
              <a:effectLst/>
            </c:spPr>
          </c:dPt>
          <c:dLbls>
            <c:delete val="1"/>
          </c:dLbls>
          <c:cat>
            <c:strRef>
              <c:f>Sheet1!$A$2:$A$3</c:f>
              <c:strCache>
                <c:ptCount val="2"/>
                <c:pt idx="0">
                  <c:v>2019年</c:v>
                </c:pt>
                <c:pt idx="1">
                  <c:v>2020年</c:v>
                </c:pt>
              </c:strCache>
            </c:strRef>
          </c:cat>
          <c:val>
            <c:numRef>
              <c:f>Sheet1!$B$2:$B$3</c:f>
              <c:numCache>
                <c:formatCode>General</c:formatCode>
                <c:ptCount val="2"/>
                <c:pt idx="0">
                  <c:v>200.15</c:v>
                </c:pt>
                <c:pt idx="1">
                  <c:v>195.59</c:v>
                </c:pt>
              </c:numCache>
            </c:numRef>
          </c:val>
        </c:ser>
        <c:dLbls>
          <c:showLegendKey val="0"/>
          <c:showVal val="0"/>
          <c:showCatName val="0"/>
          <c:showSerName val="0"/>
          <c:showPercent val="0"/>
          <c:showBubbleSize val="0"/>
        </c:dLbls>
        <c:gapWidth val="219"/>
        <c:overlap val="-27"/>
        <c:axId val="146718720"/>
        <c:axId val="146720640"/>
      </c:barChart>
      <c:catAx>
        <c:axId val="146718720"/>
        <c:scaling>
          <c:orientation val="minMax"/>
        </c:scaling>
        <c:delete val="0"/>
        <c:axPos val="b"/>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6720640"/>
        <c:crosses val="autoZero"/>
        <c:auto val="1"/>
        <c:lblAlgn val="ctr"/>
        <c:lblOffset val="100"/>
        <c:noMultiLvlLbl val="0"/>
      </c:catAx>
      <c:valAx>
        <c:axId val="14672064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671872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latin typeface="仿宋" panose="02010609060101010101" pitchFamily="3" charset="-122"/>
                <a:ea typeface="仿宋" panose="02010609060101010101" pitchFamily="3" charset="-122"/>
                <a:cs typeface="仿宋" panose="02010609060101010101" pitchFamily="3" charset="-122"/>
              </a:rPr>
              <a:t>图</a:t>
            </a:r>
            <a:r>
              <a:rPr lang="en-US" altLang="zh-CN">
                <a:latin typeface="仿宋" panose="02010609060101010101" pitchFamily="3" charset="-122"/>
                <a:ea typeface="仿宋" panose="02010609060101010101" pitchFamily="3" charset="-122"/>
                <a:cs typeface="仿宋" panose="02010609060101010101" pitchFamily="3" charset="-122"/>
              </a:rPr>
              <a:t>2</a:t>
            </a:r>
            <a:r>
              <a:rPr lang="zh-CN" altLang="en-US">
                <a:latin typeface="仿宋" panose="02010609060101010101" pitchFamily="3" charset="-122"/>
                <a:ea typeface="仿宋" panose="02010609060101010101" pitchFamily="3" charset="-122"/>
                <a:cs typeface="仿宋" panose="02010609060101010101" pitchFamily="3" charset="-122"/>
              </a:rPr>
              <a:t>：收入决算结构图（单位：万元）</a:t>
            </a:r>
            <a:endParaRPr lang="zh-CN" altLang="en-US">
              <a:latin typeface="仿宋" panose="02010609060101010101" pitchFamily="3" charset="-122"/>
              <a:ea typeface="仿宋" panose="02010609060101010101" pitchFamily="3" charset="-122"/>
              <a:cs typeface="仿宋" panose="02010609060101010101" pitchFamily="3" charset="-122"/>
            </a:endParaRPr>
          </a:p>
        </c:rich>
      </c:tx>
      <c:layout/>
      <c:overlay val="0"/>
      <c:spPr>
        <a:noFill/>
        <a:ln>
          <a:noFill/>
        </a:ln>
        <a:effectLst/>
      </c:spPr>
    </c:title>
    <c:autoTitleDeleted val="0"/>
    <c:plotArea>
      <c:layout/>
      <c:pieChart>
        <c:varyColors val="1"/>
        <c:ser>
          <c:idx val="0"/>
          <c:order val="0"/>
          <c:tx>
            <c:strRef>
              <c:f>Sheet1!$B$1</c:f>
              <c:strCache>
                <c:ptCount val="1"/>
                <c:pt idx="0">
                  <c:v>图2：收入决算结构图</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一般公共预算财政拨款</c:v>
                </c:pt>
                <c:pt idx="1">
                  <c:v>其他收入</c:v>
                </c:pt>
                <c:pt idx="2">
                  <c:v>使用非财政拨款结余</c:v>
                </c:pt>
              </c:strCache>
            </c:strRef>
          </c:cat>
          <c:val>
            <c:numRef>
              <c:f>Sheet1!$B$2:$B$4</c:f>
              <c:numCache>
                <c:formatCode>General</c:formatCode>
                <c:ptCount val="3"/>
                <c:pt idx="0">
                  <c:v>195.55</c:v>
                </c:pt>
                <c:pt idx="1">
                  <c:v>0.01</c:v>
                </c:pt>
                <c:pt idx="2">
                  <c:v>0.03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latin typeface="仿宋" panose="02010609060101010101" pitchFamily="3" charset="-122"/>
                <a:ea typeface="仿宋" panose="02010609060101010101" pitchFamily="3" charset="-122"/>
                <a:cs typeface="仿宋" panose="02010609060101010101" pitchFamily="3" charset="-122"/>
              </a:rPr>
              <a:t>图</a:t>
            </a:r>
            <a:r>
              <a:rPr lang="en-US" altLang="zh-CN">
                <a:latin typeface="仿宋" panose="02010609060101010101" pitchFamily="3" charset="-122"/>
                <a:ea typeface="仿宋" panose="02010609060101010101" pitchFamily="3" charset="-122"/>
                <a:cs typeface="仿宋" panose="02010609060101010101" pitchFamily="3" charset="-122"/>
              </a:rPr>
              <a:t>3</a:t>
            </a:r>
            <a:r>
              <a:rPr lang="zh-CN" altLang="en-US">
                <a:latin typeface="仿宋" panose="02010609060101010101" pitchFamily="3" charset="-122"/>
                <a:ea typeface="仿宋" panose="02010609060101010101" pitchFamily="3" charset="-122"/>
                <a:cs typeface="仿宋" panose="02010609060101010101" pitchFamily="3" charset="-122"/>
              </a:rPr>
              <a:t>：支出决算结构图（单位：万元）</a:t>
            </a:r>
            <a:endParaRPr lang="zh-CN" altLang="en-US">
              <a:latin typeface="仿宋" panose="02010609060101010101" pitchFamily="3" charset="-122"/>
              <a:ea typeface="仿宋" panose="02010609060101010101" pitchFamily="3" charset="-122"/>
              <a:cs typeface="仿宋" panose="02010609060101010101" pitchFamily="3" charset="-122"/>
            </a:endParaRPr>
          </a:p>
        </c:rich>
      </c:tx>
      <c:layout/>
      <c:overlay val="0"/>
      <c:spPr>
        <a:noFill/>
        <a:ln>
          <a:noFill/>
        </a:ln>
        <a:effectLst/>
      </c:spPr>
    </c:title>
    <c:autoTitleDeleted val="0"/>
    <c:plotArea>
      <c:layout/>
      <c:pieChart>
        <c:varyColors val="1"/>
        <c:ser>
          <c:idx val="0"/>
          <c:order val="0"/>
          <c:tx>
            <c:strRef>
              <c:f>Sheet1!$B$1</c:f>
              <c:strCache>
                <c:ptCount val="1"/>
                <c:pt idx="0">
                  <c:v>图3：支出决算结构图（单位：万元）</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75.03</c:v>
                </c:pt>
                <c:pt idx="1">
                  <c:v>120.56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3804375"/>
          <c:y val="0.9228333333333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latin typeface="仿宋" panose="02010609060101010101" pitchFamily="3" charset="-122"/>
                <a:ea typeface="仿宋" panose="02010609060101010101" pitchFamily="3" charset="-122"/>
                <a:cs typeface="仿宋" panose="02010609060101010101" pitchFamily="3" charset="-122"/>
              </a:rPr>
              <a:t>图</a:t>
            </a:r>
            <a:r>
              <a:rPr lang="en-US" altLang="zh-CN">
                <a:latin typeface="仿宋" panose="02010609060101010101" pitchFamily="3" charset="-122"/>
                <a:ea typeface="仿宋" panose="02010609060101010101" pitchFamily="3" charset="-122"/>
                <a:cs typeface="仿宋" panose="02010609060101010101" pitchFamily="3" charset="-122"/>
              </a:rPr>
              <a:t>4</a:t>
            </a:r>
            <a:r>
              <a:rPr lang="zh-CN" altLang="en-US">
                <a:latin typeface="仿宋" panose="02010609060101010101" pitchFamily="3" charset="-122"/>
                <a:ea typeface="仿宋" panose="02010609060101010101" pitchFamily="3" charset="-122"/>
                <a:cs typeface="仿宋" panose="02010609060101010101" pitchFamily="3" charset="-122"/>
              </a:rPr>
              <a:t>：财政拨款收、支决算总计变动情况图（单位：万元）</a:t>
            </a:r>
            <a:endParaRPr lang="zh-CN" altLang="en-US">
              <a:latin typeface="仿宋" panose="02010609060101010101" pitchFamily="3" charset="-122"/>
              <a:ea typeface="仿宋" panose="02010609060101010101" pitchFamily="3" charset="-122"/>
              <a:cs typeface="仿宋" panose="02010609060101010101" pitchFamily="3" charset="-122"/>
            </a:endParaRPr>
          </a:p>
        </c:rich>
      </c:tx>
      <c:layout/>
      <c:overlay val="0"/>
      <c:spPr>
        <a:noFill/>
        <a:ln>
          <a:noFill/>
        </a:ln>
        <a:effectLst/>
      </c:spPr>
    </c:title>
    <c:autoTitleDeleted val="0"/>
    <c:plotArea>
      <c:layout>
        <c:manualLayout>
          <c:layoutTarget val="inner"/>
          <c:xMode val="edge"/>
          <c:yMode val="edge"/>
          <c:x val="0.04245"/>
          <c:y val="0.127"/>
          <c:w val="0.927925"/>
          <c:h val="0.716566666666667"/>
        </c:manualLayout>
      </c:layout>
      <c:barChart>
        <c:barDir val="col"/>
        <c:grouping val="clustered"/>
        <c:varyColors val="0"/>
        <c:ser>
          <c:idx val="0"/>
          <c:order val="0"/>
          <c:tx>
            <c:strRef>
              <c:f>Sheet1!$B$1</c:f>
              <c:strCache>
                <c:ptCount val="1"/>
                <c:pt idx="0">
                  <c:v>2019年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类别 1</c:v>
                </c:pt>
              </c:strCache>
            </c:strRef>
          </c:cat>
          <c:val>
            <c:numRef>
              <c:f>Sheet1!$B$2</c:f>
              <c:numCache>
                <c:formatCode>General</c:formatCode>
                <c:ptCount val="1"/>
                <c:pt idx="0">
                  <c:v>200.08</c:v>
                </c:pt>
              </c:numCache>
            </c:numRef>
          </c:val>
        </c:ser>
        <c:ser>
          <c:idx val="1"/>
          <c:order val="1"/>
          <c:tx>
            <c:strRef>
              <c:f>Sheet1!$C$1</c:f>
              <c:strCache>
                <c:ptCount val="1"/>
                <c:pt idx="0">
                  <c:v>2020年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类别 1</c:v>
                </c:pt>
              </c:strCache>
            </c:strRef>
          </c:cat>
          <c:val>
            <c:numRef>
              <c:f>Sheet1!$C$2</c:f>
              <c:numCache>
                <c:formatCode>General</c:formatCode>
                <c:ptCount val="1"/>
                <c:pt idx="0">
                  <c:v>195.55</c:v>
                </c:pt>
              </c:numCache>
            </c:numRef>
          </c:val>
        </c:ser>
        <c:dLbls>
          <c:showLegendKey val="0"/>
          <c:showVal val="1"/>
          <c:showCatName val="0"/>
          <c:showSerName val="0"/>
          <c:showPercent val="0"/>
          <c:showBubbleSize val="0"/>
        </c:dLbls>
        <c:gapWidth val="219"/>
        <c:overlap val="-27"/>
        <c:axId val="126965248"/>
        <c:axId val="126966784"/>
      </c:barChart>
      <c:catAx>
        <c:axId val="126965248"/>
        <c:scaling>
          <c:orientation val="minMax"/>
        </c:scaling>
        <c:delete val="1"/>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6966784"/>
        <c:crosses val="autoZero"/>
        <c:auto val="1"/>
        <c:lblAlgn val="ctr"/>
        <c:lblOffset val="100"/>
        <c:noMultiLvlLbl val="0"/>
      </c:catAx>
      <c:valAx>
        <c:axId val="126966784"/>
        <c:scaling>
          <c:orientation val="minMax"/>
          <c:max val="250"/>
          <c:min val="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696524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latin typeface="仿宋" panose="02010609060101010101" pitchFamily="3" charset="-122"/>
                <a:ea typeface="仿宋" panose="02010609060101010101" pitchFamily="3" charset="-122"/>
                <a:cs typeface="仿宋" panose="02010609060101010101" pitchFamily="3" charset="-122"/>
              </a:rPr>
              <a:t>图</a:t>
            </a:r>
            <a:r>
              <a:rPr lang="en-US" altLang="zh-CN">
                <a:latin typeface="仿宋" panose="02010609060101010101" pitchFamily="3" charset="-122"/>
                <a:ea typeface="仿宋" panose="02010609060101010101" pitchFamily="3" charset="-122"/>
                <a:cs typeface="仿宋" panose="02010609060101010101" pitchFamily="3" charset="-122"/>
              </a:rPr>
              <a:t>5</a:t>
            </a:r>
            <a:r>
              <a:rPr lang="zh-CN" altLang="en-US">
                <a:latin typeface="仿宋" panose="02010609060101010101" pitchFamily="3" charset="-122"/>
                <a:ea typeface="仿宋" panose="02010609060101010101" pitchFamily="3" charset="-122"/>
                <a:cs typeface="仿宋" panose="02010609060101010101" pitchFamily="3" charset="-122"/>
              </a:rPr>
              <a:t>：一般公共预算财政拨款支出决算变动情况（单位：万元）</a:t>
            </a:r>
            <a:endParaRPr lang="zh-CN" altLang="en-US">
              <a:latin typeface="仿宋" panose="02010609060101010101" pitchFamily="3" charset="-122"/>
              <a:ea typeface="仿宋" panose="02010609060101010101" pitchFamily="3" charset="-122"/>
              <a:cs typeface="仿宋" panose="02010609060101010101" pitchFamily="3" charset="-122"/>
            </a:endParaRPr>
          </a:p>
        </c:rich>
      </c:tx>
      <c:layout/>
      <c:overlay val="0"/>
      <c:spPr>
        <a:noFill/>
        <a:ln>
          <a:noFill/>
        </a:ln>
        <a:effectLst/>
      </c:spPr>
    </c:title>
    <c:autoTitleDeleted val="0"/>
    <c:plotArea>
      <c:layout>
        <c:manualLayout>
          <c:layoutTarget val="inner"/>
          <c:xMode val="edge"/>
          <c:yMode val="edge"/>
          <c:x val="0.048825"/>
          <c:y val="0.183"/>
          <c:w val="0.927925"/>
          <c:h val="0.660566666666667"/>
        </c:manualLayout>
      </c:layout>
      <c:barChart>
        <c:barDir val="col"/>
        <c:grouping val="clustered"/>
        <c:varyColors val="0"/>
        <c:ser>
          <c:idx val="0"/>
          <c:order val="0"/>
          <c:tx>
            <c:strRef>
              <c:f>Sheet1!$B$1</c:f>
              <c:strCache>
                <c:ptCount val="1"/>
                <c:pt idx="0">
                  <c:v>2019年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类别 1</c:v>
                </c:pt>
              </c:strCache>
            </c:strRef>
          </c:cat>
          <c:val>
            <c:numRef>
              <c:f>Sheet1!$B$2</c:f>
              <c:numCache>
                <c:formatCode>General</c:formatCode>
                <c:ptCount val="1"/>
                <c:pt idx="0">
                  <c:v>200.08</c:v>
                </c:pt>
              </c:numCache>
            </c:numRef>
          </c:val>
        </c:ser>
        <c:ser>
          <c:idx val="1"/>
          <c:order val="1"/>
          <c:tx>
            <c:strRef>
              <c:f>Sheet1!$C$1</c:f>
              <c:strCache>
                <c:ptCount val="1"/>
                <c:pt idx="0">
                  <c:v>2020年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类别 1</c:v>
                </c:pt>
              </c:strCache>
            </c:strRef>
          </c:cat>
          <c:val>
            <c:numRef>
              <c:f>Sheet1!$C$2</c:f>
              <c:numCache>
                <c:formatCode>General</c:formatCode>
                <c:ptCount val="1"/>
                <c:pt idx="0">
                  <c:v>195.55</c:v>
                </c:pt>
              </c:numCache>
            </c:numRef>
          </c:val>
        </c:ser>
        <c:dLbls>
          <c:showLegendKey val="0"/>
          <c:showVal val="1"/>
          <c:showCatName val="0"/>
          <c:showSerName val="0"/>
          <c:showPercent val="0"/>
          <c:showBubbleSize val="0"/>
        </c:dLbls>
        <c:gapWidth val="219"/>
        <c:overlap val="-27"/>
        <c:axId val="146301312"/>
        <c:axId val="146302848"/>
      </c:barChart>
      <c:catAx>
        <c:axId val="146301312"/>
        <c:scaling>
          <c:orientation val="minMax"/>
        </c:scaling>
        <c:delete val="1"/>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6302848"/>
        <c:crosses val="autoZero"/>
        <c:auto val="1"/>
        <c:lblAlgn val="ctr"/>
        <c:lblOffset val="100"/>
        <c:noMultiLvlLbl val="0"/>
      </c:catAx>
      <c:valAx>
        <c:axId val="146302848"/>
        <c:scaling>
          <c:orientation val="minMax"/>
          <c:max val="250"/>
          <c:min val="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630131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latin typeface="仿宋" panose="02010609060101010101" pitchFamily="3" charset="-122"/>
                <a:ea typeface="仿宋" panose="02010609060101010101" pitchFamily="3" charset="-122"/>
                <a:cs typeface="仿宋" panose="02010609060101010101" pitchFamily="3" charset="-122"/>
              </a:rPr>
              <a:t>图</a:t>
            </a:r>
            <a:r>
              <a:rPr lang="en-US" altLang="zh-CN">
                <a:latin typeface="仿宋" panose="02010609060101010101" pitchFamily="3" charset="-122"/>
                <a:ea typeface="仿宋" panose="02010609060101010101" pitchFamily="3" charset="-122"/>
                <a:cs typeface="仿宋" panose="02010609060101010101" pitchFamily="3" charset="-122"/>
              </a:rPr>
              <a:t>6</a:t>
            </a:r>
            <a:r>
              <a:rPr lang="zh-CN" altLang="en-US">
                <a:latin typeface="仿宋" panose="02010609060101010101" pitchFamily="3" charset="-122"/>
                <a:ea typeface="仿宋" panose="02010609060101010101" pitchFamily="3" charset="-122"/>
                <a:cs typeface="仿宋" panose="02010609060101010101" pitchFamily="3" charset="-122"/>
              </a:rPr>
              <a:t>：一般公共预算财政拨款支出决算结构图（单位：万元）</a:t>
            </a:r>
            <a:endParaRPr lang="zh-CN" altLang="en-US">
              <a:latin typeface="仿宋" panose="02010609060101010101" pitchFamily="3" charset="-122"/>
              <a:ea typeface="仿宋" panose="02010609060101010101" pitchFamily="3" charset="-122"/>
              <a:cs typeface="仿宋" panose="02010609060101010101" pitchFamily="3" charset="-122"/>
            </a:endParaRPr>
          </a:p>
        </c:rich>
      </c:tx>
      <c:layout/>
      <c:overlay val="0"/>
      <c:spPr>
        <a:noFill/>
        <a:ln>
          <a:noFill/>
        </a:ln>
        <a:effectLst/>
      </c:spPr>
    </c:title>
    <c:autoTitleDeleted val="0"/>
    <c:plotArea>
      <c:layout/>
      <c:pieChart>
        <c:varyColors val="1"/>
        <c:ser>
          <c:idx val="0"/>
          <c:order val="0"/>
          <c:tx>
            <c:strRef>
              <c:f>Sheet1!$B$1</c:f>
              <c:strCache>
                <c:ptCount val="1"/>
                <c:pt idx="0">
                  <c:v>一般公共预算财政拨款支出</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一般公共服务（类）支出</c:v>
                </c:pt>
                <c:pt idx="1">
                  <c:v>文化旅游体育与传媒（类）支出</c:v>
                </c:pt>
                <c:pt idx="2">
                  <c:v>社会保障和就业（类）支出</c:v>
                </c:pt>
                <c:pt idx="3">
                  <c:v>卫生健康支出</c:v>
                </c:pt>
              </c:strCache>
            </c:strRef>
          </c:cat>
          <c:val>
            <c:numRef>
              <c:f>Sheet1!$B$2:$B$5</c:f>
              <c:numCache>
                <c:formatCode>General</c:formatCode>
                <c:ptCount val="4"/>
                <c:pt idx="0">
                  <c:v>63.44</c:v>
                </c:pt>
                <c:pt idx="1">
                  <c:v>105</c:v>
                </c:pt>
                <c:pt idx="2">
                  <c:v>15.11</c:v>
                </c:pt>
                <c:pt idx="3">
                  <c:v>4.2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图</a:t>
            </a:r>
            <a:r>
              <a:rPr lang="en-US" altLang="zh-CN"/>
              <a:t>7</a:t>
            </a:r>
            <a:r>
              <a:rPr lang="zh-CN" altLang="en-US"/>
              <a:t>：“三公”经费财政拨款支出结构（单位：万元）</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公务用车购置及运行维护费支出决算</c:v>
                </c:pt>
                <c:pt idx="1">
                  <c:v>公务接待费支出决算</c:v>
                </c:pt>
              </c:strCache>
            </c:strRef>
          </c:cat>
          <c:val>
            <c:numRef>
              <c:f>Sheet1!$B$2:$B$3</c:f>
              <c:numCache>
                <c:formatCode>General</c:formatCode>
                <c:ptCount val="2"/>
                <c:pt idx="0">
                  <c:v>0.5</c:v>
                </c:pt>
                <c:pt idx="1">
                  <c:v>0.47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7E42F-AB30-4C3E-9FCD-CCB00B180AED}">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23</Pages>
  <Words>6415</Words>
  <Characters>6873</Characters>
  <Lines>50</Lines>
  <Paragraphs>14</Paragraphs>
  <TotalTime>1</TotalTime>
  <ScaleCrop>false</ScaleCrop>
  <LinksUpToDate>false</LinksUpToDate>
  <CharactersWithSpaces>6901</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2021-09-08T08:11:00Z</dcterms:created>
  <dc:creator>曹颖</dc:creator>
  <cp:lastModifiedBy>新华硅谷财务</cp:lastModifiedBy>
  <cp:lastPrinted>2021-09-08T07:35:00Z</cp:lastPrinted>
  <dcterms:modified xsi:type="dcterms:W3CDTF">2022-08-10T06:28:29Z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B878340D4BE944F48339153F39F02BD0</vt:lpwstr>
  </property>
  <property fmtid="{D5CDD505-2E9C-101B-9397-08002B2CF9AE}" pid="4" name="KSOSaveFontToCloudKey">
    <vt:lpwstr>771900086_btnclosed</vt:lpwstr>
  </property>
</Properties>
</file>