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000000"/>
          <w:sz w:val="30"/>
          <w:szCs w:val="30"/>
        </w:rPr>
      </w:pPr>
      <w:bookmarkStart w:id="0" w:name="_Toc15306267"/>
    </w:p>
    <w:p>
      <w:pPr>
        <w:pStyle w:val="2"/>
        <w:rPr>
          <w:rFonts w:ascii="方正小标宋简体" w:hAnsi="宋体" w:eastAsia="方正小标宋简体"/>
          <w:color w:val="000000"/>
          <w:sz w:val="30"/>
          <w:szCs w:val="30"/>
        </w:rPr>
      </w:pPr>
    </w:p>
    <w:p>
      <w:pPr>
        <w:pStyle w:val="2"/>
        <w:rPr>
          <w:rFonts w:ascii="方正小标宋简体" w:hAnsi="宋体" w:eastAsia="方正小标宋简体"/>
          <w:color w:val="000000"/>
          <w:sz w:val="30"/>
          <w:szCs w:val="30"/>
        </w:rPr>
      </w:pPr>
    </w:p>
    <w:p>
      <w:pPr>
        <w:keepNext w:val="0"/>
        <w:keepLines w:val="0"/>
        <w:pageBreakBefore w:val="0"/>
        <w:widowControl w:val="0"/>
        <w:kinsoku/>
        <w:wordWrap/>
        <w:overflowPunct/>
        <w:topLinePunct w:val="0"/>
        <w:autoSpaceDE/>
        <w:autoSpaceDN/>
        <w:bidi w:val="0"/>
        <w:spacing w:line="240" w:lineRule="auto"/>
        <w:jc w:val="center"/>
        <w:textAlignment w:val="auto"/>
        <w:outlineLvl w:val="0"/>
        <w:rPr>
          <w:rFonts w:hint="eastAsia" w:ascii="方正大标宋_GBK" w:hAnsi="方正大标宋_GBK" w:eastAsia="方正大标宋_GBK" w:cs="方正大标宋_GBK"/>
          <w:b/>
          <w:bCs/>
          <w:color w:val="000000"/>
          <w:sz w:val="52"/>
          <w:szCs w:val="52"/>
        </w:rPr>
      </w:pPr>
      <w:bookmarkStart w:id="1" w:name="_Toc15396597"/>
      <w:bookmarkStart w:id="2" w:name="_Toc15377425"/>
      <w:bookmarkStart w:id="3" w:name="_Toc15378441"/>
      <w:bookmarkStart w:id="4" w:name="_Toc15396475"/>
      <w:bookmarkStart w:id="5" w:name="_Toc15377193"/>
      <w:r>
        <w:rPr>
          <w:rFonts w:hint="eastAsia" w:ascii="方正大标宋_GBK" w:hAnsi="方正大标宋_GBK" w:eastAsia="方正大标宋_GBK" w:cs="方正大标宋_GBK"/>
          <w:b/>
          <w:bCs/>
          <w:sz w:val="52"/>
          <w:szCs w:val="52"/>
        </w:rPr>
        <w:t>2020年度</w:t>
      </w:r>
      <w:bookmarkEnd w:id="1"/>
      <w:bookmarkEnd w:id="2"/>
      <w:bookmarkEnd w:id="3"/>
      <w:bookmarkEnd w:id="4"/>
      <w:bookmarkEnd w:id="5"/>
    </w:p>
    <w:bookmarkEnd w:id="0"/>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大标宋_GBK" w:hAnsi="方正大标宋_GBK" w:eastAsia="方正大标宋_GBK" w:cs="方正大标宋_GBK"/>
          <w:b/>
          <w:bCs/>
          <w:sz w:val="52"/>
          <w:szCs w:val="52"/>
        </w:rPr>
      </w:pPr>
      <w:bookmarkStart w:id="6" w:name="_Toc15396476"/>
      <w:bookmarkStart w:id="7" w:name="_Toc15378442"/>
      <w:bookmarkStart w:id="8" w:name="_Toc15377194"/>
      <w:bookmarkStart w:id="9" w:name="_Toc15377426"/>
      <w:bookmarkStart w:id="10" w:name="_Toc15396598"/>
      <w:bookmarkStart w:id="11" w:name="_Toc15306268"/>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大标宋_GBK" w:hAnsi="方正大标宋_GBK" w:eastAsia="方正大标宋_GBK" w:cs="方正大标宋_GBK"/>
          <w:b/>
          <w:bCs/>
          <w:sz w:val="52"/>
          <w:szCs w:val="52"/>
        </w:rPr>
      </w:pPr>
      <w:r>
        <w:rPr>
          <w:rFonts w:hint="eastAsia" w:ascii="方正大标宋_GBK" w:hAnsi="方正大标宋_GBK" w:eastAsia="方正大标宋_GBK" w:cs="方正大标宋_GBK"/>
          <w:b/>
          <w:bCs/>
          <w:sz w:val="52"/>
          <w:szCs w:val="52"/>
        </w:rPr>
        <w:t>四川省干部函授学院</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大标宋_GBK" w:hAnsi="方正大标宋_GBK" w:eastAsia="方正大标宋_GBK" w:cs="方正大标宋_GBK"/>
          <w:b/>
          <w:bCs/>
          <w:sz w:val="52"/>
          <w:szCs w:val="52"/>
        </w:rPr>
      </w:pPr>
      <w:r>
        <w:rPr>
          <w:rFonts w:hint="eastAsia" w:ascii="方正大标宋_GBK" w:hAnsi="方正大标宋_GBK" w:eastAsia="方正大标宋_GBK" w:cs="方正大标宋_GBK"/>
          <w:b/>
          <w:bCs/>
          <w:sz w:val="52"/>
          <w:szCs w:val="52"/>
        </w:rPr>
        <w:t>四川文化产业职业学院</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大标宋_GBK" w:hAnsi="方正大标宋_GBK" w:eastAsia="方正大标宋_GBK" w:cs="方正大标宋_GBK"/>
          <w:b/>
          <w:bCs/>
          <w:sz w:val="52"/>
          <w:szCs w:val="5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大标宋_GBK" w:hAnsi="方正大标宋_GBK" w:eastAsia="方正大标宋_GBK" w:cs="方正大标宋_GBK"/>
          <w:b/>
          <w:bCs/>
          <w:sz w:val="52"/>
          <w:szCs w:val="52"/>
        </w:rPr>
      </w:pP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0"/>
        <w:rPr>
          <w:rFonts w:hint="eastAsia" w:ascii="方正大标宋_GBK" w:hAnsi="方正大标宋_GBK" w:eastAsia="方正大标宋_GBK" w:cs="方正大标宋_GBK"/>
          <w:b/>
          <w:bCs/>
          <w:sz w:val="52"/>
          <w:szCs w:val="52"/>
        </w:rPr>
      </w:pPr>
      <w:r>
        <w:rPr>
          <w:rFonts w:hint="eastAsia" w:ascii="方正大标宋_GBK" w:hAnsi="方正大标宋_GBK" w:eastAsia="方正大标宋_GBK" w:cs="方正大标宋_GBK"/>
          <w:b/>
          <w:bCs/>
          <w:sz w:val="52"/>
          <w:szCs w:val="52"/>
        </w:rPr>
        <w:t>单位决算</w:t>
      </w:r>
      <w:bookmarkEnd w:id="6"/>
      <w:bookmarkEnd w:id="7"/>
      <w:bookmarkEnd w:id="8"/>
      <w:bookmarkEnd w:id="9"/>
      <w:bookmarkEnd w:id="10"/>
      <w:bookmarkEnd w:id="11"/>
    </w:p>
    <w:p>
      <w:pPr>
        <w:widowControl/>
        <w:jc w:val="center"/>
        <w:rPr>
          <w:rFonts w:ascii="方正小标宋简体" w:hAnsi="宋体" w:eastAsia="方正小标宋简体"/>
          <w:sz w:val="36"/>
          <w:szCs w:val="36"/>
        </w:rPr>
      </w:pPr>
      <w:r>
        <w:rPr>
          <w:rFonts w:ascii="方正小标宋简体" w:hAnsi="宋体" w:eastAsia="方正小标宋简体"/>
          <w:sz w:val="36"/>
          <w:szCs w:val="36"/>
        </w:rPr>
        <w:br w:type="page"/>
      </w:r>
    </w:p>
    <w:p>
      <w:pPr>
        <w:widowControl/>
        <w:jc w:val="center"/>
        <w:rPr>
          <w:rFonts w:ascii="方正小标宋简体" w:hAnsi="宋体" w:eastAsia="方正小标宋简体"/>
          <w:sz w:val="36"/>
          <w:szCs w:val="36"/>
        </w:rPr>
      </w:pPr>
    </w:p>
    <w:p>
      <w:pPr>
        <w:widowControl/>
        <w:jc w:val="center"/>
        <w:rPr>
          <w:rFonts w:hint="eastAsia" w:ascii="黑体" w:hAnsi="黑体" w:eastAsia="黑体" w:cs="黑体"/>
          <w:b/>
          <w:bCs/>
          <w:sz w:val="48"/>
          <w:szCs w:val="48"/>
        </w:rPr>
      </w:pPr>
      <w:r>
        <w:rPr>
          <w:rFonts w:hint="eastAsia" w:ascii="黑体" w:hAnsi="黑体" w:eastAsia="黑体" w:cs="黑体"/>
          <w:b/>
          <w:bCs/>
          <w:sz w:val="48"/>
          <w:szCs w:val="48"/>
        </w:rPr>
        <w:t>目</w:t>
      </w:r>
      <w:r>
        <w:rPr>
          <w:rFonts w:hint="eastAsia" w:ascii="黑体" w:hAnsi="黑体" w:eastAsia="黑体" w:cs="黑体"/>
          <w:b/>
          <w:bCs/>
          <w:sz w:val="48"/>
          <w:szCs w:val="48"/>
          <w:lang w:val="en-US" w:eastAsia="zh-CN"/>
        </w:rPr>
        <w:t xml:space="preserve">  </w:t>
      </w:r>
      <w:r>
        <w:rPr>
          <w:rFonts w:hint="eastAsia" w:ascii="黑体" w:hAnsi="黑体" w:eastAsia="黑体" w:cs="黑体"/>
          <w:b/>
          <w:bCs/>
          <w:sz w:val="48"/>
          <w:szCs w:val="48"/>
        </w:rPr>
        <w:t>录</w:t>
      </w:r>
    </w:p>
    <w:p>
      <w:pPr>
        <w:widowControl/>
        <w:jc w:val="center"/>
        <w:rPr>
          <w:rFonts w:ascii="黑体" w:hAnsi="黑体" w:eastAsia="黑体" w:cstheme="minorBidi"/>
          <w:b/>
          <w:bCs/>
          <w:sz w:val="28"/>
          <w:szCs w:val="28"/>
        </w:rPr>
      </w:pPr>
    </w:p>
    <w:p>
      <w:pPr>
        <w:pStyle w:val="10"/>
        <w:keepNext w:val="0"/>
        <w:keepLines w:val="0"/>
        <w:pageBreakBefore w:val="0"/>
        <w:widowControl w:val="0"/>
        <w:kinsoku/>
        <w:wordWrap/>
        <w:overflowPunct/>
        <w:topLinePunct w:val="0"/>
        <w:autoSpaceDE/>
        <w:autoSpaceDN/>
        <w:bidi w:val="0"/>
        <w:spacing w:line="560" w:lineRule="exact"/>
        <w:textAlignment w:val="auto"/>
        <w:rPr>
          <w:b/>
          <w:bCs/>
          <w:sz w:val="32"/>
          <w:szCs w:val="32"/>
        </w:rPr>
      </w:pPr>
      <w:r>
        <w:rPr>
          <w:rFonts w:hint="eastAsia"/>
          <w:b/>
          <w:bCs/>
          <w:sz w:val="32"/>
          <w:szCs w:val="32"/>
        </w:rPr>
        <w:t>公开时间：2021年9月10日</w:t>
      </w:r>
    </w:p>
    <w:p>
      <w:pPr>
        <w:keepNext w:val="0"/>
        <w:keepLines w:val="0"/>
        <w:pageBreakBefore w:val="0"/>
        <w:widowControl w:val="0"/>
        <w:kinsoku/>
        <w:wordWrap/>
        <w:overflowPunct/>
        <w:topLinePunct w:val="0"/>
        <w:autoSpaceDE/>
        <w:autoSpaceDN/>
        <w:bidi w:val="0"/>
        <w:spacing w:line="560" w:lineRule="exact"/>
        <w:textAlignment w:val="auto"/>
        <w:rPr>
          <w:b/>
          <w:bCs/>
          <w:sz w:val="32"/>
          <w:szCs w:val="32"/>
        </w:rPr>
      </w:pPr>
    </w:p>
    <w:p>
      <w:pPr>
        <w:pStyle w:val="10"/>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cstheme="minorBidi"/>
          <w:b/>
          <w:bCs/>
          <w:sz w:val="32"/>
          <w:szCs w:val="32"/>
        </w:rPr>
      </w:pPr>
      <w:r>
        <w:rPr>
          <w:rFonts w:hint="eastAsia"/>
          <w:b/>
          <w:bCs/>
          <w:sz w:val="32"/>
          <w:szCs w:val="32"/>
        </w:rPr>
        <w:t>第一部分单位概况4页</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一、职能简介4页</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cstheme="minorEastAsia"/>
          <w:b/>
          <w:bCs/>
          <w:sz w:val="32"/>
          <w:szCs w:val="32"/>
        </w:rPr>
      </w:pPr>
      <w:r>
        <w:rPr>
          <w:rFonts w:hint="eastAsia" w:ascii="仿宋" w:hAnsi="仿宋" w:eastAsia="仿宋" w:cstheme="minorEastAsia"/>
          <w:b/>
          <w:bCs/>
          <w:sz w:val="32"/>
          <w:szCs w:val="32"/>
        </w:rPr>
        <w:t xml:space="preserve">二、2020年重点工作完成情况 </w:t>
      </w:r>
      <w:r>
        <w:rPr>
          <w:rFonts w:hint="eastAsia" w:ascii="仿宋" w:hAnsi="仿宋" w:eastAsia="仿宋" w:cstheme="minorEastAsia"/>
          <w:b/>
          <w:bCs/>
          <w:sz w:val="32"/>
          <w:szCs w:val="32"/>
          <w:lang w:val="en-US" w:eastAsia="zh-CN"/>
        </w:rPr>
        <w:t>4</w:t>
      </w:r>
      <w:r>
        <w:rPr>
          <w:rFonts w:hint="eastAsia" w:ascii="仿宋" w:hAnsi="仿宋" w:eastAsia="仿宋" w:cstheme="minorEastAsia"/>
          <w:b/>
          <w:bCs/>
          <w:sz w:val="32"/>
          <w:szCs w:val="32"/>
        </w:rPr>
        <w:t>页</w:t>
      </w:r>
    </w:p>
    <w:p>
      <w:pPr>
        <w:pStyle w:val="10"/>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b/>
          <w:bCs/>
          <w:sz w:val="32"/>
          <w:szCs w:val="32"/>
        </w:rPr>
      </w:pPr>
      <w:r>
        <w:rPr>
          <w:rFonts w:hint="eastAsia"/>
          <w:b/>
          <w:bCs/>
          <w:sz w:val="32"/>
          <w:szCs w:val="32"/>
        </w:rPr>
        <w:t>第二部分 2020年度单位决算情况说明</w:t>
      </w:r>
      <w:r>
        <w:rPr>
          <w:rFonts w:hint="eastAsia"/>
          <w:b/>
          <w:bCs/>
          <w:sz w:val="32"/>
          <w:szCs w:val="32"/>
          <w:lang w:val="en-US" w:eastAsia="zh-CN"/>
        </w:rPr>
        <w:t>10</w:t>
      </w:r>
      <w:r>
        <w:rPr>
          <w:rFonts w:hint="eastAsia"/>
          <w:b/>
          <w:bCs/>
          <w:sz w:val="32"/>
          <w:szCs w:val="32"/>
        </w:rPr>
        <w:t>页</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cstheme="minorBidi"/>
          <w:b/>
          <w:bCs/>
          <w:sz w:val="32"/>
          <w:szCs w:val="32"/>
        </w:rPr>
      </w:pPr>
      <w:r>
        <w:rPr>
          <w:rFonts w:hint="eastAsia" w:ascii="仿宋" w:hAnsi="仿宋" w:eastAsia="仿宋"/>
          <w:b/>
          <w:bCs/>
          <w:sz w:val="32"/>
          <w:szCs w:val="32"/>
        </w:rPr>
        <w:t>一、收入支出决算总体情况说明1</w:t>
      </w:r>
      <w:r>
        <w:rPr>
          <w:rFonts w:hint="eastAsia" w:ascii="仿宋" w:hAnsi="仿宋" w:eastAsia="仿宋"/>
          <w:b/>
          <w:bCs/>
          <w:sz w:val="32"/>
          <w:szCs w:val="32"/>
          <w:lang w:val="en-US" w:eastAsia="zh-CN"/>
        </w:rPr>
        <w:t>0</w:t>
      </w:r>
      <w:r>
        <w:rPr>
          <w:rFonts w:hint="eastAsia" w:ascii="仿宋" w:hAnsi="仿宋" w:eastAsia="仿宋"/>
          <w:b/>
          <w:bCs/>
          <w:sz w:val="32"/>
          <w:szCs w:val="32"/>
        </w:rPr>
        <w:t>页</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cstheme="minorBidi"/>
          <w:b/>
          <w:bCs/>
          <w:sz w:val="32"/>
          <w:szCs w:val="32"/>
        </w:rPr>
      </w:pPr>
      <w:r>
        <w:rPr>
          <w:rFonts w:hint="eastAsia" w:ascii="仿宋" w:hAnsi="仿宋" w:eastAsia="仿宋"/>
          <w:b/>
          <w:bCs/>
          <w:sz w:val="32"/>
          <w:szCs w:val="32"/>
        </w:rPr>
        <w:t>二、收入决算情况说明1</w:t>
      </w:r>
      <w:r>
        <w:rPr>
          <w:rFonts w:hint="eastAsia" w:ascii="仿宋" w:hAnsi="仿宋" w:eastAsia="仿宋"/>
          <w:b/>
          <w:bCs/>
          <w:sz w:val="32"/>
          <w:szCs w:val="32"/>
          <w:lang w:val="en-US" w:eastAsia="zh-CN"/>
        </w:rPr>
        <w:t>0</w:t>
      </w:r>
      <w:r>
        <w:rPr>
          <w:rFonts w:hint="eastAsia" w:ascii="仿宋" w:hAnsi="仿宋" w:eastAsia="仿宋"/>
          <w:b/>
          <w:bCs/>
          <w:sz w:val="32"/>
          <w:szCs w:val="32"/>
        </w:rPr>
        <w:t>页</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cstheme="minorBidi"/>
          <w:b/>
          <w:bCs/>
          <w:sz w:val="32"/>
          <w:szCs w:val="32"/>
        </w:rPr>
      </w:pPr>
      <w:r>
        <w:rPr>
          <w:rFonts w:hint="eastAsia" w:ascii="仿宋" w:hAnsi="仿宋" w:eastAsia="仿宋"/>
          <w:b/>
          <w:bCs/>
          <w:sz w:val="32"/>
          <w:szCs w:val="32"/>
        </w:rPr>
        <w:t>三、支出决算情况说明1</w:t>
      </w:r>
      <w:r>
        <w:rPr>
          <w:rFonts w:hint="eastAsia" w:ascii="仿宋" w:hAnsi="仿宋" w:eastAsia="仿宋"/>
          <w:b/>
          <w:bCs/>
          <w:sz w:val="32"/>
          <w:szCs w:val="32"/>
          <w:lang w:val="en-US" w:eastAsia="zh-CN"/>
        </w:rPr>
        <w:t>1</w:t>
      </w:r>
      <w:r>
        <w:rPr>
          <w:rFonts w:hint="eastAsia" w:ascii="仿宋" w:hAnsi="仿宋" w:eastAsia="仿宋"/>
          <w:b/>
          <w:bCs/>
          <w:sz w:val="32"/>
          <w:szCs w:val="32"/>
        </w:rPr>
        <w:t>页</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cstheme="minorBidi"/>
          <w:b/>
          <w:bCs/>
          <w:sz w:val="32"/>
          <w:szCs w:val="32"/>
        </w:rPr>
      </w:pPr>
      <w:r>
        <w:rPr>
          <w:rFonts w:hint="eastAsia" w:ascii="仿宋" w:hAnsi="仿宋" w:eastAsia="仿宋"/>
          <w:b/>
          <w:bCs/>
          <w:sz w:val="32"/>
          <w:szCs w:val="32"/>
        </w:rPr>
        <w:t>四、财政拨款收入支出决算总体情况说明1</w:t>
      </w:r>
      <w:r>
        <w:rPr>
          <w:rFonts w:hint="eastAsia" w:ascii="仿宋" w:hAnsi="仿宋" w:eastAsia="仿宋"/>
          <w:b/>
          <w:bCs/>
          <w:sz w:val="32"/>
          <w:szCs w:val="32"/>
          <w:lang w:val="en-US" w:eastAsia="zh-CN"/>
        </w:rPr>
        <w:t>2</w:t>
      </w:r>
      <w:r>
        <w:rPr>
          <w:rFonts w:hint="eastAsia" w:ascii="仿宋" w:hAnsi="仿宋" w:eastAsia="仿宋"/>
          <w:b/>
          <w:bCs/>
          <w:sz w:val="32"/>
          <w:szCs w:val="32"/>
        </w:rPr>
        <w:t>页</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cstheme="minorBidi"/>
          <w:b/>
          <w:bCs/>
          <w:sz w:val="32"/>
          <w:szCs w:val="32"/>
        </w:rPr>
      </w:pPr>
      <w:r>
        <w:rPr>
          <w:rFonts w:hint="eastAsia" w:ascii="仿宋" w:hAnsi="仿宋" w:eastAsia="仿宋"/>
          <w:b/>
          <w:bCs/>
          <w:sz w:val="32"/>
          <w:szCs w:val="32"/>
        </w:rPr>
        <w:t>五、一般公共预算财政拨款支出决算情况说明1</w:t>
      </w:r>
      <w:r>
        <w:rPr>
          <w:rFonts w:hint="eastAsia" w:ascii="仿宋" w:hAnsi="仿宋" w:eastAsia="仿宋"/>
          <w:b/>
          <w:bCs/>
          <w:sz w:val="32"/>
          <w:szCs w:val="32"/>
          <w:lang w:val="en-US" w:eastAsia="zh-CN"/>
        </w:rPr>
        <w:t>2</w:t>
      </w:r>
      <w:r>
        <w:rPr>
          <w:rFonts w:hint="eastAsia" w:ascii="仿宋" w:hAnsi="仿宋" w:eastAsia="仿宋"/>
          <w:b/>
          <w:bCs/>
          <w:sz w:val="32"/>
          <w:szCs w:val="32"/>
        </w:rPr>
        <w:t>页</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cstheme="minorBidi"/>
          <w:b/>
          <w:bCs/>
          <w:sz w:val="32"/>
          <w:szCs w:val="32"/>
        </w:rPr>
      </w:pPr>
      <w:r>
        <w:rPr>
          <w:rFonts w:hint="eastAsia" w:ascii="仿宋" w:hAnsi="仿宋" w:eastAsia="仿宋"/>
          <w:b/>
          <w:bCs/>
          <w:sz w:val="32"/>
          <w:szCs w:val="32"/>
        </w:rPr>
        <w:t>六、一般公共预算财政拨款基本支出决算情况说明1</w:t>
      </w:r>
      <w:r>
        <w:rPr>
          <w:rFonts w:hint="eastAsia" w:ascii="仿宋" w:hAnsi="仿宋" w:eastAsia="仿宋"/>
          <w:b/>
          <w:bCs/>
          <w:sz w:val="32"/>
          <w:szCs w:val="32"/>
          <w:lang w:val="en-US" w:eastAsia="zh-CN"/>
        </w:rPr>
        <w:t>5</w:t>
      </w:r>
      <w:r>
        <w:rPr>
          <w:rFonts w:hint="eastAsia" w:ascii="仿宋" w:hAnsi="仿宋" w:eastAsia="仿宋"/>
          <w:b/>
          <w:bCs/>
          <w:sz w:val="32"/>
          <w:szCs w:val="32"/>
        </w:rPr>
        <w:t>页</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cstheme="minorBidi"/>
          <w:b/>
          <w:bCs/>
          <w:sz w:val="32"/>
          <w:szCs w:val="32"/>
        </w:rPr>
      </w:pPr>
      <w:r>
        <w:rPr>
          <w:rFonts w:hint="eastAsia" w:ascii="仿宋" w:hAnsi="仿宋" w:eastAsia="仿宋"/>
          <w:b/>
          <w:bCs/>
          <w:sz w:val="32"/>
          <w:szCs w:val="32"/>
        </w:rPr>
        <w:t>七、</w:t>
      </w:r>
      <w:r>
        <w:rPr>
          <w:rFonts w:ascii="仿宋" w:hAnsi="仿宋" w:eastAsia="仿宋"/>
          <w:b/>
          <w:bCs/>
          <w:sz w:val="32"/>
          <w:szCs w:val="32"/>
        </w:rPr>
        <w:t>“</w:t>
      </w:r>
      <w:r>
        <w:rPr>
          <w:rFonts w:hint="eastAsia" w:ascii="仿宋" w:hAnsi="仿宋" w:eastAsia="仿宋"/>
          <w:b/>
          <w:bCs/>
          <w:sz w:val="32"/>
          <w:szCs w:val="32"/>
        </w:rPr>
        <w:t>三公”经费财政拨款支出决</w:t>
      </w:r>
      <w:bookmarkStart w:id="70" w:name="_GoBack"/>
      <w:bookmarkEnd w:id="70"/>
      <w:r>
        <w:rPr>
          <w:rFonts w:hint="eastAsia" w:ascii="仿宋" w:hAnsi="仿宋" w:eastAsia="仿宋"/>
          <w:b/>
          <w:bCs/>
          <w:sz w:val="32"/>
          <w:szCs w:val="32"/>
        </w:rPr>
        <w:t>算情况说明1</w:t>
      </w:r>
      <w:r>
        <w:rPr>
          <w:rFonts w:hint="eastAsia" w:ascii="仿宋" w:hAnsi="仿宋" w:eastAsia="仿宋"/>
          <w:b/>
          <w:bCs/>
          <w:sz w:val="32"/>
          <w:szCs w:val="32"/>
          <w:lang w:val="en-US" w:eastAsia="zh-CN"/>
        </w:rPr>
        <w:t>5</w:t>
      </w:r>
      <w:r>
        <w:rPr>
          <w:rFonts w:hint="eastAsia" w:ascii="仿宋" w:hAnsi="仿宋" w:eastAsia="仿宋"/>
          <w:b/>
          <w:bCs/>
          <w:sz w:val="32"/>
          <w:szCs w:val="32"/>
        </w:rPr>
        <w:t>页</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cstheme="minorBidi"/>
          <w:b/>
          <w:bCs/>
          <w:sz w:val="32"/>
          <w:szCs w:val="32"/>
        </w:rPr>
      </w:pPr>
      <w:r>
        <w:rPr>
          <w:rFonts w:hint="eastAsia" w:ascii="仿宋" w:hAnsi="仿宋" w:eastAsia="仿宋"/>
          <w:b/>
          <w:bCs/>
          <w:sz w:val="32"/>
          <w:szCs w:val="32"/>
        </w:rPr>
        <w:t>八、政府性基金预算支出决算情况说明1</w:t>
      </w:r>
      <w:r>
        <w:rPr>
          <w:rFonts w:hint="eastAsia" w:ascii="仿宋" w:hAnsi="仿宋" w:eastAsia="仿宋"/>
          <w:b/>
          <w:bCs/>
          <w:sz w:val="32"/>
          <w:szCs w:val="32"/>
          <w:lang w:val="en-US" w:eastAsia="zh-CN"/>
        </w:rPr>
        <w:t>7</w:t>
      </w:r>
      <w:r>
        <w:rPr>
          <w:rFonts w:hint="eastAsia" w:ascii="仿宋" w:hAnsi="仿宋" w:eastAsia="仿宋"/>
          <w:b/>
          <w:bCs/>
          <w:sz w:val="32"/>
          <w:szCs w:val="32"/>
        </w:rPr>
        <w:t>页</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九、国有资本经营预算支出决算情况说明1</w:t>
      </w:r>
      <w:r>
        <w:rPr>
          <w:rFonts w:hint="eastAsia" w:ascii="仿宋" w:hAnsi="仿宋" w:eastAsia="仿宋"/>
          <w:b/>
          <w:bCs/>
          <w:sz w:val="32"/>
          <w:szCs w:val="32"/>
          <w:lang w:val="en-US" w:eastAsia="zh-CN"/>
        </w:rPr>
        <w:t>7</w:t>
      </w:r>
      <w:r>
        <w:rPr>
          <w:rFonts w:hint="eastAsia" w:ascii="仿宋" w:hAnsi="仿宋" w:eastAsia="仿宋"/>
          <w:b/>
          <w:bCs/>
          <w:sz w:val="32"/>
          <w:szCs w:val="32"/>
        </w:rPr>
        <w:t>页</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十、其他重要事项的情况说明1</w:t>
      </w:r>
      <w:r>
        <w:rPr>
          <w:rFonts w:hint="eastAsia" w:ascii="仿宋" w:hAnsi="仿宋" w:eastAsia="仿宋"/>
          <w:b/>
          <w:bCs/>
          <w:sz w:val="32"/>
          <w:szCs w:val="32"/>
          <w:lang w:val="en-US" w:eastAsia="zh-CN"/>
        </w:rPr>
        <w:t>7</w:t>
      </w:r>
      <w:r>
        <w:rPr>
          <w:rFonts w:hint="eastAsia" w:ascii="仿宋" w:hAnsi="仿宋" w:eastAsia="仿宋"/>
          <w:b/>
          <w:bCs/>
          <w:sz w:val="32"/>
          <w:szCs w:val="32"/>
        </w:rPr>
        <w:t>页</w:t>
      </w:r>
    </w:p>
    <w:p>
      <w:pPr>
        <w:pStyle w:val="10"/>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cstheme="minorBidi"/>
          <w:b/>
          <w:bCs/>
          <w:sz w:val="32"/>
          <w:szCs w:val="32"/>
        </w:rPr>
      </w:pPr>
      <w:r>
        <w:rPr>
          <w:rFonts w:hint="eastAsia"/>
          <w:b/>
          <w:bCs/>
          <w:sz w:val="32"/>
          <w:szCs w:val="32"/>
        </w:rPr>
        <w:t>第三部分名词解释</w:t>
      </w:r>
      <w:r>
        <w:rPr>
          <w:rFonts w:hint="eastAsia"/>
          <w:b/>
          <w:bCs/>
          <w:sz w:val="32"/>
          <w:szCs w:val="32"/>
          <w:lang w:val="en-US" w:eastAsia="zh-CN"/>
        </w:rPr>
        <w:t>29</w:t>
      </w:r>
      <w:r>
        <w:rPr>
          <w:rFonts w:hint="eastAsia"/>
          <w:b/>
          <w:bCs/>
          <w:sz w:val="32"/>
          <w:szCs w:val="32"/>
        </w:rPr>
        <w:t>页</w:t>
      </w:r>
    </w:p>
    <w:p>
      <w:pPr>
        <w:pStyle w:val="10"/>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cstheme="minorBidi"/>
          <w:b/>
          <w:bCs/>
          <w:sz w:val="32"/>
          <w:szCs w:val="32"/>
        </w:rPr>
      </w:pPr>
      <w:r>
        <w:rPr>
          <w:rFonts w:hint="eastAsia"/>
          <w:b/>
          <w:bCs/>
          <w:sz w:val="32"/>
          <w:szCs w:val="32"/>
        </w:rPr>
        <w:t>第四部分附件</w:t>
      </w:r>
      <w:r>
        <w:rPr>
          <w:rFonts w:hint="eastAsia"/>
          <w:b/>
          <w:bCs/>
          <w:sz w:val="32"/>
          <w:szCs w:val="32"/>
          <w:lang w:val="en-US" w:eastAsia="zh-CN"/>
        </w:rPr>
        <w:t>32</w:t>
      </w:r>
      <w:r>
        <w:rPr>
          <w:rFonts w:hint="eastAsia"/>
          <w:b/>
          <w:bCs/>
          <w:sz w:val="32"/>
          <w:szCs w:val="32"/>
        </w:rPr>
        <w:t>页</w:t>
      </w:r>
    </w:p>
    <w:p>
      <w:pPr>
        <w:pStyle w:val="10"/>
        <w:keepNext w:val="0"/>
        <w:keepLines w:val="0"/>
        <w:pageBreakBefore w:val="0"/>
        <w:widowControl w:val="0"/>
        <w:kinsoku/>
        <w:wordWrap/>
        <w:overflowPunct/>
        <w:topLinePunct w:val="0"/>
        <w:autoSpaceDE/>
        <w:autoSpaceDN/>
        <w:bidi w:val="0"/>
        <w:adjustRightInd w:val="0"/>
        <w:snapToGrid w:val="0"/>
        <w:spacing w:before="0" w:line="560" w:lineRule="exact"/>
        <w:jc w:val="left"/>
        <w:textAlignment w:val="auto"/>
        <w:rPr>
          <w:rFonts w:cstheme="minorBidi"/>
          <w:b/>
          <w:bCs/>
          <w:sz w:val="32"/>
          <w:szCs w:val="32"/>
        </w:rPr>
      </w:pPr>
      <w:r>
        <w:rPr>
          <w:rFonts w:hint="eastAsia"/>
          <w:b/>
          <w:bCs/>
          <w:sz w:val="32"/>
          <w:szCs w:val="32"/>
        </w:rPr>
        <w:t>第五部分附表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一、收入支出决算总表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二、收入决算表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三、支出决算表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四、财政拨款收入支出决算总表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五、财政拨款支出决算明细表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六、一般公共预算财政拨款支出决算表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七、一般公共预算财政拨款支出决算明细表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八、一般公共预算财政拨款基本支出决算表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九、一般公共预算财政拨款项目支出决算表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十、一般公共预算财政拨款“三公”经费支出决算表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十一、政府性基金预算财政拨款收入支出决算表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十二、政府性基金预算财政拨款“三公”经费支出决算表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十三、国有资本经营预算财政拨款收入支出决算表</w:t>
      </w:r>
    </w:p>
    <w:p>
      <w:pPr>
        <w:pStyle w:val="11"/>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bCs/>
          <w:sz w:val="32"/>
          <w:szCs w:val="32"/>
        </w:rPr>
      </w:pPr>
      <w:r>
        <w:rPr>
          <w:rFonts w:hint="eastAsia" w:ascii="仿宋" w:hAnsi="仿宋" w:eastAsia="仿宋"/>
          <w:b/>
          <w:bCs/>
          <w:sz w:val="32"/>
          <w:szCs w:val="32"/>
        </w:rPr>
        <w:t>十四、国有资本经营预算财政拨款支出决算表</w:t>
      </w:r>
    </w:p>
    <w:p>
      <w:pPr>
        <w:widowControl/>
        <w:spacing w:line="440" w:lineRule="exact"/>
        <w:jc w:val="left"/>
        <w:rPr>
          <w:rFonts w:ascii="仿宋" w:hAnsi="仿宋" w:eastAsia="仿宋"/>
          <w:b/>
          <w:bCs/>
          <w:kern w:val="44"/>
          <w:sz w:val="24"/>
        </w:rPr>
      </w:pPr>
      <w:bookmarkStart w:id="12" w:name="_Toc15377196"/>
      <w:bookmarkStart w:id="13" w:name="_Toc15396599"/>
      <w:r>
        <w:rPr>
          <w:rFonts w:ascii="仿宋" w:hAnsi="仿宋" w:eastAsia="仿宋"/>
          <w:b/>
          <w:bCs/>
          <w:sz w:val="24"/>
        </w:rPr>
        <w:br w:type="page"/>
      </w:r>
    </w:p>
    <w:p>
      <w:pPr>
        <w:pStyle w:val="3"/>
        <w:keepNext/>
        <w:keepLines/>
        <w:pageBreakBefore w:val="0"/>
        <w:widowControl w:val="0"/>
        <w:kinsoku/>
        <w:wordWrap/>
        <w:overflowPunct/>
        <w:topLinePunct w:val="0"/>
        <w:autoSpaceDE/>
        <w:autoSpaceDN/>
        <w:bidi w:val="0"/>
        <w:adjustRightInd/>
        <w:snapToGrid/>
        <w:spacing w:after="0" w:line="579" w:lineRule="auto"/>
        <w:jc w:val="center"/>
        <w:textAlignment w:val="auto"/>
        <w:rPr>
          <w:rStyle w:val="24"/>
          <w:rFonts w:ascii="黑体" w:hAnsi="黑体" w:eastAsia="黑体"/>
          <w:b/>
          <w:bCs/>
        </w:rPr>
      </w:pPr>
      <w:r>
        <w:rPr>
          <w:rFonts w:hint="eastAsia" w:ascii="黑体" w:hAnsi="黑体" w:eastAsia="黑体"/>
          <w:b/>
          <w:bCs/>
        </w:rPr>
        <w:t>第一部分 单位</w:t>
      </w:r>
      <w:r>
        <w:rPr>
          <w:rStyle w:val="24"/>
          <w:rFonts w:hint="eastAsia" w:ascii="黑体" w:hAnsi="黑体" w:eastAsia="黑体"/>
          <w:b/>
          <w:bCs/>
        </w:rPr>
        <w:t>概况</w:t>
      </w:r>
      <w:bookmarkEnd w:id="12"/>
      <w:bookmarkEnd w:id="13"/>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黑体" w:eastAsia="黑体"/>
          <w:b/>
          <w:bCs/>
          <w:sz w:val="32"/>
          <w:szCs w:val="32"/>
        </w:rPr>
      </w:pP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1"/>
        <w:rPr>
          <w:rStyle w:val="25"/>
          <w:rFonts w:ascii="黑体" w:hAnsi="黑体" w:eastAsia="黑体"/>
          <w:b/>
          <w:bCs/>
        </w:rPr>
      </w:pPr>
      <w:bookmarkStart w:id="14" w:name="_Toc15377197"/>
      <w:bookmarkStart w:id="15" w:name="_Toc15396600"/>
      <w:r>
        <w:rPr>
          <w:rFonts w:hint="eastAsia" w:ascii="黑体" w:hAnsi="黑体" w:eastAsia="黑体"/>
          <w:b/>
          <w:bCs/>
          <w:color w:val="000000"/>
          <w:sz w:val="32"/>
          <w:szCs w:val="32"/>
        </w:rPr>
        <w:t>一、职能简介</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四川文化产业职业学院是经教育部备案、四川省人民政府批准、中共四川省委宣传部主管的公办全日制普通高等专科学校，全国第一所独立设置的培养高端技能型专门人才的文化产业普通高校，是四川省省级示范高等职业院校、四川省优质高校培育院校、四川省教育信息化试点优秀单位、四川省卓越新闻传播人才教育培养计划高校、四川省文明校园。学校实行四川省干部函授学院、四川文化产业职业学院、四川省宣传文化干部培训中心 “两院一中心” 统一运作的组织管理模式。我校为事业单位，执行政府会计制度。纳入2020年度部门决算汇编范围的独立核算单位共1个，与上年相比无变化。</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学校现有融媒学院、文化旅游学院、文化商学院、非遗与巴蜀文化学院、数字艺术学院、大数据与互联网学院、文博学院、演艺学院、环境艺术学院、思政部、通识教育部11 个教学单位，招生专业 43 个。学校建有特色鲜明的 9 个校内实践教学中心、161 个校外实训基地和 5 间大师工作室及传习所。</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pacing w:val="-6"/>
          <w:sz w:val="32"/>
          <w:szCs w:val="32"/>
        </w:rPr>
      </w:pPr>
      <w:r>
        <w:rPr>
          <w:rFonts w:hint="eastAsia" w:ascii="仿宋" w:hAnsi="仿宋" w:eastAsia="仿宋"/>
          <w:b/>
          <w:bCs/>
          <w:color w:val="000000"/>
          <w:sz w:val="32"/>
          <w:szCs w:val="32"/>
        </w:rPr>
        <w:t>2020年末，我校人员共计233人，其中：在职人员231</w:t>
      </w:r>
      <w:r>
        <w:rPr>
          <w:rFonts w:hint="eastAsia" w:ascii="仿宋" w:hAnsi="仿宋" w:eastAsia="仿宋"/>
          <w:b/>
          <w:bCs/>
          <w:color w:val="000000"/>
          <w:spacing w:val="-6"/>
          <w:sz w:val="32"/>
          <w:szCs w:val="32"/>
        </w:rPr>
        <w:t>人，离休人员2人。人员较上年增加42人，属当年新增人员。</w:t>
      </w:r>
    </w:p>
    <w:bookmarkEnd w:id="14"/>
    <w:bookmarkEnd w:id="15"/>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1"/>
        <w:rPr>
          <w:rStyle w:val="25"/>
          <w:rFonts w:ascii="黑体" w:hAnsi="黑体" w:eastAsia="黑体"/>
          <w:b/>
          <w:bCs/>
        </w:rPr>
      </w:pPr>
      <w:r>
        <w:rPr>
          <w:rFonts w:hint="eastAsia" w:ascii="黑体" w:hAnsi="黑体" w:eastAsia="黑体"/>
          <w:b/>
          <w:bCs/>
          <w:color w:val="000000"/>
          <w:sz w:val="32"/>
          <w:szCs w:val="32"/>
        </w:rPr>
        <w:t>二、2020年重点工作完成情况</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（一）从严治党，弘扬正气，党建工作求真务实</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ascii="仿宋" w:hAnsi="仿宋" w:eastAsia="仿宋"/>
          <w:b/>
          <w:bCs/>
          <w:color w:val="000000"/>
          <w:sz w:val="32"/>
          <w:szCs w:val="32"/>
        </w:rPr>
        <w:t>20</w:t>
      </w:r>
      <w:r>
        <w:rPr>
          <w:rFonts w:hint="eastAsia" w:ascii="仿宋" w:hAnsi="仿宋" w:eastAsia="仿宋"/>
          <w:b/>
          <w:bCs/>
          <w:color w:val="000000"/>
          <w:sz w:val="32"/>
          <w:szCs w:val="32"/>
        </w:rPr>
        <w:t>20年一般公共预算财政拨款支出</w:t>
      </w:r>
      <w:r>
        <w:rPr>
          <w:rFonts w:ascii="仿宋" w:hAnsi="仿宋" w:eastAsia="仿宋"/>
          <w:b/>
          <w:bCs/>
          <w:sz w:val="32"/>
          <w:szCs w:val="32"/>
        </w:rPr>
        <w:t>12343.24</w:t>
      </w:r>
      <w:r>
        <w:rPr>
          <w:rFonts w:hint="eastAsia" w:ascii="仿宋" w:hAnsi="仿宋" w:eastAsia="仿宋"/>
          <w:b/>
          <w:bCs/>
          <w:color w:val="000000"/>
          <w:sz w:val="32"/>
          <w:szCs w:val="32"/>
        </w:rPr>
        <w:t>万元，占</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w:t>
      </w:r>
      <w:r>
        <w:rPr>
          <w:rFonts w:hint="eastAsia" w:ascii="仿宋" w:hAnsi="仿宋" w:eastAsia="仿宋"/>
          <w:b/>
          <w:bCs/>
          <w:color w:val="000000"/>
          <w:sz w:val="32"/>
          <w:szCs w:val="32"/>
        </w:rPr>
        <w:t>全面落实党委领导下的校长负责制。以《大学章程》的制定实施为契机全面推动“依法治校”，建立健全涉及党委会和院长办公会议事规则、“三重一大”、党风廉政、联系群众、机构设置、干部人事、基建工程、招标投标、项目管理、合同管理等方面的核心制度与基本制度。全年共召开党委会22次，院长办公会9次，研究决定、监督执行学校重大事项90余项，我校第一届党员代表大会计划于2020年12月下旬在学校召开，明确“十四五”及今后一个时期学校工作总体思路和发展目标。</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二是扎实推进理论学习制度化、常态化。围绕习近平总书记系列讲话</w:t>
      </w:r>
      <w:r>
        <w:rPr>
          <w:rFonts w:hint="eastAsia" w:ascii="仿宋" w:hAnsi="仿宋" w:eastAsia="仿宋"/>
          <w:b/>
          <w:bCs/>
          <w:color w:val="000000"/>
          <w:spacing w:val="-6"/>
          <w:sz w:val="32"/>
          <w:szCs w:val="32"/>
        </w:rPr>
        <w:t>精神、全国两会精神、十九届五中全会精神等主题举办中心组学习6场。邀</w:t>
      </w:r>
      <w:r>
        <w:rPr>
          <w:rFonts w:hint="eastAsia" w:ascii="仿宋" w:hAnsi="仿宋" w:eastAsia="仿宋"/>
          <w:b/>
          <w:bCs/>
          <w:color w:val="000000"/>
          <w:sz w:val="32"/>
          <w:szCs w:val="32"/>
        </w:rPr>
        <w:t>请省教育厅党组书记、厅长李江莅临我校宣讲党的十九届五中全会精神。学校理论学习及活动开展专题报道被四川机关党建网采用30篇，人民日报数字网采用31篇。</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pacing w:val="-6"/>
          <w:sz w:val="32"/>
          <w:szCs w:val="32"/>
        </w:rPr>
      </w:pPr>
      <w:r>
        <w:rPr>
          <w:rFonts w:hint="eastAsia" w:ascii="仿宋" w:hAnsi="仿宋" w:eastAsia="仿宋"/>
          <w:b/>
          <w:bCs/>
          <w:color w:val="000000"/>
          <w:sz w:val="32"/>
          <w:szCs w:val="32"/>
        </w:rPr>
        <w:t>三是更加明晰意识形态工作责任制。严格按照我校意识形态工作责任制实施细则，加强对全校的各类论坛、讲座阵地管理，做好全校新媒体登记备案工作。全年党建信息被上级网站采</w:t>
      </w:r>
      <w:r>
        <w:rPr>
          <w:rFonts w:hint="eastAsia" w:ascii="仿宋" w:hAnsi="仿宋" w:eastAsia="仿宋"/>
          <w:b/>
          <w:bCs/>
          <w:color w:val="000000"/>
          <w:spacing w:val="-6"/>
          <w:sz w:val="32"/>
          <w:szCs w:val="32"/>
        </w:rPr>
        <w:t>用60余篇次；其他新闻被人民日报数字网等官方媒体报道80余篇次，被省直机关工委评为“全省机关宣传信息工作先进单位”。</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四是不断巩固学校基层党组织建设。全面实施教师党支部书记“双带头人”培育工程，推行党员积分制管理。深化“五好党支部”创建活动。优化调整学校基层党组织，学校党委设立11个党总支，41个党支部。本年度新发展师生党员91名，9名预备党员按期转为中共正式党员。我校苏谦同志获省直机关工委“优秀共产党员”表彰。</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五是深入强化党风廉政建设。切实履行全面从严治党监督责任，促进党风廉政建设和反腐败工作各项任务落地。组织召开2020年警示教育大会，组织全体中层干部签订《党风廉政建设承诺书》。督促中层以上干部认真学习《忏悔实录Ⅷ》，形成学习成果61篇。进一步完善和规范管理中层干部廉政档案，压紧压实“两个责任”，守住底线，不越红线，锻造一支忠诚干净担当的教师队伍。</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六是坚决扛起政治责任，扎实抓好防控工作。新冠肺炎疫情发生后，学校按照省委省政府安排部署，在省委宣传部领导下第一时间封闭校园、加强人员管控、实行24小时值班，严防疫情向校园蔓延。共召开17次疫情防控领导小组会，研究审议20余项重大事项，制定“七案七制三流程”等各项制度、方案、流程40余份。开设线上教学课程469门、教学班612个，322名教师参与授课、6729名学生参加线上学习。接受双流区定期评估验收，对全校600余名教职员工开展多轮全覆盖核酸检测。</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themeColor="text1"/>
          <w:sz w:val="32"/>
          <w:szCs w:val="32"/>
          <w14:textFill>
            <w14:solidFill>
              <w14:schemeClr w14:val="tx1"/>
            </w14:solidFill>
          </w14:textFill>
        </w:rPr>
        <w:t>（二）</w:t>
      </w:r>
      <w:r>
        <w:rPr>
          <w:rFonts w:hint="eastAsia" w:ascii="仿宋" w:hAnsi="仿宋" w:eastAsia="仿宋"/>
          <w:b/>
          <w:bCs/>
          <w:color w:val="000000"/>
          <w:sz w:val="32"/>
          <w:szCs w:val="32"/>
        </w:rPr>
        <w:t xml:space="preserve"> 惕厉奋发，捧土培根，教育教学质量显著提升</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一是创新机制，招生就业新发展。2020年我校录取新生3648名,报到率创新高达95.25%。我校四川所有普通文理科计划均一次满投（含教育厅临时增加计划89个），美术类、播音类、表演类、体育类专业的录取分数线均超过四川省的专业本科线。学校累计为2020届毕业生举办各类展选会、网络招聘会、宣讲会、专场招聘会近500场，提供岗位近14000个。2020届毕业生共计3269人，就业率为90%。</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二是精技结合，办学水平新提高。我校省优质高职院校建设项目于11月初通过专家进校验收，跻身省内高职院校第一方阵。校级在线开放课程54门，省级创新创业示范课程2门。我校教师廖芳荣获第二十八届中国金鸡百花电影节新影像手机竞赛最具潜力创作人荣誉。教师获省级奖项23人次，优秀指导教师10人次。学生获全国性各类大赛一、二等奖10项30余人次，省级各类赛事奖项16项50余人次。</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三是以产建群，以群建院新规划。根据专业特色，对接文化产业和事业全链条六大环节，着力建设融合媒体等9大专业群，并以此为基础重构9个二级学院。建立学术委员会、专业建设委员会，充分发挥学术组织在学校现代治理中的学术领导作用。全力推进10大高水平专业建设，建成国家级骨干专业3个，省级1个；国家级生产性实训基地1个，省级1个；国家级教学资源库3个，省级1个；编制国家专业教学标准1套。</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四是尽锐出战，师资队伍新优化。持续推动人才强校战略，围绕专业群建设打造师资队伍，通过人才引进、公开招聘、考核招聘等主渠道引进教师77人，选派7名教师参加国培项目。投入300余万元用于校本培训和教师自选培训，400余人次参加各类培训进修，双师素质比例达到90.69%，进一步加强了师资队伍建设，提升了队伍素质。</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五是创新引领，校园文化建设新风采。我校“第二课堂成绩单”制度富有成效，全年开展的活动8017次，参与学生共计50万余人次。大学生暑期“三下乡”社会实践活动中，我校“听见远山”志愿服务队获评团中央优秀志愿者服务团队，另外2支团队分别获得团中央“镜头中的三下乡”“千校千项”荣誉表彰。</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themeColor="text1"/>
          <w:sz w:val="32"/>
          <w:szCs w:val="32"/>
          <w14:textFill>
            <w14:solidFill>
              <w14:schemeClr w14:val="tx1"/>
            </w14:solidFill>
          </w14:textFill>
        </w:rPr>
        <w:t>（三）</w:t>
      </w:r>
      <w:r>
        <w:rPr>
          <w:rFonts w:hint="eastAsia" w:ascii="仿宋" w:hAnsi="仿宋" w:eastAsia="仿宋"/>
          <w:b/>
          <w:bCs/>
          <w:color w:val="000000"/>
          <w:sz w:val="32"/>
          <w:szCs w:val="32"/>
        </w:rPr>
        <w:t>鼎新革故，科教振兴，社会服务特色鲜明</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一是干部培训成果丰硕。完善培训中心机构设置，健全运行管理十余项制度和流程，围绕宣传思想文化主业主课，打造“1+N”培训模块的培训课程体系，初步形成通识模块5大类19个单元（方向）的课程和新闻宣传、基层文化建设等11个宣传文化领域专业模块203门课程的宣传文化培训课程体系。推进典型案例建设，完成《县级融媒体中心建设案例汇编》。全年共举办培训班23期，参训学员达2400余人。</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二是科研服务能力日益增进。成立学术委员会，制定推荐办法，为学校学术研究的发展提供规范化的保障。我校教师申报各级科研项目共31项，获准立项共8项，科研项目结项15项。举办“媒体融合创新助推四川文化产业高质量发展·高峰论坛暨文化产业发展研究中心2020年学术研讨会”。开展学术讲座和活动3场次。编印文化产业学术研究集刊1辑。制定《四川文化产业普及基地巴蜀优秀传统文化宣传普及体系构建方案》。完成4期学报的出刊工作，全年共刊出文章90余篇。</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三是产教融合校企合作作用显现。按照生产性实训基地要求新改建11个实践教学中心，升级基础建设和硬件条件，完善功能，建成实训、生产和创业一体化的创意区。引进10余家企业30余个项目，引进9名大师共建工作室，实施学徒制培养学生230余人。与属地街道社区合作，达成以学校为中心建设文创街区合作意向，拟整体规划打造剑南大道、锦江路、华剑路临街街道，与学校共建具有影响力的文创中心。</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四是精准扶贫成效突出。2020年是决战决胜脱贫攻坚之年，学校投入各类帮扶资金180余万元，实施帮扶项目29个，其中包括基础建设项目6个，产业扶持项目8个，电商扶持项目1个，文化帮扶项目5个。派出驻村帮扶干部4名。校领导班子成员深入基层一线，开展实地调研指导24次。圆满完成对口帮扶“户脱贫、村退出、县摘帽”的目标任务。与阿坝州理县及南充市营山县签订校地合作框架协议书，构建校地合作长效机制。向贫困村捐赠价值2万余元的防疫物资，全力巩固好脱贫攻坚成果。</w:t>
      </w:r>
    </w:p>
    <w:p>
      <w:pPr>
        <w:pStyle w:val="2"/>
        <w:keepNext w:val="0"/>
        <w:keepLines w:val="0"/>
        <w:pageBreakBefore w:val="0"/>
        <w:widowControl w:val="0"/>
        <w:kinsoku/>
        <w:wordWrap/>
        <w:overflowPunct/>
        <w:topLinePunct w:val="0"/>
        <w:autoSpaceDE/>
        <w:autoSpaceDN/>
        <w:bidi w:val="0"/>
        <w:adjustRightInd w:val="0"/>
        <w:snapToGrid w:val="0"/>
        <w:spacing w:beforeLines="0" w:line="560" w:lineRule="exact"/>
        <w:ind w:firstLine="643" w:firstLineChars="200"/>
        <w:textAlignment w:val="auto"/>
        <w:outlineLvl w:val="2"/>
        <w:rPr>
          <w:rFonts w:ascii="仿宋" w:hAnsi="仿宋" w:eastAsia="仿宋"/>
          <w:b/>
          <w:bCs/>
          <w:color w:val="000000"/>
          <w:sz w:val="32"/>
          <w:szCs w:val="32"/>
        </w:rPr>
      </w:pPr>
      <w:r>
        <w:rPr>
          <w:rFonts w:hint="eastAsia" w:ascii="仿宋" w:hAnsi="仿宋" w:eastAsia="仿宋"/>
          <w:b/>
          <w:bCs/>
          <w:color w:val="000000"/>
          <w:sz w:val="32"/>
          <w:szCs w:val="32"/>
        </w:rPr>
        <w:t>五是国际交流合作空间拓展。举办2020“邛窑杯”一带一路国际创意设计大赛校内赛，征集参赛作品90余件。协办“一带一路”国际文化艺术周。持续推进韩国庆星大学海外专升本项目，为学生升学提供海外途径。争取教师国（境）外培训项目，我校2名老师参加四川省国际教育交流中心与澳大利亚维多利亚州政府合作举办国际技能培训资格证书（IST）培训，通过视频的方式远程完成培训并获得资格证书。</w:t>
      </w:r>
    </w:p>
    <w:p>
      <w:pPr>
        <w:rPr>
          <w:b/>
          <w:bCs/>
        </w:rPr>
      </w:pPr>
    </w:p>
    <w:p>
      <w:pPr>
        <w:pStyle w:val="3"/>
        <w:ind w:right="440"/>
        <w:jc w:val="right"/>
        <w:rPr>
          <w:rStyle w:val="24"/>
          <w:rFonts w:ascii="黑体" w:hAnsi="黑体" w:eastAsia="黑体"/>
          <w:b/>
          <w:bCs/>
        </w:rPr>
      </w:pPr>
      <w:r>
        <w:rPr>
          <w:rFonts w:hint="eastAsia" w:ascii="黑体" w:hAnsi="黑体" w:eastAsia="黑体"/>
          <w:b/>
          <w:bCs/>
          <w:color w:val="000000"/>
        </w:rPr>
        <w:t>第二部分</w:t>
      </w:r>
      <w:r>
        <w:rPr>
          <w:rStyle w:val="24"/>
          <w:rFonts w:hint="eastAsia" w:ascii="黑体" w:hAnsi="黑体" w:eastAsia="黑体"/>
          <w:b/>
          <w:bCs/>
        </w:rPr>
        <w:t>2020年度单位决算情况说明</w:t>
      </w:r>
    </w:p>
    <w:p>
      <w:pPr>
        <w:pStyle w:val="2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Chars="0"/>
        <w:textAlignment w:val="auto"/>
        <w:outlineLvl w:val="1"/>
        <w:rPr>
          <w:rStyle w:val="25"/>
          <w:rFonts w:ascii="黑体" w:hAnsi="黑体" w:eastAsia="黑体"/>
          <w:b/>
          <w:bCs/>
        </w:rPr>
      </w:pPr>
      <w:r>
        <w:rPr>
          <w:rFonts w:hint="eastAsia" w:ascii="黑体" w:hAnsi="黑体" w:eastAsia="黑体"/>
          <w:b/>
          <w:bCs/>
          <w:color w:val="000000"/>
          <w:sz w:val="32"/>
          <w:szCs w:val="32"/>
        </w:rPr>
        <w:t>收</w:t>
      </w:r>
      <w:r>
        <w:rPr>
          <w:rStyle w:val="25"/>
          <w:rFonts w:hint="eastAsia" w:ascii="黑体" w:hAnsi="黑体" w:eastAsia="黑体"/>
          <w:b/>
          <w:bCs/>
        </w:rPr>
        <w:t>入支出决算总体情况说明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2020年度收、支总计</w:t>
      </w:r>
      <w:r>
        <w:rPr>
          <w:rFonts w:ascii="仿宋" w:hAnsi="仿宋" w:eastAsia="仿宋"/>
          <w:b/>
          <w:bCs/>
          <w:color w:val="000000" w:themeColor="text1"/>
          <w:sz w:val="32"/>
          <w:szCs w:val="32"/>
          <w14:textFill>
            <w14:solidFill>
              <w14:schemeClr w14:val="tx1"/>
            </w14:solidFill>
          </w14:textFill>
        </w:rPr>
        <w:t>15691.87</w:t>
      </w:r>
      <w:r>
        <w:rPr>
          <w:rFonts w:hint="eastAsia" w:ascii="仿宋" w:hAnsi="仿宋" w:eastAsia="仿宋"/>
          <w:b/>
          <w:bCs/>
          <w:color w:val="000000" w:themeColor="text1"/>
          <w:sz w:val="32"/>
          <w:szCs w:val="32"/>
          <w14:textFill>
            <w14:solidFill>
              <w14:schemeClr w14:val="tx1"/>
            </w14:solidFill>
          </w14:textFill>
        </w:rPr>
        <w:t>万元。与2019年相比，收、支总计各增加</w:t>
      </w:r>
      <w:r>
        <w:rPr>
          <w:rFonts w:ascii="仿宋" w:hAnsi="仿宋" w:eastAsia="仿宋"/>
          <w:b/>
          <w:bCs/>
          <w:color w:val="000000" w:themeColor="text1"/>
          <w:sz w:val="32"/>
          <w:szCs w:val="32"/>
          <w14:textFill>
            <w14:solidFill>
              <w14:schemeClr w14:val="tx1"/>
            </w14:solidFill>
          </w14:textFill>
        </w:rPr>
        <w:t>855.54</w:t>
      </w:r>
      <w:r>
        <w:rPr>
          <w:rFonts w:hint="eastAsia" w:ascii="仿宋" w:hAnsi="仿宋" w:eastAsia="仿宋"/>
          <w:b/>
          <w:bCs/>
          <w:color w:val="000000" w:themeColor="text1"/>
          <w:sz w:val="32"/>
          <w:szCs w:val="32"/>
          <w14:textFill>
            <w14:solidFill>
              <w14:schemeClr w14:val="tx1"/>
            </w14:solidFill>
          </w14:textFill>
        </w:rPr>
        <w:t>万元，增长5.77%。主要变动原因是2</w:t>
      </w:r>
      <w:r>
        <w:rPr>
          <w:rFonts w:ascii="仿宋" w:hAnsi="仿宋" w:eastAsia="仿宋"/>
          <w:b/>
          <w:bCs/>
          <w:color w:val="000000" w:themeColor="text1"/>
          <w:sz w:val="32"/>
          <w:szCs w:val="32"/>
          <w14:textFill>
            <w14:solidFill>
              <w14:schemeClr w14:val="tx1"/>
            </w14:solidFill>
          </w14:textFill>
        </w:rPr>
        <w:t>020</w:t>
      </w:r>
      <w:r>
        <w:rPr>
          <w:rFonts w:hint="eastAsia" w:ascii="仿宋" w:hAnsi="仿宋" w:eastAsia="仿宋"/>
          <w:b/>
          <w:bCs/>
          <w:color w:val="000000" w:themeColor="text1"/>
          <w:sz w:val="32"/>
          <w:szCs w:val="32"/>
          <w14:textFill>
            <w14:solidFill>
              <w14:schemeClr w14:val="tx1"/>
            </w14:solidFill>
          </w14:textFill>
        </w:rPr>
        <w:t>年事业收入和支出有所增加。</w:t>
      </w:r>
    </w:p>
    <w:p>
      <w:pPr>
        <w:pStyle w:val="3"/>
        <w:ind w:right="1300"/>
        <w:jc w:val="center"/>
      </w:pPr>
      <w:r>
        <w:drawing>
          <wp:inline distT="0" distB="0" distL="0" distR="0">
            <wp:extent cx="5531485" cy="3235960"/>
            <wp:effectExtent l="5080" t="4445" r="6985" b="1714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3"/>
        <w:numPr>
          <w:ilvl w:val="0"/>
          <w:numId w:val="1"/>
        </w:numPr>
        <w:spacing w:line="600" w:lineRule="exact"/>
        <w:ind w:firstLineChars="0"/>
        <w:outlineLvl w:val="1"/>
        <w:rPr>
          <w:rStyle w:val="25"/>
          <w:rFonts w:ascii="黑体" w:hAnsi="黑体" w:eastAsia="黑体"/>
          <w:b/>
          <w:bCs/>
        </w:rPr>
      </w:pPr>
      <w:bookmarkStart w:id="16" w:name="_Toc15377206"/>
      <w:bookmarkStart w:id="17" w:name="_Toc15396604"/>
      <w:r>
        <w:rPr>
          <w:rFonts w:hint="eastAsia" w:ascii="黑体" w:hAnsi="黑体" w:eastAsia="黑体"/>
          <w:b/>
          <w:bCs/>
          <w:color w:val="000000"/>
          <w:sz w:val="32"/>
          <w:szCs w:val="32"/>
        </w:rPr>
        <w:t>收</w:t>
      </w:r>
      <w:r>
        <w:rPr>
          <w:rStyle w:val="25"/>
          <w:rFonts w:hint="eastAsia" w:ascii="黑体" w:hAnsi="黑体" w:eastAsia="黑体"/>
          <w:b/>
          <w:bCs/>
        </w:rPr>
        <w:t>入决算情况说明</w:t>
      </w:r>
      <w:bookmarkEnd w:id="16"/>
      <w:bookmarkEnd w:id="17"/>
    </w:p>
    <w:p>
      <w:pPr>
        <w:spacing w:line="600" w:lineRule="exact"/>
        <w:ind w:firstLine="643" w:firstLineChars="200"/>
        <w:outlineLvl w:val="1"/>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20</w:t>
      </w:r>
      <w:r>
        <w:rPr>
          <w:rFonts w:hint="eastAsia" w:ascii="仿宋" w:hAnsi="仿宋" w:eastAsia="仿宋"/>
          <w:b/>
          <w:bCs/>
          <w:color w:val="000000" w:themeColor="text1"/>
          <w:sz w:val="32"/>
          <w:szCs w:val="32"/>
          <w14:textFill>
            <w14:solidFill>
              <w14:schemeClr w14:val="tx1"/>
            </w14:solidFill>
          </w14:textFill>
        </w:rPr>
        <w:t>20年本年收入合计</w:t>
      </w:r>
      <w:bookmarkStart w:id="18" w:name="_Hlk79413685"/>
      <w:r>
        <w:rPr>
          <w:rFonts w:ascii="仿宋" w:hAnsi="仿宋" w:eastAsia="仿宋"/>
          <w:b/>
          <w:bCs/>
          <w:color w:val="000000" w:themeColor="text1"/>
          <w:sz w:val="32"/>
          <w:szCs w:val="32"/>
          <w14:textFill>
            <w14:solidFill>
              <w14:schemeClr w14:val="tx1"/>
            </w14:solidFill>
          </w14:textFill>
        </w:rPr>
        <w:t>15691.87</w:t>
      </w:r>
      <w:bookmarkEnd w:id="18"/>
      <w:r>
        <w:rPr>
          <w:rFonts w:hint="eastAsia" w:ascii="仿宋" w:hAnsi="仿宋" w:eastAsia="仿宋"/>
          <w:b/>
          <w:bCs/>
          <w:color w:val="000000" w:themeColor="text1"/>
          <w:sz w:val="32"/>
          <w:szCs w:val="32"/>
          <w14:textFill>
            <w14:solidFill>
              <w14:schemeClr w14:val="tx1"/>
            </w14:solidFill>
          </w14:textFill>
        </w:rPr>
        <w:t>万元，其中：一般公共预算财政拨款收入</w:t>
      </w:r>
      <w:r>
        <w:rPr>
          <w:rFonts w:ascii="仿宋" w:hAnsi="仿宋" w:eastAsia="仿宋"/>
          <w:b/>
          <w:bCs/>
          <w:color w:val="000000" w:themeColor="text1"/>
          <w:sz w:val="32"/>
          <w:szCs w:val="32"/>
          <w14:textFill>
            <w14:solidFill>
              <w14:schemeClr w14:val="tx1"/>
            </w14:solidFill>
          </w14:textFill>
        </w:rPr>
        <w:t>12343.2</w:t>
      </w:r>
      <w:r>
        <w:rPr>
          <w:rFonts w:hint="eastAsia" w:ascii="仿宋" w:hAnsi="仿宋" w:eastAsia="仿宋"/>
          <w:b/>
          <w:bCs/>
          <w:color w:val="000000" w:themeColor="text1"/>
          <w:sz w:val="32"/>
          <w:szCs w:val="32"/>
          <w14:textFill>
            <w14:solidFill>
              <w14:schemeClr w14:val="tx1"/>
            </w14:solidFill>
          </w14:textFill>
        </w:rPr>
        <w:t>4万元，占</w:t>
      </w:r>
      <w:bookmarkStart w:id="19" w:name="_Hlk79429504"/>
      <w:r>
        <w:rPr>
          <w:rFonts w:ascii="仿宋" w:hAnsi="仿宋" w:eastAsia="仿宋"/>
          <w:b/>
          <w:bCs/>
          <w:color w:val="000000" w:themeColor="text1"/>
          <w:sz w:val="32"/>
          <w:szCs w:val="32"/>
          <w14:textFill>
            <w14:solidFill>
              <w14:schemeClr w14:val="tx1"/>
            </w14:solidFill>
          </w14:textFill>
        </w:rPr>
        <w:t>78.66%</w:t>
      </w:r>
      <w:bookmarkEnd w:id="19"/>
      <w:r>
        <w:rPr>
          <w:rFonts w:hint="eastAsia" w:ascii="仿宋" w:hAnsi="仿宋" w:eastAsia="仿宋"/>
          <w:b/>
          <w:bCs/>
          <w:color w:val="000000" w:themeColor="text1"/>
          <w:sz w:val="32"/>
          <w:szCs w:val="32"/>
          <w14:textFill>
            <w14:solidFill>
              <w14:schemeClr w14:val="tx1"/>
            </w14:solidFill>
          </w14:textFill>
        </w:rPr>
        <w:t>；事业收入</w:t>
      </w:r>
      <w:r>
        <w:rPr>
          <w:rFonts w:ascii="仿宋" w:hAnsi="仿宋" w:eastAsia="仿宋"/>
          <w:b/>
          <w:bCs/>
          <w:color w:val="000000" w:themeColor="text1"/>
          <w:sz w:val="32"/>
          <w:szCs w:val="32"/>
          <w14:textFill>
            <w14:solidFill>
              <w14:schemeClr w14:val="tx1"/>
            </w14:solidFill>
          </w14:textFill>
        </w:rPr>
        <w:t>3348.6</w:t>
      </w:r>
      <w:r>
        <w:rPr>
          <w:rFonts w:hint="eastAsia" w:ascii="仿宋" w:hAnsi="仿宋" w:eastAsia="仿宋"/>
          <w:b/>
          <w:bCs/>
          <w:color w:val="000000" w:themeColor="text1"/>
          <w:sz w:val="32"/>
          <w:szCs w:val="32"/>
          <w14:textFill>
            <w14:solidFill>
              <w14:schemeClr w14:val="tx1"/>
            </w14:solidFill>
          </w14:textFill>
        </w:rPr>
        <w:t>3万元，占</w:t>
      </w:r>
      <w:r>
        <w:rPr>
          <w:rFonts w:ascii="仿宋" w:hAnsi="仿宋" w:eastAsia="仿宋"/>
          <w:b/>
          <w:bCs/>
          <w:color w:val="000000" w:themeColor="text1"/>
          <w:sz w:val="32"/>
          <w:szCs w:val="32"/>
          <w14:textFill>
            <w14:solidFill>
              <w14:schemeClr w14:val="tx1"/>
            </w14:solidFill>
          </w14:textFill>
        </w:rPr>
        <w:t>21.34%</w:t>
      </w:r>
      <w:r>
        <w:rPr>
          <w:rFonts w:hint="eastAsia" w:ascii="仿宋" w:hAnsi="仿宋" w:eastAsia="仿宋"/>
          <w:b/>
          <w:bCs/>
          <w:color w:val="000000" w:themeColor="text1"/>
          <w:sz w:val="32"/>
          <w:szCs w:val="32"/>
          <w14:textFill>
            <w14:solidFill>
              <w14:schemeClr w14:val="tx1"/>
            </w14:solidFill>
          </w14:textFill>
        </w:rPr>
        <w:t>。</w:t>
      </w:r>
    </w:p>
    <w:p>
      <w:pPr>
        <w:pStyle w:val="2"/>
        <w:spacing w:before="93"/>
      </w:pPr>
      <w:r>
        <w:rPr>
          <w:rFonts w:hint="eastAsia"/>
          <w:lang w:val="en-US" w:eastAsia="zh-CN"/>
        </w:rPr>
        <w:t xml:space="preserve">       </w:t>
      </w:r>
      <w:r>
        <w:drawing>
          <wp:inline distT="0" distB="0" distL="0" distR="0">
            <wp:extent cx="4572000" cy="3124200"/>
            <wp:effectExtent l="4445" t="4445" r="1460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spacing w:before="93"/>
      </w:pPr>
    </w:p>
    <w:p>
      <w:pPr>
        <w:pStyle w:val="23"/>
        <w:numPr>
          <w:ilvl w:val="0"/>
          <w:numId w:val="1"/>
        </w:numPr>
        <w:spacing w:line="600" w:lineRule="exact"/>
        <w:ind w:firstLineChars="0"/>
        <w:outlineLvl w:val="1"/>
        <w:rPr>
          <w:rStyle w:val="25"/>
          <w:rFonts w:ascii="黑体" w:hAnsi="黑体" w:eastAsia="黑体"/>
          <w:b/>
          <w:bCs/>
        </w:rPr>
      </w:pPr>
      <w:bookmarkStart w:id="20" w:name="_Toc15396605"/>
      <w:bookmarkStart w:id="21" w:name="_Toc15377207"/>
      <w:r>
        <w:rPr>
          <w:rFonts w:hint="eastAsia" w:ascii="黑体" w:hAnsi="黑体" w:eastAsia="黑体"/>
          <w:b/>
          <w:bCs/>
          <w:color w:val="000000"/>
          <w:sz w:val="32"/>
          <w:szCs w:val="32"/>
        </w:rPr>
        <w:t>支</w:t>
      </w:r>
      <w:r>
        <w:rPr>
          <w:rStyle w:val="25"/>
          <w:rFonts w:hint="eastAsia" w:ascii="黑体" w:hAnsi="黑体" w:eastAsia="黑体"/>
          <w:b/>
          <w:bCs/>
        </w:rPr>
        <w:t>出决算情况说明</w:t>
      </w:r>
      <w:bookmarkEnd w:id="20"/>
      <w:bookmarkEnd w:id="21"/>
    </w:p>
    <w:p>
      <w:pPr>
        <w:spacing w:line="600" w:lineRule="exact"/>
        <w:ind w:firstLine="643" w:firstLineChars="200"/>
        <w:outlineLvl w:val="1"/>
        <w:rPr>
          <w:rFonts w:ascii="仿宋" w:hAnsi="仿宋" w:eastAsia="仿宋"/>
          <w:b/>
          <w:bCs/>
          <w:color w:val="000000"/>
          <w:sz w:val="32"/>
          <w:szCs w:val="32"/>
        </w:rPr>
      </w:pPr>
      <w:r>
        <w:rPr>
          <w:rFonts w:ascii="仿宋" w:hAnsi="仿宋" w:eastAsia="仿宋"/>
          <w:b/>
          <w:bCs/>
          <w:color w:val="000000"/>
          <w:sz w:val="32"/>
          <w:szCs w:val="32"/>
        </w:rPr>
        <w:t>20</w:t>
      </w:r>
      <w:r>
        <w:rPr>
          <w:rFonts w:hint="eastAsia" w:ascii="仿宋" w:hAnsi="仿宋" w:eastAsia="仿宋"/>
          <w:b/>
          <w:bCs/>
          <w:color w:val="000000"/>
          <w:sz w:val="32"/>
          <w:szCs w:val="32"/>
        </w:rPr>
        <w:t>20年本年支出合计</w:t>
      </w:r>
      <w:r>
        <w:rPr>
          <w:rFonts w:ascii="仿宋" w:hAnsi="仿宋" w:eastAsia="仿宋"/>
          <w:b/>
          <w:bCs/>
          <w:color w:val="000000"/>
          <w:sz w:val="32"/>
          <w:szCs w:val="32"/>
        </w:rPr>
        <w:t>15691.87</w:t>
      </w:r>
      <w:r>
        <w:rPr>
          <w:rFonts w:hint="eastAsia" w:ascii="仿宋" w:hAnsi="仿宋" w:eastAsia="仿宋"/>
          <w:b/>
          <w:bCs/>
          <w:color w:val="000000"/>
          <w:sz w:val="32"/>
          <w:szCs w:val="32"/>
        </w:rPr>
        <w:t>万元，其中：基本支出</w:t>
      </w:r>
      <w:r>
        <w:rPr>
          <w:rFonts w:ascii="仿宋" w:hAnsi="仿宋" w:eastAsia="仿宋"/>
          <w:b/>
          <w:bCs/>
          <w:color w:val="000000"/>
          <w:sz w:val="32"/>
          <w:szCs w:val="32"/>
        </w:rPr>
        <w:t>9531.38</w:t>
      </w:r>
      <w:r>
        <w:rPr>
          <w:rFonts w:hint="eastAsia" w:ascii="仿宋" w:hAnsi="仿宋" w:eastAsia="仿宋"/>
          <w:b/>
          <w:bCs/>
          <w:color w:val="000000"/>
          <w:sz w:val="32"/>
          <w:szCs w:val="32"/>
        </w:rPr>
        <w:t>万元，占</w:t>
      </w:r>
      <w:r>
        <w:rPr>
          <w:rFonts w:ascii="仿宋" w:hAnsi="仿宋" w:eastAsia="仿宋"/>
          <w:b/>
          <w:bCs/>
          <w:color w:val="000000"/>
          <w:sz w:val="32"/>
          <w:szCs w:val="32"/>
        </w:rPr>
        <w:t>60.74%</w:t>
      </w:r>
      <w:r>
        <w:rPr>
          <w:rFonts w:hint="eastAsia" w:ascii="仿宋" w:hAnsi="仿宋" w:eastAsia="仿宋"/>
          <w:b/>
          <w:bCs/>
          <w:color w:val="000000"/>
          <w:sz w:val="32"/>
          <w:szCs w:val="32"/>
        </w:rPr>
        <w:t>；项目支出</w:t>
      </w:r>
      <w:r>
        <w:rPr>
          <w:rFonts w:ascii="仿宋" w:hAnsi="仿宋" w:eastAsia="仿宋"/>
          <w:b/>
          <w:bCs/>
          <w:color w:val="000000"/>
          <w:sz w:val="32"/>
          <w:szCs w:val="32"/>
        </w:rPr>
        <w:t>6160.48</w:t>
      </w:r>
      <w:r>
        <w:rPr>
          <w:rFonts w:hint="eastAsia" w:ascii="仿宋" w:hAnsi="仿宋" w:eastAsia="仿宋"/>
          <w:b/>
          <w:bCs/>
          <w:color w:val="000000"/>
          <w:sz w:val="32"/>
          <w:szCs w:val="32"/>
        </w:rPr>
        <w:t>万元，占</w:t>
      </w:r>
      <w:r>
        <w:rPr>
          <w:rFonts w:ascii="仿宋" w:hAnsi="仿宋" w:eastAsia="仿宋"/>
          <w:b/>
          <w:bCs/>
          <w:color w:val="000000"/>
          <w:sz w:val="32"/>
          <w:szCs w:val="32"/>
        </w:rPr>
        <w:t>39.26%</w:t>
      </w:r>
      <w:r>
        <w:rPr>
          <w:rFonts w:hint="eastAsia" w:ascii="仿宋" w:hAnsi="仿宋" w:eastAsia="仿宋"/>
          <w:b/>
          <w:bCs/>
          <w:color w:val="000000"/>
          <w:sz w:val="32"/>
          <w:szCs w:val="32"/>
        </w:rPr>
        <w:t>。</w:t>
      </w:r>
    </w:p>
    <w:p>
      <w:pPr>
        <w:pStyle w:val="2"/>
        <w:spacing w:before="93"/>
      </w:pPr>
      <w:r>
        <w:rPr>
          <w:rFonts w:hint="eastAsia"/>
          <w:lang w:val="en-US" w:eastAsia="zh-CN"/>
        </w:rPr>
        <w:t xml:space="preserve">       </w:t>
      </w:r>
      <w:r>
        <w:drawing>
          <wp:inline distT="0" distB="0" distL="0" distR="0">
            <wp:extent cx="4572000" cy="3057525"/>
            <wp:effectExtent l="4445" t="4445" r="14605" b="508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Style w:val="25"/>
          <w:rFonts w:ascii="黑体" w:hAnsi="黑体" w:eastAsia="黑体"/>
          <w:b/>
          <w:bCs/>
        </w:rPr>
      </w:pPr>
      <w:bookmarkStart w:id="22" w:name="_Toc15396606"/>
      <w:bookmarkStart w:id="23" w:name="_Toc15377208"/>
      <w:r>
        <w:rPr>
          <w:rFonts w:hint="eastAsia" w:ascii="黑体" w:hAnsi="黑体" w:eastAsia="黑体"/>
          <w:b/>
          <w:bCs/>
          <w:color w:val="000000"/>
          <w:sz w:val="32"/>
          <w:szCs w:val="32"/>
        </w:rPr>
        <w:t>四、财</w:t>
      </w:r>
      <w:r>
        <w:rPr>
          <w:rStyle w:val="25"/>
          <w:rFonts w:hint="eastAsia" w:ascii="黑体" w:hAnsi="黑体" w:eastAsia="黑体"/>
          <w:b/>
          <w:bCs/>
        </w:rPr>
        <w:t>政拨款收入支出决算总体情况说明</w:t>
      </w:r>
      <w:bookmarkEnd w:id="22"/>
      <w:bookmarkEnd w:id="23"/>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b/>
          <w:bCs/>
          <w:color w:val="000000" w:themeColor="text1"/>
          <w:sz w:val="32"/>
          <w:szCs w:val="32"/>
          <w14:textFill>
            <w14:solidFill>
              <w14:schemeClr w14:val="tx1"/>
            </w14:solidFill>
          </w14:textFill>
        </w:rPr>
      </w:pPr>
      <w:r>
        <w:rPr>
          <w:rFonts w:ascii="仿宋" w:hAnsi="仿宋" w:eastAsia="仿宋"/>
          <w:b/>
          <w:bCs/>
          <w:color w:val="000000" w:themeColor="text1"/>
          <w:sz w:val="32"/>
          <w:szCs w:val="32"/>
          <w14:textFill>
            <w14:solidFill>
              <w14:schemeClr w14:val="tx1"/>
            </w14:solidFill>
          </w14:textFill>
        </w:rPr>
        <w:t>20</w:t>
      </w:r>
      <w:r>
        <w:rPr>
          <w:rFonts w:hint="eastAsia" w:ascii="仿宋" w:hAnsi="仿宋" w:eastAsia="仿宋"/>
          <w:b/>
          <w:bCs/>
          <w:color w:val="000000" w:themeColor="text1"/>
          <w:sz w:val="32"/>
          <w:szCs w:val="32"/>
          <w14:textFill>
            <w14:solidFill>
              <w14:schemeClr w14:val="tx1"/>
            </w14:solidFill>
          </w14:textFill>
        </w:rPr>
        <w:t>20年财政拨款收、支总计</w:t>
      </w:r>
      <w:r>
        <w:rPr>
          <w:rFonts w:ascii="仿宋" w:hAnsi="仿宋" w:eastAsia="仿宋"/>
          <w:b/>
          <w:bCs/>
          <w:color w:val="000000" w:themeColor="text1"/>
          <w:sz w:val="32"/>
          <w:szCs w:val="32"/>
          <w14:textFill>
            <w14:solidFill>
              <w14:schemeClr w14:val="tx1"/>
            </w14:solidFill>
          </w14:textFill>
        </w:rPr>
        <w:t>12343.24</w:t>
      </w:r>
      <w:r>
        <w:rPr>
          <w:rFonts w:hint="eastAsia" w:ascii="仿宋" w:hAnsi="仿宋" w:eastAsia="仿宋"/>
          <w:b/>
          <w:bCs/>
          <w:color w:val="000000" w:themeColor="text1"/>
          <w:sz w:val="32"/>
          <w:szCs w:val="32"/>
          <w14:textFill>
            <w14:solidFill>
              <w14:schemeClr w14:val="tx1"/>
            </w14:solidFill>
          </w14:textFill>
        </w:rPr>
        <w:t>万元。与</w:t>
      </w:r>
      <w:r>
        <w:rPr>
          <w:rFonts w:ascii="仿宋" w:hAnsi="仿宋" w:eastAsia="仿宋"/>
          <w:b/>
          <w:bCs/>
          <w:color w:val="000000" w:themeColor="text1"/>
          <w:sz w:val="32"/>
          <w:szCs w:val="32"/>
          <w14:textFill>
            <w14:solidFill>
              <w14:schemeClr w14:val="tx1"/>
            </w14:solidFill>
          </w14:textFill>
        </w:rPr>
        <w:t>201</w:t>
      </w:r>
      <w:r>
        <w:rPr>
          <w:rFonts w:hint="eastAsia" w:ascii="仿宋" w:hAnsi="仿宋" w:eastAsia="仿宋"/>
          <w:b/>
          <w:bCs/>
          <w:color w:val="000000" w:themeColor="text1"/>
          <w:sz w:val="32"/>
          <w:szCs w:val="32"/>
          <w14:textFill>
            <w14:solidFill>
              <w14:schemeClr w14:val="tx1"/>
            </w14:solidFill>
          </w14:textFill>
        </w:rPr>
        <w:t>9年相比，财政拨款收、支总计各增加</w:t>
      </w:r>
      <w:r>
        <w:rPr>
          <w:rFonts w:ascii="仿宋" w:hAnsi="仿宋" w:eastAsia="仿宋"/>
          <w:b/>
          <w:bCs/>
          <w:color w:val="000000" w:themeColor="text1"/>
          <w:sz w:val="32"/>
          <w:szCs w:val="32"/>
          <w14:textFill>
            <w14:solidFill>
              <w14:schemeClr w14:val="tx1"/>
            </w14:solidFill>
          </w14:textFill>
        </w:rPr>
        <w:t>43.43</w:t>
      </w:r>
      <w:r>
        <w:rPr>
          <w:rFonts w:hint="eastAsia" w:ascii="仿宋" w:hAnsi="仿宋" w:eastAsia="仿宋"/>
          <w:b/>
          <w:bCs/>
          <w:color w:val="000000" w:themeColor="text1"/>
          <w:sz w:val="32"/>
          <w:szCs w:val="32"/>
          <w14:textFill>
            <w14:solidFill>
              <w14:schemeClr w14:val="tx1"/>
            </w14:solidFill>
          </w14:textFill>
        </w:rPr>
        <w:t>万元，增长</w:t>
      </w:r>
      <w:r>
        <w:rPr>
          <w:rFonts w:ascii="仿宋" w:hAnsi="仿宋" w:eastAsia="仿宋"/>
          <w:b/>
          <w:bCs/>
          <w:color w:val="000000" w:themeColor="text1"/>
          <w:sz w:val="32"/>
          <w:szCs w:val="32"/>
          <w14:textFill>
            <w14:solidFill>
              <w14:schemeClr w14:val="tx1"/>
            </w14:solidFill>
          </w14:textFill>
        </w:rPr>
        <w:t>0.35%</w:t>
      </w:r>
      <w:r>
        <w:rPr>
          <w:rFonts w:hint="eastAsia" w:ascii="仿宋" w:hAnsi="仿宋" w:eastAsia="仿宋"/>
          <w:b/>
          <w:bCs/>
          <w:color w:val="000000" w:themeColor="text1"/>
          <w:sz w:val="32"/>
          <w:szCs w:val="32"/>
          <w14:textFill>
            <w14:solidFill>
              <w14:schemeClr w14:val="tx1"/>
            </w14:solidFill>
          </w14:textFill>
        </w:rPr>
        <w:t>。</w:t>
      </w:r>
    </w:p>
    <w:p>
      <w:pPr>
        <w:pStyle w:val="2"/>
        <w:spacing w:before="93"/>
        <w:jc w:val="center"/>
        <w:rPr>
          <w:rFonts w:ascii="仿宋" w:hAnsi="仿宋" w:eastAsia="仿宋"/>
          <w:b/>
          <w:color w:val="00B050"/>
          <w:sz w:val="32"/>
          <w:szCs w:val="32"/>
        </w:rPr>
      </w:pPr>
      <w:r>
        <w:drawing>
          <wp:inline distT="0" distB="0" distL="0" distR="0">
            <wp:extent cx="5652135" cy="2506980"/>
            <wp:effectExtent l="0" t="0" r="5715"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652135" cy="2521903"/>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Style w:val="25"/>
          <w:rFonts w:ascii="黑体" w:hAnsi="黑体" w:eastAsia="黑体"/>
          <w:b/>
          <w:bCs/>
        </w:rPr>
      </w:pPr>
      <w:bookmarkStart w:id="24" w:name="_Toc15377209"/>
      <w:bookmarkStart w:id="25" w:name="_Toc15396607"/>
      <w:r>
        <w:rPr>
          <w:rFonts w:hint="eastAsia" w:ascii="黑体" w:hAnsi="黑体" w:eastAsia="黑体"/>
          <w:b/>
          <w:bCs/>
          <w:color w:val="000000"/>
          <w:sz w:val="32"/>
          <w:szCs w:val="32"/>
        </w:rPr>
        <w:t>五、一</w:t>
      </w:r>
      <w:r>
        <w:rPr>
          <w:rStyle w:val="25"/>
          <w:rFonts w:hint="eastAsia" w:ascii="黑体" w:hAnsi="黑体" w:eastAsia="黑体"/>
          <w:b/>
          <w:bCs/>
        </w:rPr>
        <w:t>般公共预算财政拨款支出决算情况说明</w:t>
      </w:r>
      <w:bookmarkEnd w:id="24"/>
      <w:bookmarkEnd w:id="2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ascii="仿宋" w:hAnsi="仿宋" w:eastAsia="仿宋"/>
          <w:b/>
          <w:bCs/>
          <w:color w:val="000000"/>
          <w:sz w:val="32"/>
          <w:szCs w:val="32"/>
        </w:rPr>
      </w:pPr>
      <w:bookmarkStart w:id="26" w:name="_Toc15377210"/>
      <w:r>
        <w:rPr>
          <w:rFonts w:hint="eastAsia" w:ascii="仿宋" w:hAnsi="仿宋" w:eastAsia="仿宋"/>
          <w:b/>
          <w:bCs/>
          <w:color w:val="000000"/>
          <w:sz w:val="32"/>
          <w:szCs w:val="32"/>
        </w:rPr>
        <w:t>（一）一般公共预算财政拨款支出决算总体情况</w:t>
      </w:r>
      <w:bookmarkEnd w:id="26"/>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b/>
          <w:bCs/>
          <w:color w:val="000000"/>
          <w:sz w:val="32"/>
          <w:szCs w:val="32"/>
        </w:rPr>
      </w:pPr>
      <w:r>
        <w:rPr>
          <w:rFonts w:ascii="仿宋" w:hAnsi="仿宋" w:eastAsia="仿宋"/>
          <w:b/>
          <w:bCs/>
          <w:color w:val="000000"/>
          <w:sz w:val="32"/>
          <w:szCs w:val="32"/>
        </w:rPr>
        <w:t>20</w:t>
      </w:r>
      <w:r>
        <w:rPr>
          <w:rFonts w:hint="eastAsia" w:ascii="仿宋" w:hAnsi="仿宋" w:eastAsia="仿宋"/>
          <w:b/>
          <w:bCs/>
          <w:color w:val="000000"/>
          <w:sz w:val="32"/>
          <w:szCs w:val="32"/>
        </w:rPr>
        <w:t>20年一般公共预算财政拨款支出</w:t>
      </w:r>
      <w:bookmarkStart w:id="27" w:name="_Hlk79429549"/>
      <w:r>
        <w:rPr>
          <w:rFonts w:ascii="仿宋" w:hAnsi="仿宋" w:eastAsia="仿宋"/>
          <w:b/>
          <w:bCs/>
          <w:sz w:val="32"/>
          <w:szCs w:val="32"/>
        </w:rPr>
        <w:t>12343.24</w:t>
      </w:r>
      <w:bookmarkEnd w:id="27"/>
      <w:r>
        <w:rPr>
          <w:rFonts w:hint="eastAsia" w:ascii="仿宋" w:hAnsi="仿宋" w:eastAsia="仿宋"/>
          <w:b/>
          <w:bCs/>
          <w:color w:val="000000"/>
          <w:sz w:val="32"/>
          <w:szCs w:val="32"/>
        </w:rPr>
        <w:t>万元，占本年支出合计的</w:t>
      </w:r>
      <w:r>
        <w:rPr>
          <w:rFonts w:ascii="仿宋" w:hAnsi="仿宋" w:eastAsia="仿宋"/>
          <w:b/>
          <w:bCs/>
          <w:color w:val="000000"/>
          <w:sz w:val="32"/>
          <w:szCs w:val="32"/>
        </w:rPr>
        <w:t>78.66%</w:t>
      </w:r>
      <w:r>
        <w:rPr>
          <w:rFonts w:hint="eastAsia" w:ascii="仿宋" w:hAnsi="仿宋" w:eastAsia="仿宋"/>
          <w:b/>
          <w:bCs/>
          <w:color w:val="000000"/>
          <w:sz w:val="32"/>
          <w:szCs w:val="32"/>
        </w:rPr>
        <w:t>。与</w:t>
      </w:r>
      <w:r>
        <w:rPr>
          <w:rFonts w:ascii="仿宋" w:hAnsi="仿宋" w:eastAsia="仿宋"/>
          <w:b/>
          <w:bCs/>
          <w:color w:val="000000"/>
          <w:sz w:val="32"/>
          <w:szCs w:val="32"/>
        </w:rPr>
        <w:t>201</w:t>
      </w:r>
      <w:r>
        <w:rPr>
          <w:rFonts w:hint="eastAsia" w:ascii="仿宋" w:hAnsi="仿宋" w:eastAsia="仿宋"/>
          <w:b/>
          <w:bCs/>
          <w:color w:val="000000"/>
          <w:sz w:val="32"/>
          <w:szCs w:val="32"/>
        </w:rPr>
        <w:t>9年相比，一般公共预算财政拨款增加43.43万元，增长0.35%。</w:t>
      </w:r>
    </w:p>
    <w:p>
      <w:pPr>
        <w:pStyle w:val="2"/>
        <w:spacing w:before="93"/>
      </w:pPr>
      <w:r>
        <w:drawing>
          <wp:inline distT="0" distB="0" distL="0" distR="0">
            <wp:extent cx="5688965" cy="2572385"/>
            <wp:effectExtent l="0" t="0" r="6985" b="184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88965" cy="2572385"/>
                    </a:xfrm>
                    <a:prstGeom prst="rect">
                      <a:avLst/>
                    </a:prstGeom>
                    <a:noFill/>
                  </pic:spPr>
                </pic:pic>
              </a:graphicData>
            </a:graphic>
          </wp:inline>
        </w:drawing>
      </w:r>
    </w:p>
    <w:p>
      <w:pPr>
        <w:spacing w:line="600" w:lineRule="exact"/>
        <w:ind w:firstLine="643" w:firstLineChars="200"/>
        <w:outlineLvl w:val="2"/>
        <w:rPr>
          <w:rFonts w:ascii="仿宋" w:hAnsi="仿宋" w:eastAsia="仿宋"/>
          <w:b/>
          <w:bCs w:val="0"/>
          <w:color w:val="000000"/>
          <w:sz w:val="32"/>
          <w:szCs w:val="32"/>
        </w:rPr>
      </w:pPr>
      <w:bookmarkStart w:id="28" w:name="_Toc15377211"/>
      <w:r>
        <w:rPr>
          <w:rFonts w:hint="eastAsia" w:ascii="仿宋" w:hAnsi="仿宋" w:eastAsia="仿宋"/>
          <w:b/>
          <w:bCs w:val="0"/>
          <w:color w:val="000000"/>
          <w:sz w:val="32"/>
          <w:szCs w:val="32"/>
        </w:rPr>
        <w:t>（二）一般公共预算财政拨款支出决算结构情况</w:t>
      </w:r>
      <w:bookmarkEnd w:id="28"/>
    </w:p>
    <w:p>
      <w:pPr>
        <w:spacing w:line="600" w:lineRule="exact"/>
        <w:ind w:firstLine="640"/>
        <w:rPr>
          <w:rFonts w:ascii="仿宋" w:hAnsi="仿宋" w:eastAsia="仿宋"/>
          <w:b/>
          <w:bCs w:val="0"/>
          <w:color w:val="FF0000"/>
          <w:sz w:val="32"/>
          <w:szCs w:val="32"/>
        </w:rPr>
      </w:pPr>
      <w:r>
        <w:rPr>
          <w:rFonts w:ascii="仿宋" w:hAnsi="仿宋" w:eastAsia="仿宋"/>
          <w:b/>
          <w:bCs w:val="0"/>
          <w:color w:val="000000"/>
          <w:sz w:val="32"/>
          <w:szCs w:val="32"/>
        </w:rPr>
        <w:t>20</w:t>
      </w:r>
      <w:r>
        <w:rPr>
          <w:rFonts w:hint="eastAsia" w:ascii="仿宋" w:hAnsi="仿宋" w:eastAsia="仿宋"/>
          <w:b/>
          <w:bCs w:val="0"/>
          <w:color w:val="000000"/>
          <w:sz w:val="32"/>
          <w:szCs w:val="32"/>
        </w:rPr>
        <w:t>20年一般公共预算财</w:t>
      </w:r>
      <w:r>
        <w:rPr>
          <w:rFonts w:hint="eastAsia" w:ascii="仿宋" w:hAnsi="仿宋" w:eastAsia="仿宋"/>
          <w:b/>
          <w:bCs w:val="0"/>
          <w:color w:val="000000" w:themeColor="text1"/>
          <w:sz w:val="32"/>
          <w:szCs w:val="32"/>
          <w14:textFill>
            <w14:solidFill>
              <w14:schemeClr w14:val="tx1"/>
            </w14:solidFill>
          </w14:textFill>
        </w:rPr>
        <w:t>政拨款支出</w:t>
      </w:r>
      <w:r>
        <w:rPr>
          <w:rFonts w:ascii="仿宋" w:hAnsi="仿宋" w:eastAsia="仿宋"/>
          <w:b/>
          <w:bCs w:val="0"/>
          <w:color w:val="000000" w:themeColor="text1"/>
          <w:sz w:val="32"/>
          <w:szCs w:val="32"/>
          <w14:textFill>
            <w14:solidFill>
              <w14:schemeClr w14:val="tx1"/>
            </w14:solidFill>
          </w14:textFill>
        </w:rPr>
        <w:t>12343.24</w:t>
      </w:r>
      <w:r>
        <w:rPr>
          <w:rFonts w:hint="eastAsia" w:ascii="仿宋" w:hAnsi="仿宋" w:eastAsia="仿宋"/>
          <w:b/>
          <w:bCs w:val="0"/>
          <w:color w:val="000000" w:themeColor="text1"/>
          <w:sz w:val="32"/>
          <w:szCs w:val="32"/>
          <w14:textFill>
            <w14:solidFill>
              <w14:schemeClr w14:val="tx1"/>
            </w14:solidFill>
          </w14:textFill>
        </w:rPr>
        <w:t>万元，主要用于以下方面</w:t>
      </w:r>
      <w:r>
        <w:rPr>
          <w:rFonts w:ascii="仿宋" w:hAnsi="仿宋" w:eastAsia="仿宋"/>
          <w:b/>
          <w:bCs w:val="0"/>
          <w:color w:val="000000" w:themeColor="text1"/>
          <w:sz w:val="32"/>
          <w:szCs w:val="32"/>
          <w14:textFill>
            <w14:solidFill>
              <w14:schemeClr w14:val="tx1"/>
            </w14:solidFill>
          </w14:textFill>
        </w:rPr>
        <w:t>:</w:t>
      </w:r>
      <w:r>
        <w:rPr>
          <w:rFonts w:hint="eastAsia" w:ascii="仿宋" w:hAnsi="仿宋" w:eastAsia="仿宋"/>
          <w:b/>
          <w:bCs w:val="0"/>
          <w:color w:val="000000" w:themeColor="text1"/>
          <w:sz w:val="32"/>
          <w:szCs w:val="32"/>
          <w14:textFill>
            <w14:solidFill>
              <w14:schemeClr w14:val="tx1"/>
            </w14:solidFill>
          </w14:textFill>
        </w:rPr>
        <w:t>教育支出（类）</w:t>
      </w:r>
      <w:r>
        <w:rPr>
          <w:rFonts w:ascii="仿宋" w:hAnsi="仿宋" w:eastAsia="仿宋"/>
          <w:b/>
          <w:bCs w:val="0"/>
          <w:color w:val="000000" w:themeColor="text1"/>
          <w:sz w:val="32"/>
          <w:szCs w:val="32"/>
          <w14:textFill>
            <w14:solidFill>
              <w14:schemeClr w14:val="tx1"/>
            </w14:solidFill>
          </w14:textFill>
        </w:rPr>
        <w:t>11876.78</w:t>
      </w:r>
      <w:r>
        <w:rPr>
          <w:rFonts w:hint="eastAsia" w:ascii="仿宋" w:hAnsi="仿宋" w:eastAsia="仿宋"/>
          <w:b/>
          <w:bCs w:val="0"/>
          <w:color w:val="000000" w:themeColor="text1"/>
          <w:sz w:val="32"/>
          <w:szCs w:val="32"/>
          <w14:textFill>
            <w14:solidFill>
              <w14:schemeClr w14:val="tx1"/>
            </w14:solidFill>
          </w14:textFill>
        </w:rPr>
        <w:t>万元，占</w:t>
      </w:r>
      <w:r>
        <w:rPr>
          <w:rFonts w:ascii="仿宋" w:hAnsi="仿宋" w:eastAsia="仿宋"/>
          <w:b/>
          <w:bCs w:val="0"/>
          <w:color w:val="000000" w:themeColor="text1"/>
          <w:sz w:val="32"/>
          <w:szCs w:val="32"/>
          <w14:textFill>
            <w14:solidFill>
              <w14:schemeClr w14:val="tx1"/>
            </w14:solidFill>
          </w14:textFill>
        </w:rPr>
        <w:t>96.22%</w:t>
      </w:r>
      <w:r>
        <w:rPr>
          <w:rFonts w:hint="eastAsia" w:ascii="仿宋" w:hAnsi="仿宋" w:eastAsia="仿宋"/>
          <w:b/>
          <w:bCs w:val="0"/>
          <w:color w:val="000000" w:themeColor="text1"/>
          <w:sz w:val="32"/>
          <w:szCs w:val="32"/>
          <w14:textFill>
            <w14:solidFill>
              <w14:schemeClr w14:val="tx1"/>
            </w14:solidFill>
          </w14:textFill>
        </w:rPr>
        <w:t>；文化旅游体育与传媒（类）</w:t>
      </w:r>
      <w:r>
        <w:rPr>
          <w:rFonts w:ascii="仿宋" w:hAnsi="仿宋" w:eastAsia="仿宋"/>
          <w:b/>
          <w:bCs w:val="0"/>
          <w:color w:val="000000" w:themeColor="text1"/>
          <w:sz w:val="32"/>
          <w:szCs w:val="32"/>
          <w14:textFill>
            <w14:solidFill>
              <w14:schemeClr w14:val="tx1"/>
            </w14:solidFill>
          </w14:textFill>
        </w:rPr>
        <w:t>243.12</w:t>
      </w:r>
      <w:r>
        <w:rPr>
          <w:rFonts w:hint="eastAsia" w:ascii="仿宋" w:hAnsi="仿宋" w:eastAsia="仿宋"/>
          <w:b/>
          <w:bCs w:val="0"/>
          <w:color w:val="000000" w:themeColor="text1"/>
          <w:sz w:val="32"/>
          <w:szCs w:val="32"/>
          <w14:textFill>
            <w14:solidFill>
              <w14:schemeClr w14:val="tx1"/>
            </w14:solidFill>
          </w14:textFill>
        </w:rPr>
        <w:t>万元，占</w:t>
      </w:r>
      <w:r>
        <w:rPr>
          <w:rFonts w:ascii="仿宋" w:hAnsi="仿宋" w:eastAsia="仿宋"/>
          <w:b/>
          <w:bCs w:val="0"/>
          <w:color w:val="000000" w:themeColor="text1"/>
          <w:sz w:val="32"/>
          <w:szCs w:val="32"/>
          <w14:textFill>
            <w14:solidFill>
              <w14:schemeClr w14:val="tx1"/>
            </w14:solidFill>
          </w14:textFill>
        </w:rPr>
        <w:t>1.97%</w:t>
      </w:r>
      <w:r>
        <w:rPr>
          <w:rFonts w:hint="eastAsia" w:ascii="仿宋" w:hAnsi="仿宋" w:eastAsia="仿宋"/>
          <w:b/>
          <w:bCs w:val="0"/>
          <w:color w:val="000000" w:themeColor="text1"/>
          <w:sz w:val="32"/>
          <w:szCs w:val="32"/>
          <w14:textFill>
            <w14:solidFill>
              <w14:schemeClr w14:val="tx1"/>
            </w14:solidFill>
          </w14:textFill>
        </w:rPr>
        <w:t>；社会保障和就业（类）支出</w:t>
      </w:r>
      <w:r>
        <w:rPr>
          <w:rFonts w:ascii="仿宋" w:hAnsi="仿宋" w:eastAsia="仿宋"/>
          <w:b/>
          <w:bCs w:val="0"/>
          <w:color w:val="000000" w:themeColor="text1"/>
          <w:sz w:val="32"/>
          <w:szCs w:val="32"/>
          <w14:textFill>
            <w14:solidFill>
              <w14:schemeClr w14:val="tx1"/>
            </w14:solidFill>
          </w14:textFill>
        </w:rPr>
        <w:t>223.34</w:t>
      </w:r>
      <w:r>
        <w:rPr>
          <w:rFonts w:hint="eastAsia" w:ascii="仿宋" w:hAnsi="仿宋" w:eastAsia="仿宋"/>
          <w:b/>
          <w:bCs w:val="0"/>
          <w:color w:val="000000" w:themeColor="text1"/>
          <w:sz w:val="32"/>
          <w:szCs w:val="32"/>
          <w14:textFill>
            <w14:solidFill>
              <w14:schemeClr w14:val="tx1"/>
            </w14:solidFill>
          </w14:textFill>
        </w:rPr>
        <w:t>万元，占</w:t>
      </w:r>
      <w:r>
        <w:rPr>
          <w:rFonts w:ascii="仿宋" w:hAnsi="仿宋" w:eastAsia="仿宋"/>
          <w:b/>
          <w:bCs w:val="0"/>
          <w:color w:val="000000" w:themeColor="text1"/>
          <w:sz w:val="32"/>
          <w:szCs w:val="32"/>
          <w14:textFill>
            <w14:solidFill>
              <w14:schemeClr w14:val="tx1"/>
            </w14:solidFill>
          </w14:textFill>
        </w:rPr>
        <w:t>1.81%</w:t>
      </w:r>
      <w:r>
        <w:rPr>
          <w:rFonts w:hint="eastAsia" w:ascii="仿宋" w:hAnsi="仿宋" w:eastAsia="仿宋"/>
          <w:b/>
          <w:bCs w:val="0"/>
          <w:color w:val="000000" w:themeColor="text1"/>
          <w:sz w:val="32"/>
          <w:szCs w:val="32"/>
          <w14:textFill>
            <w14:solidFill>
              <w14:schemeClr w14:val="tx1"/>
            </w14:solidFill>
          </w14:textFill>
        </w:rPr>
        <w:t>。</w:t>
      </w:r>
    </w:p>
    <w:p>
      <w:pPr>
        <w:pStyle w:val="2"/>
        <w:spacing w:before="93"/>
      </w:pPr>
      <w:r>
        <w:rPr>
          <w:rFonts w:hint="eastAsia"/>
          <w:lang w:val="en-US" w:eastAsia="zh-CN"/>
        </w:rPr>
        <w:t xml:space="preserve"> </w:t>
      </w:r>
      <w:r>
        <w:drawing>
          <wp:inline distT="0" distB="0" distL="0" distR="0">
            <wp:extent cx="5365115" cy="3359150"/>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365115" cy="3359150"/>
                    </a:xfrm>
                    <a:prstGeom prst="rect">
                      <a:avLst/>
                    </a:prstGeom>
                    <a:noFill/>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 w:hAnsi="仿宋" w:eastAsia="仿宋"/>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b/>
          <w:bCs w:val="0"/>
          <w:color w:val="000000"/>
          <w:sz w:val="32"/>
          <w:szCs w:val="32"/>
        </w:rPr>
      </w:pPr>
      <w:r>
        <w:rPr>
          <w:rFonts w:hint="eastAsia" w:ascii="仿宋" w:hAnsi="仿宋" w:eastAsia="仿宋"/>
          <w:b/>
          <w:bCs w:val="0"/>
          <w:color w:val="000000"/>
          <w:sz w:val="32"/>
          <w:szCs w:val="32"/>
        </w:rPr>
        <w:t>（三）一般公共预算财政拨款支出决算具体情况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b/>
          <w:bCs w:val="0"/>
          <w:color w:val="FF0000"/>
          <w:sz w:val="32"/>
          <w:szCs w:val="32"/>
        </w:rPr>
      </w:pPr>
      <w:bookmarkStart w:id="29" w:name="_Toc15377213"/>
      <w:bookmarkStart w:id="30" w:name="_Toc15378460"/>
      <w:bookmarkStart w:id="31" w:name="_Toc15377444"/>
      <w:r>
        <w:rPr>
          <w:rFonts w:hint="eastAsia" w:ascii="仿宋" w:hAnsi="仿宋" w:eastAsia="仿宋"/>
          <w:b/>
          <w:bCs w:val="0"/>
          <w:color w:val="000000" w:themeColor="text1"/>
          <w:sz w:val="32"/>
          <w:szCs w:val="32"/>
          <w14:textFill>
            <w14:solidFill>
              <w14:schemeClr w14:val="tx1"/>
            </w14:solidFill>
          </w14:textFill>
        </w:rPr>
        <w:t>2020年一般公共预算支出决算数为</w:t>
      </w:r>
      <w:r>
        <w:rPr>
          <w:rFonts w:ascii="仿宋" w:hAnsi="仿宋" w:eastAsia="仿宋"/>
          <w:b/>
          <w:bCs w:val="0"/>
          <w:color w:val="000000" w:themeColor="text1"/>
          <w:sz w:val="32"/>
          <w:szCs w:val="32"/>
          <w14:textFill>
            <w14:solidFill>
              <w14:schemeClr w14:val="tx1"/>
            </w14:solidFill>
          </w14:textFill>
        </w:rPr>
        <w:t>12343.24</w:t>
      </w:r>
      <w:r>
        <w:rPr>
          <w:rFonts w:hint="eastAsia" w:ascii="仿宋" w:hAnsi="仿宋" w:eastAsia="仿宋"/>
          <w:b/>
          <w:bCs w:val="0"/>
          <w:color w:val="000000" w:themeColor="text1"/>
          <w:sz w:val="32"/>
          <w:szCs w:val="32"/>
          <w14:textFill>
            <w14:solidFill>
              <w14:schemeClr w14:val="tx1"/>
            </w14:solidFill>
          </w14:textFill>
        </w:rPr>
        <w:t>万元，</w:t>
      </w:r>
      <w:r>
        <w:rPr>
          <w:rStyle w:val="14"/>
          <w:rFonts w:hint="eastAsia" w:ascii="仿宋" w:hAnsi="仿宋" w:eastAsia="仿宋"/>
          <w:b/>
          <w:bCs w:val="0"/>
          <w:color w:val="000000" w:themeColor="text1"/>
          <w:sz w:val="32"/>
          <w:szCs w:val="32"/>
          <w14:textFill>
            <w14:solidFill>
              <w14:schemeClr w14:val="tx1"/>
            </w14:solidFill>
          </w14:textFill>
        </w:rPr>
        <w:t>完成</w:t>
      </w:r>
      <w:r>
        <w:rPr>
          <w:rStyle w:val="14"/>
          <w:rFonts w:hint="eastAsia" w:ascii="仿宋" w:hAnsi="仿宋" w:eastAsia="仿宋"/>
          <w:b/>
          <w:bCs w:val="0"/>
          <w:color w:val="000000"/>
          <w:sz w:val="32"/>
          <w:szCs w:val="32"/>
        </w:rPr>
        <w:t>预算</w:t>
      </w:r>
      <w:r>
        <w:rPr>
          <w:rStyle w:val="14"/>
          <w:rFonts w:ascii="仿宋" w:hAnsi="仿宋" w:eastAsia="仿宋"/>
          <w:b/>
          <w:bCs w:val="0"/>
          <w:color w:val="000000"/>
          <w:sz w:val="32"/>
          <w:szCs w:val="32"/>
        </w:rPr>
        <w:t>87.22%</w:t>
      </w:r>
      <w:r>
        <w:rPr>
          <w:rStyle w:val="14"/>
          <w:rFonts w:hint="eastAsia" w:ascii="仿宋" w:hAnsi="仿宋" w:eastAsia="仿宋"/>
          <w:b/>
          <w:bCs w:val="0"/>
          <w:color w:val="000000"/>
          <w:sz w:val="32"/>
          <w:szCs w:val="32"/>
        </w:rPr>
        <w:t>。其中：</w:t>
      </w:r>
      <w:bookmarkEnd w:id="29"/>
      <w:bookmarkEnd w:id="30"/>
      <w:bookmarkEnd w:id="31"/>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4"/>
          <w:rFonts w:ascii="仿宋" w:hAnsi="仿宋" w:eastAsia="仿宋"/>
          <w:b/>
          <w:bCs w:val="0"/>
          <w:color w:val="000000" w:themeColor="text1"/>
          <w:sz w:val="32"/>
          <w:szCs w:val="32"/>
          <w14:textFill>
            <w14:solidFill>
              <w14:schemeClr w14:val="tx1"/>
            </w14:solidFill>
          </w14:textFill>
        </w:rPr>
      </w:pPr>
      <w:r>
        <w:rPr>
          <w:rStyle w:val="14"/>
          <w:rFonts w:ascii="仿宋" w:hAnsi="仿宋" w:eastAsia="仿宋"/>
          <w:b/>
          <w:bCs w:val="0"/>
          <w:color w:val="000000" w:themeColor="text1"/>
          <w:sz w:val="32"/>
          <w:szCs w:val="32"/>
          <w14:textFill>
            <w14:solidFill>
              <w14:schemeClr w14:val="tx1"/>
            </w14:solidFill>
          </w14:textFill>
        </w:rPr>
        <w:t>1.</w:t>
      </w:r>
      <w:r>
        <w:rPr>
          <w:rStyle w:val="14"/>
          <w:rFonts w:hint="eastAsia" w:ascii="仿宋" w:hAnsi="仿宋" w:eastAsia="仿宋"/>
          <w:b/>
          <w:bCs w:val="0"/>
          <w:color w:val="000000" w:themeColor="text1"/>
          <w:sz w:val="32"/>
          <w:szCs w:val="32"/>
          <w14:textFill>
            <w14:solidFill>
              <w14:schemeClr w14:val="tx1"/>
            </w14:solidFill>
          </w14:textFill>
        </w:rPr>
        <w:t>教育（类）普通教育（款）高等教育（项）</w:t>
      </w:r>
      <w:r>
        <w:rPr>
          <w:rStyle w:val="14"/>
          <w:rFonts w:ascii="仿宋" w:hAnsi="仿宋" w:eastAsia="仿宋"/>
          <w:b/>
          <w:bCs w:val="0"/>
          <w:color w:val="000000" w:themeColor="text1"/>
          <w:sz w:val="32"/>
          <w:szCs w:val="32"/>
          <w14:textFill>
            <w14:solidFill>
              <w14:schemeClr w14:val="tx1"/>
            </w14:solidFill>
          </w14:textFill>
        </w:rPr>
        <w:t>:</w:t>
      </w:r>
      <w:r>
        <w:rPr>
          <w:rStyle w:val="14"/>
          <w:rFonts w:hint="eastAsia" w:ascii="仿宋" w:hAnsi="仿宋" w:eastAsia="仿宋"/>
          <w:b/>
          <w:bCs w:val="0"/>
          <w:color w:val="000000" w:themeColor="text1"/>
          <w:sz w:val="32"/>
          <w:szCs w:val="32"/>
          <w14:textFill>
            <w14:solidFill>
              <w14:schemeClr w14:val="tx1"/>
            </w14:solidFill>
          </w14:textFill>
        </w:rPr>
        <w:t>支出决算为</w:t>
      </w:r>
      <w:r>
        <w:rPr>
          <w:rStyle w:val="14"/>
          <w:rFonts w:ascii="仿宋" w:hAnsi="仿宋" w:eastAsia="仿宋"/>
          <w:b/>
          <w:bCs w:val="0"/>
          <w:color w:val="000000" w:themeColor="text1"/>
          <w:sz w:val="32"/>
          <w:szCs w:val="32"/>
          <w14:textFill>
            <w14:solidFill>
              <w14:schemeClr w14:val="tx1"/>
            </w14:solidFill>
          </w14:textFill>
        </w:rPr>
        <w:t>56.37</w:t>
      </w:r>
      <w:r>
        <w:rPr>
          <w:rStyle w:val="14"/>
          <w:rFonts w:hint="eastAsia" w:ascii="仿宋" w:hAnsi="仿宋" w:eastAsia="仿宋"/>
          <w:b/>
          <w:bCs w:val="0"/>
          <w:color w:val="000000" w:themeColor="text1"/>
          <w:sz w:val="32"/>
          <w:szCs w:val="32"/>
          <w14:textFill>
            <w14:solidFill>
              <w14:schemeClr w14:val="tx1"/>
            </w14:solidFill>
          </w14:textFill>
        </w:rPr>
        <w:t>万元，完成预算</w:t>
      </w:r>
      <w:r>
        <w:rPr>
          <w:rStyle w:val="14"/>
          <w:rFonts w:ascii="仿宋" w:hAnsi="仿宋" w:eastAsia="仿宋"/>
          <w:b/>
          <w:bCs w:val="0"/>
          <w:color w:val="000000" w:themeColor="text1"/>
          <w:sz w:val="32"/>
          <w:szCs w:val="32"/>
          <w14:textFill>
            <w14:solidFill>
              <w14:schemeClr w14:val="tx1"/>
            </w14:solidFill>
          </w14:textFill>
        </w:rPr>
        <w:t>38.63%</w:t>
      </w:r>
      <w:r>
        <w:rPr>
          <w:rStyle w:val="14"/>
          <w:rFonts w:hint="eastAsia" w:ascii="仿宋" w:hAnsi="仿宋" w:eastAsia="仿宋"/>
          <w:b/>
          <w:bCs w:val="0"/>
          <w:color w:val="000000" w:themeColor="text1"/>
          <w:sz w:val="32"/>
          <w:szCs w:val="32"/>
          <w14:textFill>
            <w14:solidFill>
              <w14:schemeClr w14:val="tx1"/>
            </w14:solidFill>
          </w14:textFill>
        </w:rPr>
        <w:t>，决算数小于预算数的主要原因是我校用于深度贫困县人才振兴工程、深度贫困县大学生免费定向培养相关经费，在预算</w:t>
      </w:r>
      <w:r>
        <w:rPr>
          <w:rStyle w:val="14"/>
          <w:rFonts w:ascii="仿宋" w:hAnsi="仿宋" w:eastAsia="仿宋"/>
          <w:b/>
          <w:bCs w:val="0"/>
          <w:color w:val="000000" w:themeColor="text1"/>
          <w:sz w:val="32"/>
          <w:szCs w:val="32"/>
          <w14:textFill>
            <w14:solidFill>
              <w14:schemeClr w14:val="tx1"/>
            </w14:solidFill>
          </w14:textFill>
        </w:rPr>
        <w:t>执行过程中</w:t>
      </w:r>
      <w:r>
        <w:rPr>
          <w:rStyle w:val="14"/>
          <w:rFonts w:hint="eastAsia" w:ascii="仿宋" w:hAnsi="仿宋" w:eastAsia="仿宋"/>
          <w:b/>
          <w:bCs w:val="0"/>
          <w:color w:val="000000" w:themeColor="text1"/>
          <w:sz w:val="32"/>
          <w:szCs w:val="32"/>
          <w14:textFill>
            <w14:solidFill>
              <w14:schemeClr w14:val="tx1"/>
            </w14:solidFill>
          </w14:textFill>
        </w:rPr>
        <w:t>已在相关项目中</w:t>
      </w:r>
      <w:r>
        <w:rPr>
          <w:rStyle w:val="14"/>
          <w:rFonts w:ascii="仿宋" w:hAnsi="仿宋" w:eastAsia="仿宋"/>
          <w:b/>
          <w:bCs w:val="0"/>
          <w:color w:val="000000" w:themeColor="text1"/>
          <w:sz w:val="32"/>
          <w:szCs w:val="32"/>
          <w14:textFill>
            <w14:solidFill>
              <w14:schemeClr w14:val="tx1"/>
            </w14:solidFill>
          </w14:textFill>
        </w:rPr>
        <w:t>列支</w:t>
      </w:r>
      <w:r>
        <w:rPr>
          <w:rStyle w:val="14"/>
          <w:rFonts w:hint="eastAsia" w:ascii="仿宋" w:hAnsi="仿宋" w:eastAsia="仿宋"/>
          <w:b/>
          <w:bCs w:val="0"/>
          <w:color w:val="000000" w:themeColor="text1"/>
          <w:sz w:val="32"/>
          <w:szCs w:val="32"/>
          <w14:textFill>
            <w14:solidFill>
              <w14:schemeClr w14:val="tx1"/>
            </w14:solidFill>
          </w14:textFill>
        </w:rPr>
        <w:t>，部分财政资金系年底追加，故未实现支出。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bCs w:val="0"/>
          <w:color w:val="000000"/>
          <w:sz w:val="32"/>
          <w:szCs w:val="32"/>
        </w:rPr>
      </w:pPr>
      <w:r>
        <w:rPr>
          <w:rStyle w:val="14"/>
          <w:rFonts w:ascii="仿宋" w:hAnsi="仿宋" w:eastAsia="仿宋"/>
          <w:b/>
          <w:bCs w:val="0"/>
          <w:color w:val="000000"/>
          <w:sz w:val="32"/>
          <w:szCs w:val="32"/>
        </w:rPr>
        <w:t>2.</w:t>
      </w:r>
      <w:r>
        <w:rPr>
          <w:rStyle w:val="14"/>
          <w:rFonts w:hint="eastAsia" w:ascii="仿宋" w:hAnsi="仿宋" w:eastAsia="仿宋"/>
          <w:b/>
          <w:bCs w:val="0"/>
          <w:color w:val="000000"/>
          <w:sz w:val="32"/>
          <w:szCs w:val="32"/>
        </w:rPr>
        <w:t>教育（类）</w:t>
      </w:r>
      <w:bookmarkStart w:id="32" w:name="_Hlk79498172"/>
      <w:r>
        <w:rPr>
          <w:rStyle w:val="14"/>
          <w:rFonts w:hint="eastAsia" w:ascii="仿宋" w:hAnsi="仿宋" w:eastAsia="仿宋"/>
          <w:b/>
          <w:bCs w:val="0"/>
          <w:color w:val="000000"/>
          <w:sz w:val="32"/>
          <w:szCs w:val="32"/>
        </w:rPr>
        <w:t>职业教育</w:t>
      </w:r>
      <w:bookmarkEnd w:id="32"/>
      <w:r>
        <w:rPr>
          <w:rStyle w:val="14"/>
          <w:rFonts w:hint="eastAsia" w:ascii="仿宋" w:hAnsi="仿宋" w:eastAsia="仿宋"/>
          <w:b/>
          <w:bCs w:val="0"/>
          <w:color w:val="000000"/>
          <w:sz w:val="32"/>
          <w:szCs w:val="32"/>
        </w:rPr>
        <w:t>（款）中等职业教育（项）</w:t>
      </w:r>
      <w:r>
        <w:rPr>
          <w:rStyle w:val="14"/>
          <w:rFonts w:ascii="仿宋" w:hAnsi="仿宋" w:eastAsia="仿宋"/>
          <w:b/>
          <w:bCs w:val="0"/>
          <w:color w:val="000000"/>
          <w:sz w:val="32"/>
          <w:szCs w:val="32"/>
        </w:rPr>
        <w:t>:</w:t>
      </w:r>
      <w:r>
        <w:rPr>
          <w:rStyle w:val="14"/>
          <w:rFonts w:hint="eastAsia" w:ascii="仿宋" w:hAnsi="仿宋" w:eastAsia="仿宋"/>
          <w:b/>
          <w:bCs w:val="0"/>
          <w:color w:val="000000"/>
          <w:sz w:val="32"/>
          <w:szCs w:val="32"/>
        </w:rPr>
        <w:t>支出决算为</w:t>
      </w:r>
      <w:r>
        <w:rPr>
          <w:rStyle w:val="14"/>
          <w:rFonts w:ascii="仿宋" w:hAnsi="仿宋" w:eastAsia="仿宋"/>
          <w:b/>
          <w:bCs w:val="0"/>
          <w:color w:val="000000"/>
          <w:sz w:val="32"/>
          <w:szCs w:val="32"/>
        </w:rPr>
        <w:t>97.5</w:t>
      </w:r>
      <w:r>
        <w:rPr>
          <w:rStyle w:val="14"/>
          <w:rFonts w:hint="eastAsia" w:ascii="仿宋" w:hAnsi="仿宋" w:eastAsia="仿宋"/>
          <w:b/>
          <w:bCs w:val="0"/>
          <w:color w:val="000000"/>
          <w:sz w:val="32"/>
          <w:szCs w:val="32"/>
        </w:rPr>
        <w:t>万元，完成预算</w:t>
      </w:r>
      <w:r>
        <w:rPr>
          <w:rStyle w:val="14"/>
          <w:rFonts w:ascii="仿宋" w:hAnsi="仿宋" w:eastAsia="仿宋"/>
          <w:b/>
          <w:bCs w:val="0"/>
          <w:color w:val="000000"/>
          <w:sz w:val="32"/>
          <w:szCs w:val="32"/>
        </w:rPr>
        <w:t>98.4</w:t>
      </w:r>
      <w:r>
        <w:rPr>
          <w:rStyle w:val="14"/>
          <w:rFonts w:hint="eastAsia" w:ascii="仿宋" w:hAnsi="仿宋" w:eastAsia="仿宋"/>
          <w:b/>
          <w:bCs w:val="0"/>
          <w:color w:val="000000"/>
          <w:sz w:val="32"/>
          <w:szCs w:val="32"/>
        </w:rPr>
        <w:t>6</w:t>
      </w:r>
      <w:r>
        <w:rPr>
          <w:rStyle w:val="14"/>
          <w:rFonts w:ascii="仿宋" w:hAnsi="仿宋" w:eastAsia="仿宋"/>
          <w:b/>
          <w:bCs w:val="0"/>
          <w:color w:val="000000"/>
          <w:sz w:val="32"/>
          <w:szCs w:val="32"/>
        </w:rPr>
        <w:t>%</w:t>
      </w:r>
      <w:r>
        <w:rPr>
          <w:rStyle w:val="14"/>
          <w:rFonts w:hint="eastAsia" w:ascii="仿宋" w:hAnsi="仿宋" w:eastAsia="仿宋"/>
          <w:b/>
          <w:bCs w:val="0"/>
          <w:color w:val="000000"/>
          <w:sz w:val="32"/>
          <w:szCs w:val="32"/>
        </w:rPr>
        <w:t>，</w:t>
      </w:r>
      <w:bookmarkStart w:id="33" w:name="_Hlk81415956"/>
      <w:r>
        <w:rPr>
          <w:rStyle w:val="14"/>
          <w:rFonts w:hint="eastAsia" w:ascii="仿宋" w:hAnsi="仿宋" w:eastAsia="仿宋"/>
          <w:b/>
          <w:bCs w:val="0"/>
          <w:color w:val="000000"/>
          <w:sz w:val="32"/>
          <w:szCs w:val="32"/>
        </w:rPr>
        <w:t>决算数与预算数基本持平。</w:t>
      </w:r>
      <w:bookmarkEnd w:id="3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4"/>
          <w:rFonts w:ascii="仿宋" w:hAnsi="仿宋" w:eastAsia="仿宋"/>
          <w:b/>
          <w:bCs w:val="0"/>
          <w:color w:val="000000"/>
          <w:sz w:val="32"/>
          <w:szCs w:val="32"/>
        </w:rPr>
      </w:pPr>
      <w:r>
        <w:rPr>
          <w:rStyle w:val="14"/>
          <w:rFonts w:ascii="仿宋" w:hAnsi="仿宋" w:eastAsia="仿宋"/>
          <w:b/>
          <w:bCs w:val="0"/>
          <w:color w:val="000000"/>
          <w:sz w:val="32"/>
          <w:szCs w:val="32"/>
        </w:rPr>
        <w:t>3.</w:t>
      </w:r>
      <w:r>
        <w:rPr>
          <w:rStyle w:val="14"/>
          <w:rFonts w:hint="eastAsia" w:ascii="仿宋" w:hAnsi="仿宋" w:eastAsia="仿宋"/>
          <w:b/>
          <w:bCs w:val="0"/>
          <w:color w:val="000000"/>
          <w:sz w:val="32"/>
          <w:szCs w:val="32"/>
        </w:rPr>
        <w:t>教育（类）职业教育（款）高等职业教育（项）</w:t>
      </w:r>
      <w:r>
        <w:rPr>
          <w:rStyle w:val="14"/>
          <w:rFonts w:ascii="仿宋" w:hAnsi="仿宋" w:eastAsia="仿宋"/>
          <w:b/>
          <w:bCs w:val="0"/>
          <w:color w:val="000000"/>
          <w:sz w:val="32"/>
          <w:szCs w:val="32"/>
        </w:rPr>
        <w:t>:</w:t>
      </w:r>
      <w:r>
        <w:rPr>
          <w:rStyle w:val="14"/>
          <w:rFonts w:hint="eastAsia" w:ascii="仿宋" w:hAnsi="仿宋" w:eastAsia="仿宋"/>
          <w:b/>
          <w:bCs w:val="0"/>
          <w:color w:val="000000"/>
          <w:sz w:val="32"/>
          <w:szCs w:val="32"/>
        </w:rPr>
        <w:t>支出决算为</w:t>
      </w:r>
      <w:r>
        <w:rPr>
          <w:rStyle w:val="14"/>
          <w:rFonts w:ascii="仿宋" w:hAnsi="仿宋" w:eastAsia="仿宋"/>
          <w:b/>
          <w:bCs w:val="0"/>
          <w:color w:val="000000"/>
          <w:sz w:val="32"/>
          <w:szCs w:val="32"/>
        </w:rPr>
        <w:t>11722.91</w:t>
      </w:r>
      <w:r>
        <w:rPr>
          <w:rStyle w:val="14"/>
          <w:rFonts w:hint="eastAsia" w:ascii="仿宋" w:hAnsi="仿宋" w:eastAsia="仿宋"/>
          <w:b/>
          <w:bCs w:val="0"/>
          <w:color w:val="000000"/>
          <w:sz w:val="32"/>
          <w:szCs w:val="32"/>
        </w:rPr>
        <w:t>万元，完成预算</w:t>
      </w:r>
      <w:r>
        <w:rPr>
          <w:rStyle w:val="14"/>
          <w:rFonts w:ascii="仿宋" w:hAnsi="仿宋" w:eastAsia="仿宋"/>
          <w:b/>
          <w:bCs w:val="0"/>
          <w:color w:val="000000"/>
          <w:sz w:val="32"/>
          <w:szCs w:val="32"/>
        </w:rPr>
        <w:t>87.86%</w:t>
      </w:r>
      <w:r>
        <w:rPr>
          <w:rStyle w:val="14"/>
          <w:rFonts w:hint="eastAsia" w:ascii="仿宋" w:hAnsi="仿宋" w:eastAsia="仿宋"/>
          <w:b/>
          <w:bCs w:val="0"/>
          <w:color w:val="000000"/>
          <w:sz w:val="32"/>
          <w:szCs w:val="32"/>
        </w:rPr>
        <w:t>，决算数小于预算数的主要原因是2020年受新冠疫情影响，项目实施进度缓慢，政府采购预算执行率不高。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4"/>
          <w:rFonts w:ascii="仿宋" w:hAnsi="仿宋" w:eastAsia="仿宋"/>
          <w:b/>
          <w:bCs w:val="0"/>
          <w:color w:val="000000" w:themeColor="text1"/>
          <w:sz w:val="32"/>
          <w:szCs w:val="32"/>
          <w14:textFill>
            <w14:solidFill>
              <w14:schemeClr w14:val="tx1"/>
            </w14:solidFill>
          </w14:textFill>
        </w:rPr>
      </w:pPr>
      <w:r>
        <w:rPr>
          <w:rStyle w:val="14"/>
          <w:rFonts w:ascii="仿宋" w:hAnsi="仿宋" w:eastAsia="仿宋"/>
          <w:b/>
          <w:bCs w:val="0"/>
          <w:color w:val="000000"/>
          <w:sz w:val="32"/>
          <w:szCs w:val="32"/>
        </w:rPr>
        <w:t>4.</w:t>
      </w:r>
      <w:r>
        <w:rPr>
          <w:rStyle w:val="14"/>
          <w:rFonts w:hint="eastAsia" w:ascii="仿宋" w:hAnsi="仿宋" w:eastAsia="仿宋"/>
          <w:b/>
          <w:bCs w:val="0"/>
          <w:color w:val="000000"/>
          <w:sz w:val="32"/>
          <w:szCs w:val="32"/>
        </w:rPr>
        <w:t>文化旅游体育与传媒（类）其他文化旅游体育与传媒支出（款）宣传文化发展专项支出（项）</w:t>
      </w:r>
      <w:r>
        <w:rPr>
          <w:rStyle w:val="14"/>
          <w:rFonts w:ascii="仿宋" w:hAnsi="仿宋" w:eastAsia="仿宋"/>
          <w:b/>
          <w:bCs w:val="0"/>
          <w:color w:val="000000"/>
          <w:sz w:val="32"/>
          <w:szCs w:val="32"/>
        </w:rPr>
        <w:t>:</w:t>
      </w:r>
      <w:r>
        <w:rPr>
          <w:rStyle w:val="14"/>
          <w:rFonts w:hint="eastAsia" w:ascii="仿宋" w:hAnsi="仿宋" w:eastAsia="仿宋"/>
          <w:b/>
          <w:bCs w:val="0"/>
          <w:color w:val="000000" w:themeColor="text1"/>
          <w:sz w:val="32"/>
          <w:szCs w:val="32"/>
          <w14:textFill>
            <w14:solidFill>
              <w14:schemeClr w14:val="tx1"/>
            </w14:solidFill>
          </w14:textFill>
        </w:rPr>
        <w:t>支出决算为</w:t>
      </w:r>
      <w:r>
        <w:rPr>
          <w:rStyle w:val="14"/>
          <w:rFonts w:ascii="仿宋" w:hAnsi="仿宋" w:eastAsia="仿宋"/>
          <w:b/>
          <w:bCs w:val="0"/>
          <w:color w:val="000000" w:themeColor="text1"/>
          <w:sz w:val="32"/>
          <w:szCs w:val="32"/>
          <w14:textFill>
            <w14:solidFill>
              <w14:schemeClr w14:val="tx1"/>
            </w14:solidFill>
          </w14:textFill>
        </w:rPr>
        <w:t>214.6</w:t>
      </w:r>
      <w:r>
        <w:rPr>
          <w:rStyle w:val="14"/>
          <w:rFonts w:hint="eastAsia" w:ascii="仿宋" w:hAnsi="仿宋" w:eastAsia="仿宋"/>
          <w:b/>
          <w:bCs w:val="0"/>
          <w:color w:val="000000" w:themeColor="text1"/>
          <w:sz w:val="32"/>
          <w:szCs w:val="32"/>
          <w14:textFill>
            <w14:solidFill>
              <w14:schemeClr w14:val="tx1"/>
            </w14:solidFill>
          </w14:textFill>
        </w:rPr>
        <w:t>万元，完成预算</w:t>
      </w:r>
      <w:r>
        <w:rPr>
          <w:rStyle w:val="14"/>
          <w:rFonts w:ascii="仿宋" w:hAnsi="仿宋" w:eastAsia="仿宋"/>
          <w:b/>
          <w:bCs w:val="0"/>
          <w:color w:val="000000" w:themeColor="text1"/>
          <w:sz w:val="32"/>
          <w:szCs w:val="32"/>
          <w14:textFill>
            <w14:solidFill>
              <w14:schemeClr w14:val="tx1"/>
            </w14:solidFill>
          </w14:textFill>
        </w:rPr>
        <w:t>69.23%</w:t>
      </w:r>
      <w:r>
        <w:rPr>
          <w:rStyle w:val="14"/>
          <w:rFonts w:hint="eastAsia" w:ascii="仿宋" w:hAnsi="仿宋" w:eastAsia="仿宋"/>
          <w:b/>
          <w:bCs w:val="0"/>
          <w:color w:val="000000" w:themeColor="text1"/>
          <w:sz w:val="32"/>
          <w:szCs w:val="32"/>
          <w14:textFill>
            <w14:solidFill>
              <w14:schemeClr w14:val="tx1"/>
            </w14:solidFill>
          </w14:textFill>
        </w:rPr>
        <w:t>，决算数小于预算数的主要原因是2020年受新冠</w:t>
      </w:r>
      <w:r>
        <w:rPr>
          <w:rStyle w:val="14"/>
          <w:rFonts w:hint="eastAsia" w:ascii="仿宋" w:hAnsi="仿宋" w:eastAsia="仿宋"/>
          <w:b/>
          <w:bCs w:val="0"/>
          <w:color w:val="000000" w:themeColor="text1"/>
          <w:spacing w:val="-6"/>
          <w:sz w:val="32"/>
          <w:szCs w:val="32"/>
          <w14:textFill>
            <w14:solidFill>
              <w14:schemeClr w14:val="tx1"/>
            </w14:solidFill>
          </w14:textFill>
        </w:rPr>
        <w:t>疫情影响，部分</w:t>
      </w:r>
      <w:r>
        <w:rPr>
          <w:rStyle w:val="14"/>
          <w:rFonts w:ascii="仿宋" w:hAnsi="仿宋" w:eastAsia="仿宋"/>
          <w:b/>
          <w:bCs w:val="0"/>
          <w:color w:val="000000" w:themeColor="text1"/>
          <w:spacing w:val="-6"/>
          <w:sz w:val="32"/>
          <w:szCs w:val="32"/>
          <w14:textFill>
            <w14:solidFill>
              <w14:schemeClr w14:val="tx1"/>
            </w14:solidFill>
          </w14:textFill>
        </w:rPr>
        <w:t>培训工作</w:t>
      </w:r>
      <w:r>
        <w:rPr>
          <w:rStyle w:val="14"/>
          <w:rFonts w:hint="eastAsia" w:ascii="仿宋" w:hAnsi="仿宋" w:eastAsia="仿宋"/>
          <w:b/>
          <w:bCs w:val="0"/>
          <w:color w:val="000000" w:themeColor="text1"/>
          <w:spacing w:val="-6"/>
          <w:sz w:val="32"/>
          <w:szCs w:val="32"/>
          <w14:textFill>
            <w14:solidFill>
              <w14:schemeClr w14:val="tx1"/>
            </w14:solidFill>
          </w14:textFill>
        </w:rPr>
        <w:t>未能如期开展，故财政</w:t>
      </w:r>
      <w:r>
        <w:rPr>
          <w:rStyle w:val="14"/>
          <w:rFonts w:ascii="仿宋" w:hAnsi="仿宋" w:eastAsia="仿宋"/>
          <w:b/>
          <w:bCs w:val="0"/>
          <w:color w:val="000000" w:themeColor="text1"/>
          <w:spacing w:val="-6"/>
          <w:sz w:val="32"/>
          <w:szCs w:val="32"/>
          <w14:textFill>
            <w14:solidFill>
              <w14:schemeClr w14:val="tx1"/>
            </w14:solidFill>
          </w14:textFill>
        </w:rPr>
        <w:t>执行中追加的用于</w:t>
      </w:r>
      <w:r>
        <w:rPr>
          <w:rStyle w:val="14"/>
          <w:rFonts w:hint="eastAsia" w:ascii="仿宋" w:hAnsi="仿宋" w:eastAsia="仿宋"/>
          <w:b/>
          <w:bCs w:val="0"/>
          <w:color w:val="000000" w:themeColor="text1"/>
          <w:sz w:val="32"/>
          <w:szCs w:val="32"/>
          <w14:textFill>
            <w14:solidFill>
              <w14:schemeClr w14:val="tx1"/>
            </w14:solidFill>
          </w14:textFill>
        </w:rPr>
        <w:t>干部</w:t>
      </w:r>
      <w:r>
        <w:rPr>
          <w:rStyle w:val="14"/>
          <w:rFonts w:ascii="仿宋" w:hAnsi="仿宋" w:eastAsia="仿宋"/>
          <w:b/>
          <w:bCs w:val="0"/>
          <w:color w:val="000000" w:themeColor="text1"/>
          <w:sz w:val="32"/>
          <w:szCs w:val="32"/>
          <w14:textFill>
            <w14:solidFill>
              <w14:schemeClr w14:val="tx1"/>
            </w14:solidFill>
          </w14:textFill>
        </w:rPr>
        <w:t>培训的</w:t>
      </w:r>
      <w:r>
        <w:rPr>
          <w:rStyle w:val="14"/>
          <w:rFonts w:hint="eastAsia" w:ascii="仿宋" w:hAnsi="仿宋" w:eastAsia="仿宋"/>
          <w:b/>
          <w:bCs w:val="0"/>
          <w:color w:val="000000" w:themeColor="text1"/>
          <w:sz w:val="32"/>
          <w:szCs w:val="32"/>
          <w14:textFill>
            <w14:solidFill>
              <w14:schemeClr w14:val="tx1"/>
            </w14:solidFill>
          </w14:textFill>
        </w:rPr>
        <w:t>宣传文化事业发展专项资金</w:t>
      </w:r>
      <w:r>
        <w:rPr>
          <w:rStyle w:val="14"/>
          <w:rFonts w:ascii="仿宋" w:hAnsi="仿宋" w:eastAsia="仿宋"/>
          <w:b/>
          <w:bCs w:val="0"/>
          <w:color w:val="000000" w:themeColor="text1"/>
          <w:sz w:val="32"/>
          <w:szCs w:val="32"/>
          <w14:textFill>
            <w14:solidFill>
              <w14:schemeClr w14:val="tx1"/>
            </w14:solidFill>
          </w14:textFill>
        </w:rPr>
        <w:t>未</w:t>
      </w:r>
      <w:r>
        <w:rPr>
          <w:rStyle w:val="14"/>
          <w:rFonts w:hint="eastAsia" w:ascii="仿宋" w:hAnsi="仿宋" w:eastAsia="仿宋"/>
          <w:b/>
          <w:bCs w:val="0"/>
          <w:color w:val="000000" w:themeColor="text1"/>
          <w:sz w:val="32"/>
          <w:szCs w:val="32"/>
          <w14:textFill>
            <w14:solidFill>
              <w14:schemeClr w14:val="tx1"/>
            </w14:solidFill>
          </w14:textFill>
        </w:rPr>
        <w:t>完全实现</w:t>
      </w:r>
      <w:r>
        <w:rPr>
          <w:rStyle w:val="14"/>
          <w:rFonts w:ascii="仿宋" w:hAnsi="仿宋" w:eastAsia="仿宋"/>
          <w:b/>
          <w:bCs w:val="0"/>
          <w:color w:val="000000" w:themeColor="text1"/>
          <w:sz w:val="32"/>
          <w:szCs w:val="32"/>
          <w14:textFill>
            <w14:solidFill>
              <w14:schemeClr w14:val="tx1"/>
            </w14:solidFill>
          </w14:textFill>
        </w:rPr>
        <w:t>支付</w:t>
      </w:r>
      <w:r>
        <w:rPr>
          <w:rStyle w:val="14"/>
          <w:rFonts w:hint="eastAsia" w:ascii="仿宋" w:hAnsi="仿宋" w:eastAsia="仿宋"/>
          <w:b/>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bCs w:val="0"/>
          <w:color w:val="FF0000"/>
          <w:sz w:val="32"/>
          <w:szCs w:val="32"/>
        </w:rPr>
      </w:pPr>
      <w:r>
        <w:rPr>
          <w:rStyle w:val="14"/>
          <w:rFonts w:ascii="仿宋" w:hAnsi="仿宋" w:eastAsia="仿宋"/>
          <w:b/>
          <w:bCs w:val="0"/>
          <w:color w:val="000000"/>
          <w:sz w:val="32"/>
          <w:szCs w:val="32"/>
        </w:rPr>
        <w:t>5.</w:t>
      </w:r>
      <w:r>
        <w:rPr>
          <w:rStyle w:val="14"/>
          <w:rFonts w:hint="eastAsia" w:ascii="仿宋" w:hAnsi="仿宋" w:eastAsia="仿宋"/>
          <w:b/>
          <w:bCs w:val="0"/>
          <w:color w:val="000000"/>
          <w:sz w:val="32"/>
          <w:szCs w:val="32"/>
        </w:rPr>
        <w:t>文化旅游体育与传媒（类）其他文化旅游体育与传媒支出（款）文化产业发展专项支出（项）</w:t>
      </w:r>
      <w:r>
        <w:rPr>
          <w:rStyle w:val="14"/>
          <w:rFonts w:ascii="仿宋" w:hAnsi="仿宋" w:eastAsia="仿宋"/>
          <w:b/>
          <w:bCs w:val="0"/>
          <w:color w:val="000000"/>
          <w:sz w:val="32"/>
          <w:szCs w:val="32"/>
        </w:rPr>
        <w:t>:</w:t>
      </w:r>
      <w:r>
        <w:rPr>
          <w:rStyle w:val="14"/>
          <w:rFonts w:hint="eastAsia" w:ascii="仿宋" w:hAnsi="仿宋" w:eastAsia="仿宋"/>
          <w:b/>
          <w:bCs w:val="0"/>
          <w:color w:val="000000"/>
          <w:sz w:val="32"/>
          <w:szCs w:val="32"/>
        </w:rPr>
        <w:t>支出决算为</w:t>
      </w:r>
      <w:r>
        <w:rPr>
          <w:rStyle w:val="14"/>
          <w:rFonts w:ascii="仿宋" w:hAnsi="仿宋" w:eastAsia="仿宋"/>
          <w:b/>
          <w:bCs w:val="0"/>
          <w:color w:val="000000"/>
          <w:sz w:val="32"/>
          <w:szCs w:val="32"/>
        </w:rPr>
        <w:t>28.52</w:t>
      </w:r>
      <w:r>
        <w:rPr>
          <w:rStyle w:val="14"/>
          <w:rFonts w:hint="eastAsia" w:ascii="仿宋" w:hAnsi="仿宋" w:eastAsia="仿宋"/>
          <w:b/>
          <w:bCs w:val="0"/>
          <w:color w:val="000000"/>
          <w:sz w:val="32"/>
          <w:szCs w:val="32"/>
        </w:rPr>
        <w:t>万元，完成预算</w:t>
      </w:r>
      <w:r>
        <w:rPr>
          <w:rStyle w:val="14"/>
          <w:rFonts w:ascii="仿宋" w:hAnsi="仿宋" w:eastAsia="仿宋"/>
          <w:b/>
          <w:bCs w:val="0"/>
          <w:color w:val="000000"/>
          <w:sz w:val="32"/>
          <w:szCs w:val="32"/>
        </w:rPr>
        <w:t>98.34%</w:t>
      </w:r>
      <w:r>
        <w:rPr>
          <w:rStyle w:val="14"/>
          <w:rFonts w:hint="eastAsia" w:ascii="仿宋" w:hAnsi="仿宋" w:eastAsia="仿宋"/>
          <w:b/>
          <w:bCs w:val="0"/>
          <w:color w:val="000000"/>
          <w:sz w:val="32"/>
          <w:szCs w:val="32"/>
        </w:rPr>
        <w:t>，决算数与预算数基本持平</w:t>
      </w:r>
      <w:r>
        <w:rPr>
          <w:rStyle w:val="14"/>
          <w:rFonts w:hint="eastAsia" w:ascii="仿宋" w:hAnsi="仿宋" w:eastAsia="仿宋"/>
          <w:b/>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Style w:val="14"/>
          <w:rFonts w:ascii="仿宋" w:hAnsi="仿宋" w:eastAsia="仿宋"/>
          <w:b/>
          <w:bCs w:val="0"/>
          <w:color w:val="FF0000"/>
          <w:sz w:val="32"/>
          <w:szCs w:val="32"/>
        </w:rPr>
      </w:pPr>
      <w:r>
        <w:rPr>
          <w:rStyle w:val="14"/>
          <w:rFonts w:ascii="仿宋" w:hAnsi="仿宋" w:eastAsia="仿宋"/>
          <w:b/>
          <w:bCs w:val="0"/>
          <w:color w:val="000000"/>
          <w:sz w:val="32"/>
          <w:szCs w:val="32"/>
        </w:rPr>
        <w:t>6.</w:t>
      </w:r>
      <w:r>
        <w:rPr>
          <w:rStyle w:val="14"/>
          <w:rFonts w:hint="eastAsia" w:ascii="仿宋" w:hAnsi="仿宋" w:eastAsia="仿宋"/>
          <w:b/>
          <w:bCs w:val="0"/>
          <w:color w:val="000000"/>
          <w:sz w:val="32"/>
          <w:szCs w:val="32"/>
        </w:rPr>
        <w:t>社会保障和就业（类）行政事业单位养老支出（款）  事业单位离退休（项）</w:t>
      </w:r>
      <w:r>
        <w:rPr>
          <w:rStyle w:val="14"/>
          <w:rFonts w:ascii="仿宋" w:hAnsi="仿宋" w:eastAsia="仿宋"/>
          <w:b/>
          <w:bCs w:val="0"/>
          <w:color w:val="000000"/>
          <w:sz w:val="32"/>
          <w:szCs w:val="32"/>
        </w:rPr>
        <w:t>:</w:t>
      </w:r>
      <w:r>
        <w:rPr>
          <w:rStyle w:val="14"/>
          <w:rFonts w:hint="eastAsia" w:ascii="仿宋" w:hAnsi="仿宋" w:eastAsia="仿宋"/>
          <w:b/>
          <w:bCs w:val="0"/>
          <w:color w:val="000000"/>
          <w:sz w:val="32"/>
          <w:szCs w:val="32"/>
        </w:rPr>
        <w:t>支出决算为</w:t>
      </w:r>
      <w:r>
        <w:rPr>
          <w:rStyle w:val="14"/>
          <w:rFonts w:ascii="仿宋" w:hAnsi="仿宋" w:eastAsia="仿宋"/>
          <w:b/>
          <w:bCs w:val="0"/>
          <w:color w:val="000000"/>
          <w:sz w:val="32"/>
          <w:szCs w:val="32"/>
        </w:rPr>
        <w:t>212.35</w:t>
      </w:r>
      <w:r>
        <w:rPr>
          <w:rStyle w:val="14"/>
          <w:rFonts w:hint="eastAsia" w:ascii="仿宋" w:hAnsi="仿宋" w:eastAsia="仿宋"/>
          <w:b/>
          <w:bCs w:val="0"/>
          <w:color w:val="000000"/>
          <w:sz w:val="32"/>
          <w:szCs w:val="32"/>
        </w:rPr>
        <w:t>万元，完成预算</w:t>
      </w:r>
      <w:r>
        <w:rPr>
          <w:rStyle w:val="14"/>
          <w:rFonts w:ascii="仿宋" w:hAnsi="仿宋" w:eastAsia="仿宋"/>
          <w:b/>
          <w:bCs w:val="0"/>
          <w:color w:val="000000"/>
          <w:sz w:val="32"/>
          <w:szCs w:val="32"/>
        </w:rPr>
        <w:t>98.85%</w:t>
      </w:r>
      <w:r>
        <w:rPr>
          <w:rStyle w:val="14"/>
          <w:rFonts w:hint="eastAsia" w:ascii="仿宋" w:hAnsi="仿宋" w:eastAsia="仿宋"/>
          <w:b/>
          <w:bCs w:val="0"/>
          <w:color w:val="000000"/>
          <w:sz w:val="32"/>
          <w:szCs w:val="32"/>
        </w:rPr>
        <w:t>，决算数与预算数基本持平</w:t>
      </w:r>
      <w:r>
        <w:rPr>
          <w:rStyle w:val="14"/>
          <w:rFonts w:hint="eastAsia" w:ascii="仿宋" w:hAnsi="仿宋" w:eastAsia="仿宋"/>
          <w:b/>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 w:hAnsi="仿宋" w:eastAsia="仿宋"/>
          <w:b/>
          <w:bCs w:val="0"/>
          <w:color w:val="000000"/>
          <w:sz w:val="32"/>
          <w:szCs w:val="32"/>
        </w:rPr>
      </w:pPr>
      <w:r>
        <w:rPr>
          <w:rStyle w:val="14"/>
          <w:rFonts w:ascii="仿宋" w:hAnsi="仿宋" w:eastAsia="仿宋"/>
          <w:b/>
          <w:bCs w:val="0"/>
          <w:color w:val="000000"/>
          <w:sz w:val="32"/>
          <w:szCs w:val="32"/>
        </w:rPr>
        <w:t>7.</w:t>
      </w:r>
      <w:r>
        <w:rPr>
          <w:rStyle w:val="14"/>
          <w:rFonts w:hint="eastAsia" w:ascii="仿宋" w:hAnsi="仿宋" w:eastAsia="仿宋"/>
          <w:b/>
          <w:bCs w:val="0"/>
          <w:color w:val="000000"/>
          <w:sz w:val="32"/>
          <w:szCs w:val="32"/>
        </w:rPr>
        <w:t>社会保障和就业（类）其他社会保障和就业支出（款）其他社会保障和就业支出（项）</w:t>
      </w:r>
      <w:r>
        <w:rPr>
          <w:rStyle w:val="14"/>
          <w:rFonts w:ascii="仿宋" w:hAnsi="仿宋" w:eastAsia="仿宋"/>
          <w:b/>
          <w:bCs w:val="0"/>
          <w:color w:val="000000"/>
          <w:sz w:val="32"/>
          <w:szCs w:val="32"/>
        </w:rPr>
        <w:t>:</w:t>
      </w:r>
      <w:r>
        <w:rPr>
          <w:rStyle w:val="14"/>
          <w:rFonts w:hint="eastAsia" w:ascii="仿宋" w:hAnsi="仿宋" w:eastAsia="仿宋"/>
          <w:b/>
          <w:bCs w:val="0"/>
          <w:color w:val="000000"/>
          <w:sz w:val="32"/>
          <w:szCs w:val="32"/>
        </w:rPr>
        <w:t>支出决算为</w:t>
      </w:r>
      <w:r>
        <w:rPr>
          <w:rStyle w:val="14"/>
          <w:rFonts w:ascii="仿宋" w:hAnsi="仿宋" w:eastAsia="仿宋"/>
          <w:b/>
          <w:bCs w:val="0"/>
          <w:color w:val="000000"/>
          <w:sz w:val="32"/>
          <w:szCs w:val="32"/>
        </w:rPr>
        <w:t>10.99</w:t>
      </w:r>
      <w:r>
        <w:rPr>
          <w:rStyle w:val="14"/>
          <w:rFonts w:hint="eastAsia" w:ascii="仿宋" w:hAnsi="仿宋" w:eastAsia="仿宋"/>
          <w:b/>
          <w:bCs w:val="0"/>
          <w:color w:val="000000"/>
          <w:sz w:val="32"/>
          <w:szCs w:val="32"/>
        </w:rPr>
        <w:t>万元，完成预算</w:t>
      </w:r>
      <w:r>
        <w:rPr>
          <w:rStyle w:val="14"/>
          <w:rFonts w:ascii="仿宋" w:hAnsi="仿宋" w:eastAsia="仿宋"/>
          <w:b/>
          <w:bCs w:val="0"/>
          <w:color w:val="000000"/>
          <w:sz w:val="32"/>
          <w:szCs w:val="32"/>
        </w:rPr>
        <w:t>100%</w:t>
      </w:r>
      <w:r>
        <w:rPr>
          <w:rStyle w:val="14"/>
          <w:rFonts w:hint="eastAsia" w:ascii="仿宋" w:hAnsi="仿宋" w:eastAsia="仿宋"/>
          <w:b/>
          <w:bCs w:val="0"/>
          <w:color w:val="000000"/>
          <w:sz w:val="32"/>
          <w:szCs w:val="32"/>
        </w:rPr>
        <w:t>，决算数等于预算数。</w:t>
      </w:r>
    </w:p>
    <w:p>
      <w:pPr>
        <w:keepNext w:val="0"/>
        <w:keepLines w:val="0"/>
        <w:pageBreakBefore w:val="0"/>
        <w:widowControl w:val="0"/>
        <w:tabs>
          <w:tab w:val="right" w:pos="8306"/>
        </w:tabs>
        <w:kinsoku/>
        <w:wordWrap/>
        <w:overflowPunct/>
        <w:topLinePunct w:val="0"/>
        <w:autoSpaceDE/>
        <w:autoSpaceDN/>
        <w:bidi w:val="0"/>
        <w:adjustRightInd/>
        <w:snapToGrid/>
        <w:spacing w:line="600" w:lineRule="exact"/>
        <w:ind w:firstLine="640"/>
        <w:textAlignment w:val="auto"/>
        <w:outlineLvl w:val="1"/>
        <w:rPr>
          <w:rStyle w:val="25"/>
          <w:b/>
          <w:bCs w:val="0"/>
        </w:rPr>
      </w:pPr>
      <w:bookmarkStart w:id="34" w:name="_Toc15377214"/>
      <w:bookmarkStart w:id="35" w:name="_Toc15396608"/>
      <w:r>
        <w:rPr>
          <w:rFonts w:hint="eastAsia" w:ascii="黑体" w:eastAsia="黑体"/>
          <w:b/>
          <w:bCs w:val="0"/>
          <w:color w:val="000000"/>
          <w:sz w:val="32"/>
          <w:szCs w:val="32"/>
        </w:rPr>
        <w:t>六、</w:t>
      </w:r>
      <w:r>
        <w:rPr>
          <w:rFonts w:hint="eastAsia" w:ascii="黑体" w:hAnsi="黑体" w:eastAsia="黑体"/>
          <w:b/>
          <w:bCs w:val="0"/>
          <w:color w:val="000000"/>
          <w:sz w:val="32"/>
          <w:szCs w:val="32"/>
        </w:rPr>
        <w:t>一</w:t>
      </w:r>
      <w:r>
        <w:rPr>
          <w:rStyle w:val="25"/>
          <w:rFonts w:hint="eastAsia" w:ascii="黑体" w:hAnsi="黑体" w:eastAsia="黑体"/>
          <w:b/>
          <w:bCs w:val="0"/>
        </w:rPr>
        <w:t>般公共预算财政拨款基本支出决算情况说明</w:t>
      </w:r>
      <w:bookmarkEnd w:id="34"/>
      <w:bookmarkEnd w:id="35"/>
      <w:r>
        <w:rPr>
          <w:rStyle w:val="25"/>
          <w:rFonts w:ascii="黑体" w:hAnsi="黑体" w:eastAsia="黑体"/>
          <w:b/>
          <w:bCs w:val="0"/>
        </w:rPr>
        <w:tab/>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b/>
          <w:bCs w:val="0"/>
          <w:color w:val="000000"/>
          <w:spacing w:val="-6"/>
          <w:sz w:val="32"/>
          <w:szCs w:val="32"/>
        </w:rPr>
      </w:pPr>
      <w:r>
        <w:rPr>
          <w:rFonts w:ascii="仿宋" w:hAnsi="仿宋" w:eastAsia="仿宋"/>
          <w:b/>
          <w:bCs w:val="0"/>
          <w:color w:val="000000"/>
          <w:spacing w:val="-6"/>
          <w:sz w:val="32"/>
          <w:szCs w:val="32"/>
        </w:rPr>
        <w:t>20</w:t>
      </w:r>
      <w:r>
        <w:rPr>
          <w:rFonts w:hint="eastAsia" w:ascii="仿宋" w:hAnsi="仿宋" w:eastAsia="仿宋"/>
          <w:b/>
          <w:bCs w:val="0"/>
          <w:color w:val="000000"/>
          <w:spacing w:val="-6"/>
          <w:sz w:val="32"/>
          <w:szCs w:val="32"/>
        </w:rPr>
        <w:t>20年一般公共预算财政拨款基本支出</w:t>
      </w:r>
      <w:r>
        <w:rPr>
          <w:rFonts w:ascii="仿宋" w:hAnsi="仿宋" w:eastAsia="仿宋"/>
          <w:b/>
          <w:bCs w:val="0"/>
          <w:color w:val="000000" w:themeColor="text1"/>
          <w:spacing w:val="-6"/>
          <w:sz w:val="32"/>
          <w:szCs w:val="32"/>
          <w14:textFill>
            <w14:solidFill>
              <w14:schemeClr w14:val="tx1"/>
            </w14:solidFill>
          </w14:textFill>
        </w:rPr>
        <w:t>8353.88</w:t>
      </w:r>
      <w:r>
        <w:rPr>
          <w:rFonts w:hint="eastAsia" w:ascii="仿宋" w:hAnsi="仿宋" w:eastAsia="仿宋"/>
          <w:b/>
          <w:bCs w:val="0"/>
          <w:color w:val="000000"/>
          <w:spacing w:val="-6"/>
          <w:sz w:val="32"/>
          <w:szCs w:val="32"/>
        </w:rPr>
        <w:t>万元，其中：</w:t>
      </w:r>
    </w:p>
    <w:p>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ascii="仿宋" w:hAnsi="仿宋" w:eastAsia="仿宋"/>
          <w:b/>
          <w:bCs w:val="0"/>
          <w:color w:val="000000" w:themeColor="text1"/>
          <w:sz w:val="32"/>
          <w:szCs w:val="32"/>
          <w14:textFill>
            <w14:solidFill>
              <w14:schemeClr w14:val="tx1"/>
            </w14:solidFill>
          </w14:textFill>
        </w:rPr>
      </w:pPr>
      <w:r>
        <w:rPr>
          <w:rFonts w:hint="eastAsia" w:ascii="仿宋" w:hAnsi="仿宋" w:eastAsia="仿宋"/>
          <w:b/>
          <w:bCs w:val="0"/>
          <w:color w:val="000000"/>
          <w:sz w:val="32"/>
          <w:szCs w:val="32"/>
        </w:rPr>
        <w:t>人员经费</w:t>
      </w:r>
      <w:r>
        <w:rPr>
          <w:rFonts w:hint="eastAsia" w:ascii="仿宋" w:hAnsi="仿宋" w:eastAsia="仿宋"/>
          <w:b/>
          <w:bCs w:val="0"/>
          <w:color w:val="000000" w:themeColor="text1"/>
          <w:sz w:val="32"/>
          <w:szCs w:val="32"/>
          <w14:textFill>
            <w14:solidFill>
              <w14:schemeClr w14:val="tx1"/>
            </w14:solidFill>
          </w14:textFill>
        </w:rPr>
        <w:t>6801.96</w:t>
      </w:r>
      <w:r>
        <w:rPr>
          <w:rFonts w:hint="eastAsia" w:ascii="仿宋" w:hAnsi="仿宋" w:eastAsia="仿宋"/>
          <w:b/>
          <w:bCs w:val="0"/>
          <w:color w:val="000000"/>
          <w:sz w:val="32"/>
          <w:szCs w:val="32"/>
        </w:rPr>
        <w:t>万元，主要包括：</w:t>
      </w:r>
      <w:r>
        <w:rPr>
          <w:rFonts w:hint="eastAsia" w:ascii="仿宋" w:hAnsi="仿宋" w:eastAsia="仿宋"/>
          <w:b/>
          <w:bCs w:val="0"/>
          <w:color w:val="000000" w:themeColor="text1"/>
          <w:sz w:val="32"/>
          <w:szCs w:val="32"/>
          <w14:textFill>
            <w14:solidFill>
              <w14:schemeClr w14:val="tx1"/>
            </w14:solidFill>
          </w14:textFill>
        </w:rPr>
        <w:t>基本工资</w:t>
      </w:r>
      <w:r>
        <w:rPr>
          <w:rFonts w:hint="eastAsia" w:ascii="仿宋" w:hAnsi="仿宋" w:eastAsia="仿宋"/>
          <w:b/>
          <w:bCs w:val="0"/>
          <w:color w:val="000000"/>
          <w:sz w:val="32"/>
          <w:szCs w:val="32"/>
        </w:rPr>
        <w:t>、绩效工资、机关事业单位基本养老保险缴费、职业年金缴费、职工基本医疗保险缴费、其他社会保障缴费、住房公积金、其他工资福利支出、离休费、生活补助、其他对个人和家庭的补助支出等。</w:t>
      </w:r>
      <w:r>
        <w:rPr>
          <w:rFonts w:ascii="仿宋" w:hAnsi="仿宋" w:eastAsia="仿宋"/>
          <w:b/>
          <w:bCs w:val="0"/>
          <w:color w:val="000000"/>
          <w:sz w:val="32"/>
          <w:szCs w:val="32"/>
        </w:rPr>
        <w:br w:type="textWrapping"/>
      </w:r>
      <w:r>
        <w:rPr>
          <w:rFonts w:hint="eastAsia" w:ascii="仿宋" w:hAnsi="仿宋" w:eastAsia="仿宋"/>
          <w:b/>
          <w:bCs w:val="0"/>
          <w:color w:val="000000"/>
          <w:sz w:val="32"/>
          <w:szCs w:val="32"/>
        </w:rPr>
        <w:t>　　日常公用经费</w:t>
      </w:r>
      <w:r>
        <w:rPr>
          <w:rFonts w:ascii="仿宋" w:hAnsi="仿宋" w:eastAsia="仿宋"/>
          <w:b/>
          <w:bCs w:val="0"/>
          <w:color w:val="000000" w:themeColor="text1"/>
          <w:sz w:val="32"/>
          <w:szCs w:val="32"/>
          <w14:textFill>
            <w14:solidFill>
              <w14:schemeClr w14:val="tx1"/>
            </w14:solidFill>
          </w14:textFill>
        </w:rPr>
        <w:t>1551.92</w:t>
      </w:r>
      <w:r>
        <w:rPr>
          <w:rFonts w:hint="eastAsia" w:ascii="仿宋" w:hAnsi="仿宋" w:eastAsia="仿宋"/>
          <w:b/>
          <w:bCs w:val="0"/>
          <w:color w:val="000000"/>
          <w:sz w:val="32"/>
          <w:szCs w:val="32"/>
        </w:rPr>
        <w:t>万元，主要包括：办公费、水费、电费、邮电费、物业管理费、差旅费、维修（护）费、会议费、培训费、公务接待费、委托业务费、工会经费、福利费、公务用车运行维护</w:t>
      </w:r>
      <w:r>
        <w:rPr>
          <w:rFonts w:hint="eastAsia" w:ascii="仿宋" w:hAnsi="仿宋" w:eastAsia="仿宋"/>
          <w:b/>
          <w:bCs w:val="0"/>
          <w:color w:val="000000" w:themeColor="text1"/>
          <w:sz w:val="32"/>
          <w:szCs w:val="32"/>
          <w14:textFill>
            <w14:solidFill>
              <w14:schemeClr w14:val="tx1"/>
            </w14:solidFill>
          </w14:textFill>
        </w:rPr>
        <w:t>费等。</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1"/>
        <w:rPr>
          <w:rStyle w:val="25"/>
          <w:rFonts w:ascii="黑体" w:hAnsi="黑体" w:eastAsia="黑体"/>
          <w:b/>
          <w:bCs w:val="0"/>
        </w:rPr>
      </w:pPr>
      <w:bookmarkStart w:id="36" w:name="_Toc15377215"/>
      <w:bookmarkStart w:id="37" w:name="_Toc15396609"/>
      <w:r>
        <w:rPr>
          <w:rFonts w:hint="eastAsia" w:ascii="黑体" w:eastAsia="黑体"/>
          <w:b/>
          <w:bCs w:val="0"/>
          <w:color w:val="000000"/>
          <w:sz w:val="32"/>
          <w:szCs w:val="32"/>
        </w:rPr>
        <w:t>七、</w:t>
      </w:r>
      <w:r>
        <w:rPr>
          <w:rStyle w:val="25"/>
          <w:rFonts w:hint="eastAsia" w:ascii="黑体" w:hAnsi="黑体" w:eastAsia="黑体"/>
          <w:b/>
          <w:bCs w:val="0"/>
        </w:rPr>
        <w:t>“三公”经费财政拨款支出决算情况说明</w:t>
      </w:r>
      <w:bookmarkEnd w:id="36"/>
      <w:bookmarkEnd w:id="37"/>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ascii="仿宋" w:hAnsi="仿宋" w:eastAsia="仿宋"/>
          <w:b/>
          <w:bCs w:val="0"/>
          <w:color w:val="000000"/>
          <w:sz w:val="32"/>
          <w:szCs w:val="32"/>
        </w:rPr>
      </w:pPr>
      <w:bookmarkStart w:id="38" w:name="_Toc15377216"/>
      <w:r>
        <w:rPr>
          <w:rFonts w:hint="eastAsia" w:ascii="仿宋" w:hAnsi="仿宋" w:eastAsia="仿宋"/>
          <w:b/>
          <w:bCs w:val="0"/>
          <w:color w:val="000000"/>
          <w:sz w:val="32"/>
          <w:szCs w:val="32"/>
        </w:rPr>
        <w:t>（一）“三公”经费财政拨款支出决算总体情况说明</w:t>
      </w:r>
      <w:bookmarkEnd w:id="38"/>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 w:hAnsi="仿宋" w:eastAsia="仿宋"/>
          <w:b/>
          <w:bCs w:val="0"/>
          <w:color w:val="000000"/>
          <w:sz w:val="32"/>
          <w:szCs w:val="32"/>
        </w:rPr>
      </w:pPr>
      <w:r>
        <w:rPr>
          <w:rFonts w:ascii="仿宋" w:hAnsi="仿宋" w:eastAsia="仿宋"/>
          <w:b/>
          <w:bCs w:val="0"/>
          <w:color w:val="000000"/>
          <w:sz w:val="32"/>
          <w:szCs w:val="32"/>
        </w:rPr>
        <w:t>20</w:t>
      </w:r>
      <w:r>
        <w:rPr>
          <w:rFonts w:hint="eastAsia" w:ascii="仿宋" w:hAnsi="仿宋" w:eastAsia="仿宋"/>
          <w:b/>
          <w:bCs w:val="0"/>
          <w:color w:val="000000"/>
          <w:sz w:val="32"/>
          <w:szCs w:val="32"/>
        </w:rPr>
        <w:t>20年“三公”经费财政拨款支出决算为</w:t>
      </w:r>
      <w:r>
        <w:rPr>
          <w:rFonts w:ascii="仿宋" w:hAnsi="仿宋" w:eastAsia="仿宋"/>
          <w:b/>
          <w:bCs w:val="0"/>
          <w:color w:val="000000"/>
          <w:sz w:val="32"/>
          <w:szCs w:val="32"/>
        </w:rPr>
        <w:t>9.02</w:t>
      </w:r>
      <w:r>
        <w:rPr>
          <w:rFonts w:hint="eastAsia" w:ascii="仿宋" w:hAnsi="仿宋" w:eastAsia="仿宋"/>
          <w:b/>
          <w:bCs w:val="0"/>
          <w:color w:val="000000"/>
          <w:sz w:val="32"/>
          <w:szCs w:val="32"/>
        </w:rPr>
        <w:t>万元，完成预算</w:t>
      </w:r>
      <w:r>
        <w:rPr>
          <w:rFonts w:ascii="仿宋" w:hAnsi="仿宋" w:eastAsia="仿宋"/>
          <w:b/>
          <w:bCs w:val="0"/>
          <w:color w:val="000000"/>
          <w:sz w:val="32"/>
          <w:szCs w:val="32"/>
        </w:rPr>
        <w:t>33.41%</w:t>
      </w:r>
      <w:r>
        <w:rPr>
          <w:rFonts w:hint="eastAsia" w:ascii="仿宋" w:hAnsi="仿宋" w:eastAsia="仿宋"/>
          <w:b/>
          <w:bCs w:val="0"/>
          <w:color w:val="000000"/>
          <w:sz w:val="32"/>
          <w:szCs w:val="32"/>
        </w:rPr>
        <w:t>，决算数小于预算数的主要原因是我校积极贯彻落实中省厉行节约相关规定，从严控制公务接待行为。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2"/>
        <w:rPr>
          <w:rFonts w:ascii="仿宋" w:hAnsi="仿宋" w:eastAsia="仿宋"/>
          <w:b/>
          <w:bCs w:val="0"/>
          <w:color w:val="000000"/>
          <w:sz w:val="32"/>
          <w:szCs w:val="32"/>
        </w:rPr>
      </w:pPr>
      <w:bookmarkStart w:id="39" w:name="_Toc15377217"/>
      <w:r>
        <w:rPr>
          <w:rFonts w:hint="eastAsia" w:ascii="仿宋" w:hAnsi="仿宋" w:eastAsia="仿宋"/>
          <w:b/>
          <w:bCs w:val="0"/>
          <w:color w:val="000000"/>
          <w:sz w:val="32"/>
          <w:szCs w:val="32"/>
        </w:rPr>
        <w:t>（二）“三公”经费财政拨款支出决算具体情况说明</w:t>
      </w:r>
      <w:bookmarkEnd w:id="39"/>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 w:hAnsi="仿宋" w:eastAsia="仿宋"/>
          <w:b/>
          <w:bCs w:val="0"/>
          <w:color w:val="000000"/>
          <w:sz w:val="32"/>
          <w:szCs w:val="32"/>
        </w:rPr>
      </w:pPr>
      <w:r>
        <w:rPr>
          <w:rFonts w:ascii="仿宋" w:hAnsi="仿宋" w:eastAsia="仿宋"/>
          <w:b/>
          <w:bCs w:val="0"/>
          <w:color w:val="000000"/>
          <w:sz w:val="32"/>
          <w:szCs w:val="32"/>
        </w:rPr>
        <w:t>20</w:t>
      </w:r>
      <w:r>
        <w:rPr>
          <w:rFonts w:hint="eastAsia" w:ascii="仿宋" w:hAnsi="仿宋" w:eastAsia="仿宋"/>
          <w:b/>
          <w:bCs w:val="0"/>
          <w:color w:val="000000"/>
          <w:sz w:val="32"/>
          <w:szCs w:val="32"/>
        </w:rPr>
        <w:t>20年“三公”经费财政拨款支出决算中，因公出国（境）费支出决算</w:t>
      </w:r>
      <w:r>
        <w:rPr>
          <w:rFonts w:ascii="仿宋" w:hAnsi="仿宋" w:eastAsia="仿宋"/>
          <w:b/>
          <w:bCs w:val="0"/>
          <w:color w:val="000000"/>
          <w:sz w:val="32"/>
          <w:szCs w:val="32"/>
        </w:rPr>
        <w:t>0</w:t>
      </w:r>
      <w:r>
        <w:rPr>
          <w:rFonts w:hint="eastAsia" w:ascii="仿宋" w:hAnsi="仿宋" w:eastAsia="仿宋"/>
          <w:b/>
          <w:bCs w:val="0"/>
          <w:color w:val="000000"/>
          <w:sz w:val="32"/>
          <w:szCs w:val="32"/>
        </w:rPr>
        <w:t>万元，占</w:t>
      </w:r>
      <w:r>
        <w:rPr>
          <w:rFonts w:ascii="仿宋" w:hAnsi="仿宋" w:eastAsia="仿宋"/>
          <w:b/>
          <w:bCs w:val="0"/>
          <w:color w:val="000000"/>
          <w:sz w:val="32"/>
          <w:szCs w:val="32"/>
        </w:rPr>
        <w:t>0%</w:t>
      </w:r>
      <w:r>
        <w:rPr>
          <w:rFonts w:hint="eastAsia" w:ascii="仿宋" w:hAnsi="仿宋" w:eastAsia="仿宋"/>
          <w:b/>
          <w:bCs w:val="0"/>
          <w:color w:val="000000"/>
          <w:sz w:val="32"/>
          <w:szCs w:val="32"/>
        </w:rPr>
        <w:t>；公务用车购置及运行维护费支出决算</w:t>
      </w:r>
      <w:r>
        <w:rPr>
          <w:rFonts w:ascii="仿宋" w:hAnsi="仿宋" w:eastAsia="仿宋"/>
          <w:b/>
          <w:bCs w:val="0"/>
          <w:color w:val="000000"/>
          <w:sz w:val="32"/>
          <w:szCs w:val="32"/>
        </w:rPr>
        <w:t>8</w:t>
      </w:r>
      <w:r>
        <w:rPr>
          <w:rFonts w:hint="eastAsia" w:ascii="仿宋" w:hAnsi="仿宋" w:eastAsia="仿宋"/>
          <w:b/>
          <w:bCs w:val="0"/>
          <w:color w:val="000000"/>
          <w:sz w:val="32"/>
          <w:szCs w:val="32"/>
        </w:rPr>
        <w:t>万元，占</w:t>
      </w:r>
      <w:r>
        <w:rPr>
          <w:rFonts w:ascii="仿宋" w:hAnsi="仿宋" w:eastAsia="仿宋"/>
          <w:b/>
          <w:bCs w:val="0"/>
          <w:color w:val="000000"/>
          <w:sz w:val="32"/>
          <w:szCs w:val="32"/>
        </w:rPr>
        <w:t>88.69%</w:t>
      </w:r>
      <w:r>
        <w:rPr>
          <w:rFonts w:hint="eastAsia" w:ascii="仿宋" w:hAnsi="仿宋" w:eastAsia="仿宋"/>
          <w:b/>
          <w:bCs w:val="0"/>
          <w:color w:val="000000"/>
          <w:sz w:val="32"/>
          <w:szCs w:val="32"/>
        </w:rPr>
        <w:t>；公务接待费支出决算</w:t>
      </w:r>
      <w:r>
        <w:rPr>
          <w:rFonts w:ascii="仿宋" w:hAnsi="仿宋" w:eastAsia="仿宋"/>
          <w:b/>
          <w:bCs w:val="0"/>
          <w:color w:val="000000"/>
          <w:sz w:val="32"/>
          <w:szCs w:val="32"/>
        </w:rPr>
        <w:t>1.02</w:t>
      </w:r>
      <w:r>
        <w:rPr>
          <w:rFonts w:hint="eastAsia" w:ascii="仿宋" w:hAnsi="仿宋" w:eastAsia="仿宋"/>
          <w:b/>
          <w:bCs w:val="0"/>
          <w:color w:val="000000"/>
          <w:sz w:val="32"/>
          <w:szCs w:val="32"/>
        </w:rPr>
        <w:t>万元，占</w:t>
      </w:r>
      <w:r>
        <w:rPr>
          <w:rFonts w:ascii="仿宋" w:hAnsi="仿宋" w:eastAsia="仿宋"/>
          <w:b/>
          <w:bCs w:val="0"/>
          <w:color w:val="000000"/>
          <w:sz w:val="32"/>
          <w:szCs w:val="32"/>
        </w:rPr>
        <w:t>11.31%</w:t>
      </w:r>
      <w:r>
        <w:rPr>
          <w:rFonts w:hint="eastAsia" w:ascii="仿宋" w:hAnsi="仿宋" w:eastAsia="仿宋"/>
          <w:b/>
          <w:bCs w:val="0"/>
          <w:color w:val="000000"/>
          <w:sz w:val="32"/>
          <w:szCs w:val="32"/>
        </w:rPr>
        <w:t>。具体情况如下：</w:t>
      </w:r>
    </w:p>
    <w:p>
      <w:pPr>
        <w:pStyle w:val="2"/>
        <w:spacing w:before="93"/>
      </w:pPr>
      <w:r>
        <w:rPr>
          <w:rFonts w:hint="eastAsia"/>
          <w:lang w:val="en-US" w:eastAsia="zh-CN"/>
        </w:rPr>
        <w:t xml:space="preserve">    </w:t>
      </w:r>
      <w:r>
        <w:drawing>
          <wp:inline distT="0" distB="0" distL="0" distR="0">
            <wp:extent cx="4925060" cy="3048635"/>
            <wp:effectExtent l="4445" t="4445" r="23495" b="1397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widowControl w:val="0"/>
        <w:kinsoku/>
        <w:wordWrap/>
        <w:overflowPunct/>
        <w:topLinePunct w:val="0"/>
        <w:autoSpaceDE/>
        <w:autoSpaceDN/>
        <w:bidi w:val="0"/>
        <w:adjustRightInd/>
        <w:snapToGrid/>
        <w:spacing w:line="360" w:lineRule="exact"/>
        <w:ind w:firstLine="641"/>
        <w:textAlignment w:val="auto"/>
        <w:rPr>
          <w:rFonts w:ascii="仿宋" w:hAnsi="仿宋" w:eastAsia="仿宋"/>
          <w:color w:val="FF0000"/>
          <w:sz w:val="32"/>
          <w:szCs w:val="32"/>
        </w:rPr>
      </w:pPr>
    </w:p>
    <w:p>
      <w:pPr>
        <w:keepNext w:val="0"/>
        <w:keepLines w:val="0"/>
        <w:pageBreakBefore w:val="0"/>
        <w:widowControl w:val="0"/>
        <w:kinsoku/>
        <w:wordWrap/>
        <w:overflowPunct/>
        <w:topLinePunct w:val="0"/>
        <w:bidi w:val="0"/>
        <w:spacing w:line="560" w:lineRule="exact"/>
        <w:ind w:firstLine="640"/>
        <w:textAlignment w:val="auto"/>
        <w:rPr>
          <w:rFonts w:ascii="仿宋" w:hAnsi="仿宋" w:eastAsia="仿宋"/>
          <w:b/>
          <w:bCs w:val="0"/>
          <w:color w:val="FF0000"/>
          <w:sz w:val="32"/>
          <w:szCs w:val="32"/>
        </w:rPr>
      </w:pPr>
      <w:r>
        <w:rPr>
          <w:rFonts w:ascii="仿宋" w:hAnsi="仿宋" w:eastAsia="仿宋"/>
          <w:b/>
          <w:bCs w:val="0"/>
          <w:color w:val="000000"/>
          <w:sz w:val="32"/>
          <w:szCs w:val="32"/>
        </w:rPr>
        <w:t>1.</w:t>
      </w:r>
      <w:r>
        <w:rPr>
          <w:rFonts w:hint="eastAsia" w:ascii="仿宋" w:hAnsi="仿宋" w:eastAsia="仿宋"/>
          <w:b/>
          <w:bCs w:val="0"/>
          <w:color w:val="000000"/>
          <w:sz w:val="32"/>
          <w:szCs w:val="32"/>
        </w:rPr>
        <w:t>因公出国（境）经费支出</w:t>
      </w:r>
      <w:r>
        <w:rPr>
          <w:rFonts w:ascii="仿宋" w:hAnsi="仿宋" w:eastAsia="仿宋"/>
          <w:b/>
          <w:bCs w:val="0"/>
          <w:color w:val="000000"/>
          <w:sz w:val="32"/>
          <w:szCs w:val="32"/>
        </w:rPr>
        <w:t>0</w:t>
      </w:r>
      <w:r>
        <w:rPr>
          <w:rFonts w:hint="eastAsia" w:ascii="仿宋" w:hAnsi="仿宋" w:eastAsia="仿宋"/>
          <w:b/>
          <w:bCs w:val="0"/>
          <w:color w:val="000000"/>
          <w:sz w:val="32"/>
          <w:szCs w:val="32"/>
        </w:rPr>
        <w:t>万元，</w:t>
      </w:r>
      <w:r>
        <w:rPr>
          <w:rStyle w:val="14"/>
          <w:rFonts w:hint="eastAsia" w:ascii="仿宋" w:hAnsi="仿宋" w:eastAsia="仿宋"/>
          <w:b/>
          <w:bCs w:val="0"/>
          <w:color w:val="000000"/>
          <w:sz w:val="32"/>
          <w:szCs w:val="32"/>
        </w:rPr>
        <w:t>完成预算</w:t>
      </w:r>
      <w:r>
        <w:rPr>
          <w:rStyle w:val="14"/>
          <w:rFonts w:ascii="仿宋" w:hAnsi="仿宋" w:eastAsia="仿宋"/>
          <w:b/>
          <w:bCs w:val="0"/>
          <w:color w:val="000000"/>
          <w:sz w:val="32"/>
          <w:szCs w:val="32"/>
        </w:rPr>
        <w:t>100%</w:t>
      </w:r>
      <w:r>
        <w:rPr>
          <w:rStyle w:val="14"/>
          <w:rFonts w:hint="eastAsia" w:ascii="仿宋" w:hAnsi="仿宋" w:eastAsia="仿宋"/>
          <w:b/>
          <w:bCs w:val="0"/>
          <w:color w:val="000000"/>
          <w:sz w:val="32"/>
          <w:szCs w:val="32"/>
        </w:rPr>
        <w:t>。</w:t>
      </w:r>
      <w:r>
        <w:rPr>
          <w:rFonts w:hint="eastAsia" w:ascii="仿宋" w:hAnsi="仿宋" w:eastAsia="仿宋"/>
          <w:b/>
          <w:bCs w:val="0"/>
          <w:color w:val="000000"/>
          <w:sz w:val="32"/>
          <w:szCs w:val="32"/>
        </w:rPr>
        <w:t>全年安排因公出国（境）团组</w:t>
      </w:r>
      <w:r>
        <w:rPr>
          <w:rFonts w:ascii="仿宋" w:hAnsi="仿宋" w:eastAsia="仿宋"/>
          <w:b/>
          <w:bCs w:val="0"/>
          <w:color w:val="000000"/>
          <w:sz w:val="32"/>
          <w:szCs w:val="32"/>
        </w:rPr>
        <w:t>0</w:t>
      </w:r>
      <w:r>
        <w:rPr>
          <w:rFonts w:hint="eastAsia" w:ascii="仿宋" w:hAnsi="仿宋" w:eastAsia="仿宋"/>
          <w:b/>
          <w:bCs w:val="0"/>
          <w:color w:val="000000"/>
          <w:sz w:val="32"/>
          <w:szCs w:val="32"/>
        </w:rPr>
        <w:t>次，出国（境）</w:t>
      </w:r>
      <w:r>
        <w:rPr>
          <w:rFonts w:ascii="仿宋" w:hAnsi="仿宋" w:eastAsia="仿宋"/>
          <w:b/>
          <w:bCs w:val="0"/>
          <w:color w:val="000000"/>
          <w:sz w:val="32"/>
          <w:szCs w:val="32"/>
        </w:rPr>
        <w:t>0</w:t>
      </w:r>
      <w:r>
        <w:rPr>
          <w:rFonts w:hint="eastAsia" w:ascii="仿宋" w:hAnsi="仿宋" w:eastAsia="仿宋"/>
          <w:b/>
          <w:bCs w:val="0"/>
          <w:color w:val="000000"/>
          <w:sz w:val="32"/>
          <w:szCs w:val="32"/>
        </w:rPr>
        <w:t>人。因公出国（境）支出决算与2019年持平。</w:t>
      </w:r>
    </w:p>
    <w:p>
      <w:pPr>
        <w:keepNext w:val="0"/>
        <w:keepLines w:val="0"/>
        <w:pageBreakBefore w:val="0"/>
        <w:widowControl w:val="0"/>
        <w:kinsoku/>
        <w:wordWrap/>
        <w:overflowPunct/>
        <w:topLinePunct w:val="0"/>
        <w:bidi w:val="0"/>
        <w:spacing w:line="560" w:lineRule="exact"/>
        <w:ind w:firstLine="640"/>
        <w:textAlignment w:val="auto"/>
        <w:rPr>
          <w:rFonts w:ascii="仿宋" w:hAnsi="仿宋" w:eastAsia="仿宋"/>
          <w:b/>
          <w:bCs w:val="0"/>
          <w:color w:val="000000"/>
          <w:sz w:val="32"/>
          <w:szCs w:val="32"/>
        </w:rPr>
      </w:pPr>
      <w:r>
        <w:rPr>
          <w:rFonts w:ascii="仿宋" w:hAnsi="仿宋" w:eastAsia="仿宋"/>
          <w:b/>
          <w:bCs w:val="0"/>
          <w:color w:val="000000"/>
          <w:sz w:val="32"/>
          <w:szCs w:val="32"/>
        </w:rPr>
        <w:t>2.</w:t>
      </w:r>
      <w:r>
        <w:rPr>
          <w:rFonts w:hint="eastAsia" w:ascii="仿宋" w:hAnsi="仿宋" w:eastAsia="仿宋"/>
          <w:b/>
          <w:bCs w:val="0"/>
          <w:color w:val="000000"/>
          <w:sz w:val="32"/>
          <w:szCs w:val="32"/>
        </w:rPr>
        <w:t>公务用车购置及运行维护费支出</w:t>
      </w:r>
      <w:r>
        <w:rPr>
          <w:rFonts w:ascii="仿宋" w:hAnsi="仿宋" w:eastAsia="仿宋"/>
          <w:b/>
          <w:bCs w:val="0"/>
          <w:color w:val="000000"/>
          <w:sz w:val="32"/>
          <w:szCs w:val="32"/>
        </w:rPr>
        <w:t>8</w:t>
      </w:r>
      <w:r>
        <w:rPr>
          <w:rFonts w:hint="eastAsia" w:ascii="仿宋" w:hAnsi="仿宋" w:eastAsia="仿宋"/>
          <w:b/>
          <w:bCs w:val="0"/>
          <w:color w:val="000000"/>
          <w:sz w:val="32"/>
          <w:szCs w:val="32"/>
        </w:rPr>
        <w:t>万元,</w:t>
      </w:r>
      <w:r>
        <w:rPr>
          <w:rStyle w:val="14"/>
          <w:rFonts w:hint="eastAsia" w:ascii="仿宋" w:hAnsi="仿宋" w:eastAsia="仿宋"/>
          <w:b/>
          <w:bCs w:val="0"/>
          <w:color w:val="000000"/>
          <w:sz w:val="32"/>
          <w:szCs w:val="32"/>
        </w:rPr>
        <w:t>完成预算</w:t>
      </w:r>
      <w:r>
        <w:rPr>
          <w:rStyle w:val="14"/>
          <w:rFonts w:ascii="仿宋" w:hAnsi="仿宋" w:eastAsia="仿宋"/>
          <w:b/>
          <w:bCs w:val="0"/>
          <w:color w:val="000000"/>
          <w:sz w:val="32"/>
          <w:szCs w:val="32"/>
        </w:rPr>
        <w:t>100%</w:t>
      </w:r>
      <w:r>
        <w:rPr>
          <w:rStyle w:val="14"/>
          <w:rFonts w:hint="eastAsia" w:ascii="仿宋" w:hAnsi="仿宋" w:eastAsia="仿宋"/>
          <w:b/>
          <w:bCs w:val="0"/>
          <w:color w:val="000000"/>
          <w:sz w:val="32"/>
          <w:szCs w:val="32"/>
        </w:rPr>
        <w:t>。</w:t>
      </w:r>
      <w:r>
        <w:rPr>
          <w:rFonts w:hint="eastAsia" w:ascii="仿宋" w:hAnsi="仿宋" w:eastAsia="仿宋"/>
          <w:b/>
          <w:bCs w:val="0"/>
          <w:color w:val="000000"/>
          <w:sz w:val="32"/>
          <w:szCs w:val="32"/>
        </w:rPr>
        <w:t>公务用车购置及运行维护费支出决算与</w:t>
      </w:r>
      <w:r>
        <w:rPr>
          <w:rFonts w:ascii="仿宋" w:hAnsi="仿宋" w:eastAsia="仿宋"/>
          <w:b/>
          <w:bCs w:val="0"/>
          <w:color w:val="000000"/>
          <w:sz w:val="32"/>
          <w:szCs w:val="32"/>
        </w:rPr>
        <w:t>201</w:t>
      </w:r>
      <w:r>
        <w:rPr>
          <w:rFonts w:hint="eastAsia" w:ascii="仿宋" w:hAnsi="仿宋" w:eastAsia="仿宋"/>
          <w:b/>
          <w:bCs w:val="0"/>
          <w:color w:val="000000"/>
          <w:sz w:val="32"/>
          <w:szCs w:val="32"/>
        </w:rPr>
        <w:t>9年持平。</w:t>
      </w:r>
    </w:p>
    <w:p>
      <w:pPr>
        <w:keepNext w:val="0"/>
        <w:keepLines w:val="0"/>
        <w:pageBreakBefore w:val="0"/>
        <w:widowControl w:val="0"/>
        <w:kinsoku/>
        <w:wordWrap/>
        <w:overflowPunct/>
        <w:topLinePunct w:val="0"/>
        <w:bidi w:val="0"/>
        <w:spacing w:line="560" w:lineRule="exact"/>
        <w:ind w:firstLine="643" w:firstLineChars="200"/>
        <w:textAlignment w:val="auto"/>
        <w:rPr>
          <w:rFonts w:ascii="仿宋" w:hAnsi="仿宋" w:eastAsia="仿宋"/>
          <w:b/>
          <w:bCs w:val="0"/>
          <w:color w:val="FF0000"/>
          <w:sz w:val="32"/>
          <w:szCs w:val="32"/>
        </w:rPr>
      </w:pPr>
      <w:r>
        <w:rPr>
          <w:rFonts w:hint="eastAsia" w:ascii="仿宋" w:hAnsi="仿宋" w:eastAsia="仿宋"/>
          <w:b/>
          <w:bCs w:val="0"/>
          <w:color w:val="000000"/>
          <w:sz w:val="32"/>
          <w:szCs w:val="32"/>
        </w:rPr>
        <w:t>其中：公务用车购置支出</w:t>
      </w:r>
      <w:r>
        <w:rPr>
          <w:rFonts w:ascii="仿宋" w:hAnsi="仿宋" w:eastAsia="仿宋"/>
          <w:b/>
          <w:bCs w:val="0"/>
          <w:color w:val="000000"/>
          <w:sz w:val="32"/>
          <w:szCs w:val="32"/>
        </w:rPr>
        <w:t>0</w:t>
      </w:r>
      <w:r>
        <w:rPr>
          <w:rFonts w:hint="eastAsia" w:ascii="仿宋" w:hAnsi="仿宋" w:eastAsia="仿宋"/>
          <w:b/>
          <w:bCs w:val="0"/>
          <w:color w:val="000000"/>
          <w:sz w:val="32"/>
          <w:szCs w:val="32"/>
        </w:rPr>
        <w:t>万元。</w:t>
      </w:r>
      <w:r>
        <w:rPr>
          <w:rFonts w:hint="eastAsia" w:ascii="仿宋" w:hAnsi="仿宋" w:eastAsia="仿宋"/>
          <w:b/>
          <w:bCs w:val="0"/>
          <w:sz w:val="32"/>
          <w:szCs w:val="32"/>
        </w:rPr>
        <w:t>全年按规定更新购置公务用车</w:t>
      </w:r>
      <w:r>
        <w:rPr>
          <w:rFonts w:ascii="仿宋" w:hAnsi="仿宋" w:eastAsia="仿宋"/>
          <w:b/>
          <w:bCs w:val="0"/>
          <w:sz w:val="32"/>
          <w:szCs w:val="32"/>
        </w:rPr>
        <w:t>0</w:t>
      </w:r>
      <w:r>
        <w:rPr>
          <w:rFonts w:hint="eastAsia" w:ascii="仿宋" w:hAnsi="仿宋" w:eastAsia="仿宋"/>
          <w:b/>
          <w:bCs w:val="0"/>
          <w:sz w:val="32"/>
          <w:szCs w:val="32"/>
        </w:rPr>
        <w:t>辆，其中：轿车</w:t>
      </w:r>
      <w:r>
        <w:rPr>
          <w:rFonts w:ascii="仿宋" w:hAnsi="仿宋" w:eastAsia="仿宋"/>
          <w:b/>
          <w:bCs w:val="0"/>
          <w:sz w:val="32"/>
          <w:szCs w:val="32"/>
        </w:rPr>
        <w:t>0</w:t>
      </w:r>
      <w:r>
        <w:rPr>
          <w:rFonts w:hint="eastAsia" w:ascii="仿宋" w:hAnsi="仿宋" w:eastAsia="仿宋"/>
          <w:b/>
          <w:bCs w:val="0"/>
          <w:sz w:val="32"/>
          <w:szCs w:val="32"/>
        </w:rPr>
        <w:t>辆、金额</w:t>
      </w:r>
      <w:r>
        <w:rPr>
          <w:rFonts w:ascii="仿宋" w:hAnsi="仿宋" w:eastAsia="仿宋"/>
          <w:b/>
          <w:bCs w:val="0"/>
          <w:sz w:val="32"/>
          <w:szCs w:val="32"/>
        </w:rPr>
        <w:t>0</w:t>
      </w:r>
      <w:r>
        <w:rPr>
          <w:rFonts w:hint="eastAsia" w:ascii="仿宋" w:hAnsi="仿宋" w:eastAsia="仿宋"/>
          <w:b/>
          <w:bCs w:val="0"/>
          <w:sz w:val="32"/>
          <w:szCs w:val="32"/>
        </w:rPr>
        <w:t>万元，越野车</w:t>
      </w:r>
      <w:r>
        <w:rPr>
          <w:rFonts w:ascii="仿宋" w:hAnsi="仿宋" w:eastAsia="仿宋"/>
          <w:b/>
          <w:bCs w:val="0"/>
          <w:sz w:val="32"/>
          <w:szCs w:val="32"/>
        </w:rPr>
        <w:t>0</w:t>
      </w:r>
      <w:r>
        <w:rPr>
          <w:rFonts w:hint="eastAsia" w:ascii="仿宋" w:hAnsi="仿宋" w:eastAsia="仿宋"/>
          <w:b/>
          <w:bCs w:val="0"/>
          <w:sz w:val="32"/>
          <w:szCs w:val="32"/>
        </w:rPr>
        <w:t>辆、金额</w:t>
      </w:r>
      <w:r>
        <w:rPr>
          <w:rFonts w:ascii="仿宋" w:hAnsi="仿宋" w:eastAsia="仿宋"/>
          <w:b/>
          <w:bCs w:val="0"/>
          <w:sz w:val="32"/>
          <w:szCs w:val="32"/>
        </w:rPr>
        <w:t>0</w:t>
      </w:r>
      <w:r>
        <w:rPr>
          <w:rFonts w:hint="eastAsia" w:ascii="仿宋" w:hAnsi="仿宋" w:eastAsia="仿宋"/>
          <w:b/>
          <w:bCs w:val="0"/>
          <w:sz w:val="32"/>
          <w:szCs w:val="32"/>
        </w:rPr>
        <w:t>万元，载客汽车</w:t>
      </w:r>
      <w:r>
        <w:rPr>
          <w:rFonts w:ascii="仿宋" w:hAnsi="仿宋" w:eastAsia="仿宋"/>
          <w:b/>
          <w:bCs w:val="0"/>
          <w:sz w:val="32"/>
          <w:szCs w:val="32"/>
        </w:rPr>
        <w:t>0</w:t>
      </w:r>
      <w:r>
        <w:rPr>
          <w:rFonts w:hint="eastAsia" w:ascii="仿宋" w:hAnsi="仿宋" w:eastAsia="仿宋"/>
          <w:b/>
          <w:bCs w:val="0"/>
          <w:sz w:val="32"/>
          <w:szCs w:val="32"/>
        </w:rPr>
        <w:t>辆、金额</w:t>
      </w:r>
      <w:r>
        <w:rPr>
          <w:rFonts w:ascii="仿宋" w:hAnsi="仿宋" w:eastAsia="仿宋"/>
          <w:b/>
          <w:bCs w:val="0"/>
          <w:sz w:val="32"/>
          <w:szCs w:val="32"/>
        </w:rPr>
        <w:t>0</w:t>
      </w:r>
      <w:r>
        <w:rPr>
          <w:rFonts w:hint="eastAsia" w:ascii="仿宋" w:hAnsi="仿宋" w:eastAsia="仿宋"/>
          <w:b/>
          <w:bCs w:val="0"/>
          <w:sz w:val="32"/>
          <w:szCs w:val="32"/>
        </w:rPr>
        <w:t>万元。截至</w:t>
      </w:r>
      <w:r>
        <w:rPr>
          <w:rFonts w:ascii="仿宋" w:hAnsi="仿宋" w:eastAsia="仿宋"/>
          <w:b/>
          <w:bCs w:val="0"/>
          <w:sz w:val="32"/>
          <w:szCs w:val="32"/>
        </w:rPr>
        <w:t>20</w:t>
      </w:r>
      <w:r>
        <w:rPr>
          <w:rFonts w:hint="eastAsia" w:ascii="仿宋" w:hAnsi="仿宋" w:eastAsia="仿宋"/>
          <w:b/>
          <w:bCs w:val="0"/>
          <w:sz w:val="32"/>
          <w:szCs w:val="32"/>
        </w:rPr>
        <w:t>20年</w:t>
      </w:r>
      <w:r>
        <w:rPr>
          <w:rFonts w:ascii="仿宋" w:hAnsi="仿宋" w:eastAsia="仿宋"/>
          <w:b/>
          <w:bCs w:val="0"/>
          <w:sz w:val="32"/>
          <w:szCs w:val="32"/>
        </w:rPr>
        <w:t>12</w:t>
      </w:r>
      <w:r>
        <w:rPr>
          <w:rFonts w:hint="eastAsia" w:ascii="仿宋" w:hAnsi="仿宋" w:eastAsia="仿宋"/>
          <w:b/>
          <w:bCs w:val="0"/>
          <w:sz w:val="32"/>
          <w:szCs w:val="32"/>
        </w:rPr>
        <w:t>月底，我校共有公务用车</w:t>
      </w:r>
      <w:r>
        <w:rPr>
          <w:rFonts w:ascii="仿宋" w:hAnsi="仿宋" w:eastAsia="仿宋"/>
          <w:b/>
          <w:bCs w:val="0"/>
          <w:sz w:val="32"/>
          <w:szCs w:val="32"/>
        </w:rPr>
        <w:t>5</w:t>
      </w:r>
      <w:r>
        <w:rPr>
          <w:rFonts w:hint="eastAsia" w:ascii="仿宋" w:hAnsi="仿宋" w:eastAsia="仿宋"/>
          <w:b/>
          <w:bCs w:val="0"/>
          <w:sz w:val="32"/>
          <w:szCs w:val="32"/>
        </w:rPr>
        <w:t>辆，其中：轿车</w:t>
      </w:r>
      <w:r>
        <w:rPr>
          <w:rFonts w:ascii="仿宋" w:hAnsi="仿宋" w:eastAsia="仿宋"/>
          <w:b/>
          <w:bCs w:val="0"/>
          <w:sz w:val="32"/>
          <w:szCs w:val="32"/>
        </w:rPr>
        <w:t>5</w:t>
      </w:r>
      <w:r>
        <w:rPr>
          <w:rFonts w:hint="eastAsia" w:ascii="仿宋" w:hAnsi="仿宋" w:eastAsia="仿宋"/>
          <w:b/>
          <w:bCs w:val="0"/>
          <w:sz w:val="32"/>
          <w:szCs w:val="32"/>
        </w:rPr>
        <w:t>辆、越野车</w:t>
      </w:r>
      <w:r>
        <w:rPr>
          <w:rFonts w:ascii="仿宋" w:hAnsi="仿宋" w:eastAsia="仿宋"/>
          <w:b/>
          <w:bCs w:val="0"/>
          <w:sz w:val="32"/>
          <w:szCs w:val="32"/>
        </w:rPr>
        <w:t>0</w:t>
      </w:r>
      <w:r>
        <w:rPr>
          <w:rFonts w:hint="eastAsia" w:ascii="仿宋" w:hAnsi="仿宋" w:eastAsia="仿宋"/>
          <w:b/>
          <w:bCs w:val="0"/>
          <w:sz w:val="32"/>
          <w:szCs w:val="32"/>
        </w:rPr>
        <w:t>辆、载客汽车</w:t>
      </w:r>
      <w:r>
        <w:rPr>
          <w:rFonts w:ascii="仿宋" w:hAnsi="仿宋" w:eastAsia="仿宋"/>
          <w:b/>
          <w:bCs w:val="0"/>
          <w:sz w:val="32"/>
          <w:szCs w:val="32"/>
        </w:rPr>
        <w:t>0</w:t>
      </w:r>
      <w:r>
        <w:rPr>
          <w:rFonts w:hint="eastAsia" w:ascii="仿宋" w:hAnsi="仿宋" w:eastAsia="仿宋"/>
          <w:b/>
          <w:bCs w:val="0"/>
          <w:sz w:val="32"/>
          <w:szCs w:val="32"/>
        </w:rPr>
        <w:t>辆。</w:t>
      </w:r>
    </w:p>
    <w:p>
      <w:pPr>
        <w:keepNext w:val="0"/>
        <w:keepLines w:val="0"/>
        <w:pageBreakBefore w:val="0"/>
        <w:widowControl w:val="0"/>
        <w:kinsoku/>
        <w:wordWrap/>
        <w:overflowPunct/>
        <w:topLinePunct w:val="0"/>
        <w:bidi w:val="0"/>
        <w:spacing w:line="560" w:lineRule="exact"/>
        <w:ind w:firstLine="640"/>
        <w:textAlignment w:val="auto"/>
        <w:rPr>
          <w:rFonts w:ascii="仿宋" w:hAnsi="仿宋" w:eastAsia="仿宋"/>
          <w:b/>
          <w:bCs w:val="0"/>
          <w:sz w:val="32"/>
          <w:szCs w:val="32"/>
        </w:rPr>
      </w:pPr>
      <w:r>
        <w:rPr>
          <w:rFonts w:hint="eastAsia" w:ascii="仿宋" w:hAnsi="仿宋" w:eastAsia="仿宋"/>
          <w:b/>
          <w:bCs w:val="0"/>
          <w:color w:val="000000"/>
          <w:sz w:val="32"/>
          <w:szCs w:val="32"/>
        </w:rPr>
        <w:t>公务用车运行维护费支出</w:t>
      </w:r>
      <w:r>
        <w:rPr>
          <w:rFonts w:ascii="仿宋" w:hAnsi="仿宋" w:eastAsia="仿宋"/>
          <w:b/>
          <w:bCs w:val="0"/>
          <w:color w:val="000000"/>
          <w:sz w:val="32"/>
          <w:szCs w:val="32"/>
        </w:rPr>
        <w:t>8</w:t>
      </w:r>
      <w:r>
        <w:rPr>
          <w:rFonts w:hint="eastAsia" w:ascii="仿宋" w:hAnsi="仿宋" w:eastAsia="仿宋"/>
          <w:b/>
          <w:bCs w:val="0"/>
          <w:color w:val="000000"/>
          <w:sz w:val="32"/>
          <w:szCs w:val="32"/>
        </w:rPr>
        <w:t>万元。</w:t>
      </w:r>
      <w:r>
        <w:rPr>
          <w:rFonts w:hint="eastAsia" w:ascii="仿宋" w:hAnsi="仿宋" w:eastAsia="仿宋"/>
          <w:b/>
          <w:bCs w:val="0"/>
          <w:sz w:val="32"/>
          <w:szCs w:val="32"/>
        </w:rPr>
        <w:t>主要用于保障领导用车、对外办公等工作开展等所需的公务用车燃料费、维修费、过路过桥费、保险费等支出。</w:t>
      </w:r>
    </w:p>
    <w:p>
      <w:pPr>
        <w:keepNext w:val="0"/>
        <w:keepLines w:val="0"/>
        <w:pageBreakBefore w:val="0"/>
        <w:widowControl w:val="0"/>
        <w:kinsoku/>
        <w:wordWrap/>
        <w:overflowPunct/>
        <w:topLinePunct w:val="0"/>
        <w:bidi w:val="0"/>
        <w:spacing w:line="560" w:lineRule="exact"/>
        <w:ind w:firstLine="640"/>
        <w:textAlignment w:val="auto"/>
        <w:rPr>
          <w:rFonts w:ascii="仿宋" w:hAnsi="仿宋" w:eastAsia="仿宋"/>
          <w:b/>
          <w:bCs w:val="0"/>
          <w:color w:val="000000"/>
          <w:sz w:val="32"/>
          <w:szCs w:val="32"/>
        </w:rPr>
      </w:pPr>
      <w:r>
        <w:rPr>
          <w:rFonts w:ascii="仿宋" w:hAnsi="仿宋" w:eastAsia="仿宋"/>
          <w:b/>
          <w:bCs w:val="0"/>
          <w:color w:val="000000"/>
          <w:sz w:val="32"/>
          <w:szCs w:val="32"/>
        </w:rPr>
        <w:t>3.</w:t>
      </w:r>
      <w:r>
        <w:rPr>
          <w:rFonts w:hint="eastAsia" w:ascii="仿宋" w:hAnsi="仿宋" w:eastAsia="仿宋"/>
          <w:b/>
          <w:bCs w:val="0"/>
          <w:color w:val="000000"/>
          <w:sz w:val="32"/>
          <w:szCs w:val="32"/>
        </w:rPr>
        <w:t>公务接待费支出</w:t>
      </w:r>
      <w:r>
        <w:rPr>
          <w:rFonts w:ascii="仿宋" w:hAnsi="仿宋" w:eastAsia="仿宋"/>
          <w:b/>
          <w:bCs w:val="0"/>
          <w:color w:val="000000"/>
          <w:sz w:val="32"/>
          <w:szCs w:val="32"/>
        </w:rPr>
        <w:t>1.02</w:t>
      </w:r>
      <w:r>
        <w:rPr>
          <w:rFonts w:hint="eastAsia" w:ascii="仿宋" w:hAnsi="仿宋" w:eastAsia="仿宋"/>
          <w:b/>
          <w:bCs w:val="0"/>
          <w:color w:val="000000"/>
          <w:sz w:val="32"/>
          <w:szCs w:val="32"/>
        </w:rPr>
        <w:t>万元，</w:t>
      </w:r>
      <w:r>
        <w:rPr>
          <w:rStyle w:val="14"/>
          <w:rFonts w:hint="eastAsia" w:ascii="仿宋" w:hAnsi="仿宋" w:eastAsia="仿宋"/>
          <w:b/>
          <w:bCs w:val="0"/>
          <w:color w:val="000000"/>
          <w:sz w:val="32"/>
          <w:szCs w:val="32"/>
        </w:rPr>
        <w:t>完成预算</w:t>
      </w:r>
      <w:r>
        <w:rPr>
          <w:rStyle w:val="14"/>
          <w:rFonts w:ascii="仿宋" w:hAnsi="仿宋" w:eastAsia="仿宋"/>
          <w:b/>
          <w:bCs w:val="0"/>
          <w:color w:val="000000" w:themeColor="text1"/>
          <w:sz w:val="32"/>
          <w:szCs w:val="32"/>
          <w14:textFill>
            <w14:solidFill>
              <w14:schemeClr w14:val="tx1"/>
            </w14:solidFill>
          </w14:textFill>
        </w:rPr>
        <w:t>0.05%</w:t>
      </w:r>
      <w:r>
        <w:rPr>
          <w:rStyle w:val="14"/>
          <w:rFonts w:hint="eastAsia" w:ascii="仿宋" w:hAnsi="仿宋" w:eastAsia="仿宋"/>
          <w:b/>
          <w:bCs w:val="0"/>
          <w:color w:val="000000"/>
          <w:sz w:val="32"/>
          <w:szCs w:val="32"/>
        </w:rPr>
        <w:t>。</w:t>
      </w:r>
      <w:r>
        <w:rPr>
          <w:rFonts w:hint="eastAsia" w:ascii="仿宋" w:hAnsi="仿宋" w:eastAsia="仿宋"/>
          <w:b/>
          <w:bCs w:val="0"/>
          <w:color w:val="000000"/>
          <w:sz w:val="32"/>
          <w:szCs w:val="32"/>
        </w:rPr>
        <w:t>公务接待费支出决算比</w:t>
      </w:r>
      <w:r>
        <w:rPr>
          <w:rFonts w:ascii="仿宋" w:hAnsi="仿宋" w:eastAsia="仿宋"/>
          <w:b/>
          <w:bCs w:val="0"/>
          <w:color w:val="000000"/>
          <w:sz w:val="32"/>
          <w:szCs w:val="32"/>
        </w:rPr>
        <w:t>201</w:t>
      </w:r>
      <w:r>
        <w:rPr>
          <w:rFonts w:hint="eastAsia" w:ascii="仿宋" w:hAnsi="仿宋" w:eastAsia="仿宋"/>
          <w:b/>
          <w:bCs w:val="0"/>
          <w:color w:val="000000"/>
          <w:sz w:val="32"/>
          <w:szCs w:val="32"/>
        </w:rPr>
        <w:t>9年减少</w:t>
      </w:r>
      <w:r>
        <w:rPr>
          <w:rFonts w:ascii="仿宋" w:hAnsi="仿宋" w:eastAsia="仿宋"/>
          <w:b/>
          <w:bCs w:val="0"/>
          <w:color w:val="000000"/>
          <w:sz w:val="32"/>
          <w:szCs w:val="32"/>
        </w:rPr>
        <w:t>3.41</w:t>
      </w:r>
      <w:r>
        <w:rPr>
          <w:rFonts w:hint="eastAsia" w:ascii="仿宋" w:hAnsi="仿宋" w:eastAsia="仿宋"/>
          <w:b/>
          <w:bCs w:val="0"/>
          <w:color w:val="000000"/>
          <w:sz w:val="32"/>
          <w:szCs w:val="32"/>
        </w:rPr>
        <w:t>万元，下降</w:t>
      </w:r>
      <w:r>
        <w:rPr>
          <w:rFonts w:ascii="仿宋" w:hAnsi="仿宋" w:eastAsia="仿宋"/>
          <w:b/>
          <w:bCs w:val="0"/>
          <w:color w:val="000000"/>
          <w:sz w:val="32"/>
          <w:szCs w:val="32"/>
        </w:rPr>
        <w:t>76.98%</w:t>
      </w:r>
      <w:r>
        <w:rPr>
          <w:rFonts w:hint="eastAsia" w:ascii="仿宋" w:hAnsi="仿宋" w:eastAsia="仿宋"/>
          <w:b/>
          <w:bCs w:val="0"/>
          <w:color w:val="000000"/>
          <w:sz w:val="32"/>
          <w:szCs w:val="32"/>
        </w:rPr>
        <w:t>。</w:t>
      </w:r>
      <w:r>
        <w:rPr>
          <w:rFonts w:hint="eastAsia" w:ascii="仿宋" w:hAnsi="仿宋" w:eastAsia="仿宋"/>
          <w:b/>
          <w:bCs w:val="0"/>
          <w:color w:val="000000" w:themeColor="text1"/>
          <w:sz w:val="32"/>
          <w:szCs w:val="32"/>
          <w14:textFill>
            <w14:solidFill>
              <w14:schemeClr w14:val="tx1"/>
            </w14:solidFill>
          </w14:textFill>
        </w:rPr>
        <w:t>主要原因是</w:t>
      </w:r>
      <w:r>
        <w:rPr>
          <w:rFonts w:hint="eastAsia" w:ascii="仿宋" w:hAnsi="仿宋" w:eastAsia="仿宋"/>
          <w:b/>
          <w:bCs w:val="0"/>
          <w:color w:val="000000"/>
          <w:sz w:val="32"/>
          <w:szCs w:val="32"/>
        </w:rPr>
        <w:t>我校积极贯彻落实中省厉行节约相关规定，从严控制公务接待行为。其中：</w:t>
      </w:r>
    </w:p>
    <w:p>
      <w:pPr>
        <w:keepNext w:val="0"/>
        <w:keepLines w:val="0"/>
        <w:pageBreakBefore w:val="0"/>
        <w:widowControl w:val="0"/>
        <w:kinsoku/>
        <w:wordWrap/>
        <w:overflowPunct/>
        <w:topLinePunct w:val="0"/>
        <w:bidi w:val="0"/>
        <w:spacing w:line="560" w:lineRule="exact"/>
        <w:ind w:firstLine="640"/>
        <w:textAlignment w:val="auto"/>
        <w:rPr>
          <w:rFonts w:ascii="仿宋" w:hAnsi="仿宋" w:eastAsia="仿宋"/>
          <w:b/>
          <w:bCs w:val="0"/>
          <w:color w:val="000000"/>
          <w:sz w:val="32"/>
          <w:szCs w:val="32"/>
        </w:rPr>
      </w:pPr>
      <w:r>
        <w:rPr>
          <w:rFonts w:hint="eastAsia" w:ascii="仿宋" w:hAnsi="仿宋" w:eastAsia="仿宋"/>
          <w:b/>
          <w:bCs w:val="0"/>
          <w:color w:val="000000"/>
          <w:sz w:val="32"/>
          <w:szCs w:val="32"/>
        </w:rPr>
        <w:t>国内公务接待支出</w:t>
      </w:r>
      <w:r>
        <w:rPr>
          <w:rFonts w:ascii="仿宋" w:hAnsi="仿宋" w:eastAsia="仿宋"/>
          <w:b/>
          <w:bCs w:val="0"/>
          <w:color w:val="000000"/>
          <w:sz w:val="32"/>
          <w:szCs w:val="32"/>
        </w:rPr>
        <w:t>1.02</w:t>
      </w:r>
      <w:r>
        <w:rPr>
          <w:rFonts w:hint="eastAsia" w:ascii="仿宋" w:hAnsi="仿宋" w:eastAsia="仿宋"/>
          <w:b/>
          <w:bCs w:val="0"/>
          <w:color w:val="000000"/>
          <w:sz w:val="32"/>
          <w:szCs w:val="32"/>
        </w:rPr>
        <w:t>万元，主要用于对外接待活动开支的交通费、住宿费、用餐费等。国内公务接待</w:t>
      </w:r>
      <w:r>
        <w:rPr>
          <w:rFonts w:ascii="仿宋" w:hAnsi="仿宋" w:eastAsia="仿宋"/>
          <w:b/>
          <w:bCs w:val="0"/>
          <w:sz w:val="32"/>
          <w:szCs w:val="32"/>
        </w:rPr>
        <w:t>10</w:t>
      </w:r>
      <w:r>
        <w:rPr>
          <w:rFonts w:hint="eastAsia" w:ascii="仿宋" w:hAnsi="仿宋" w:eastAsia="仿宋"/>
          <w:b/>
          <w:bCs w:val="0"/>
          <w:sz w:val="32"/>
          <w:szCs w:val="32"/>
        </w:rPr>
        <w:t>批次，</w:t>
      </w:r>
      <w:r>
        <w:rPr>
          <w:rFonts w:ascii="仿宋" w:hAnsi="仿宋" w:eastAsia="仿宋"/>
          <w:b/>
          <w:bCs w:val="0"/>
          <w:sz w:val="32"/>
          <w:szCs w:val="32"/>
        </w:rPr>
        <w:t>82</w:t>
      </w:r>
      <w:r>
        <w:rPr>
          <w:rFonts w:hint="eastAsia" w:ascii="仿宋" w:hAnsi="仿宋" w:eastAsia="仿宋"/>
          <w:b/>
          <w:bCs w:val="0"/>
          <w:sz w:val="32"/>
          <w:szCs w:val="32"/>
        </w:rPr>
        <w:t>人次</w:t>
      </w:r>
      <w:r>
        <w:rPr>
          <w:rFonts w:hint="eastAsia" w:ascii="仿宋" w:hAnsi="仿宋" w:eastAsia="仿宋"/>
          <w:b/>
          <w:bCs w:val="0"/>
          <w:color w:val="000000"/>
          <w:sz w:val="32"/>
          <w:szCs w:val="32"/>
        </w:rPr>
        <w:t>（不包括陪同人员），共计支出</w:t>
      </w:r>
      <w:r>
        <w:rPr>
          <w:rFonts w:ascii="仿宋" w:hAnsi="仿宋" w:eastAsia="仿宋"/>
          <w:b/>
          <w:bCs w:val="0"/>
          <w:color w:val="000000"/>
          <w:sz w:val="32"/>
          <w:szCs w:val="32"/>
        </w:rPr>
        <w:t>1.02</w:t>
      </w:r>
      <w:r>
        <w:rPr>
          <w:rFonts w:hint="eastAsia" w:ascii="仿宋" w:hAnsi="仿宋" w:eastAsia="仿宋"/>
          <w:b/>
          <w:bCs w:val="0"/>
          <w:color w:val="000000"/>
          <w:sz w:val="32"/>
          <w:szCs w:val="32"/>
        </w:rPr>
        <w:t>万元，具体内容包括：校企合作交流、企业专家到校指导、</w:t>
      </w:r>
      <w:r>
        <w:rPr>
          <w:rFonts w:ascii="仿宋" w:hAnsi="仿宋" w:eastAsia="仿宋"/>
          <w:b/>
          <w:bCs w:val="0"/>
          <w:color w:val="000000"/>
          <w:sz w:val="32"/>
          <w:szCs w:val="32"/>
        </w:rPr>
        <w:t>扶贫工作接待等</w:t>
      </w:r>
      <w:r>
        <w:rPr>
          <w:rFonts w:hint="eastAsia" w:ascii="仿宋" w:hAnsi="仿宋" w:eastAsia="仿宋"/>
          <w:b/>
          <w:bCs w:val="0"/>
          <w:color w:val="000000"/>
          <w:sz w:val="32"/>
          <w:szCs w:val="32"/>
        </w:rPr>
        <w:t>。</w:t>
      </w:r>
    </w:p>
    <w:p>
      <w:pPr>
        <w:keepNext w:val="0"/>
        <w:keepLines w:val="0"/>
        <w:pageBreakBefore w:val="0"/>
        <w:widowControl w:val="0"/>
        <w:kinsoku/>
        <w:wordWrap/>
        <w:overflowPunct/>
        <w:topLinePunct w:val="0"/>
        <w:bidi w:val="0"/>
        <w:spacing w:line="560" w:lineRule="exact"/>
        <w:ind w:firstLine="643" w:firstLineChars="200"/>
        <w:textAlignment w:val="auto"/>
        <w:rPr>
          <w:rFonts w:ascii="仿宋" w:hAnsi="仿宋" w:eastAsia="仿宋"/>
          <w:b/>
          <w:bCs w:val="0"/>
          <w:color w:val="000000"/>
          <w:sz w:val="32"/>
          <w:szCs w:val="32"/>
        </w:rPr>
      </w:pPr>
      <w:r>
        <w:rPr>
          <w:rFonts w:hint="eastAsia" w:ascii="仿宋" w:hAnsi="仿宋" w:eastAsia="仿宋"/>
          <w:b/>
          <w:bCs w:val="0"/>
          <w:sz w:val="32"/>
          <w:szCs w:val="32"/>
        </w:rPr>
        <w:t>外事接待支出</w:t>
      </w:r>
      <w:r>
        <w:rPr>
          <w:rFonts w:ascii="仿宋" w:hAnsi="仿宋" w:eastAsia="仿宋"/>
          <w:b/>
          <w:bCs w:val="0"/>
          <w:sz w:val="32"/>
          <w:szCs w:val="32"/>
        </w:rPr>
        <w:t>0</w:t>
      </w:r>
      <w:r>
        <w:rPr>
          <w:rFonts w:hint="eastAsia" w:ascii="仿宋" w:hAnsi="仿宋" w:eastAsia="仿宋"/>
          <w:b/>
          <w:bCs w:val="0"/>
          <w:sz w:val="32"/>
          <w:szCs w:val="32"/>
        </w:rPr>
        <w:t>万元，外事接待</w:t>
      </w:r>
      <w:r>
        <w:rPr>
          <w:rFonts w:ascii="仿宋" w:hAnsi="仿宋" w:eastAsia="仿宋"/>
          <w:b/>
          <w:bCs w:val="0"/>
          <w:sz w:val="32"/>
          <w:szCs w:val="32"/>
        </w:rPr>
        <w:t>0</w:t>
      </w:r>
      <w:r>
        <w:rPr>
          <w:rFonts w:hint="eastAsia" w:ascii="仿宋" w:hAnsi="仿宋" w:eastAsia="仿宋"/>
          <w:b/>
          <w:bCs w:val="0"/>
          <w:sz w:val="32"/>
          <w:szCs w:val="32"/>
        </w:rPr>
        <w:t>批次，</w:t>
      </w:r>
      <w:r>
        <w:rPr>
          <w:rFonts w:ascii="仿宋" w:hAnsi="仿宋" w:eastAsia="仿宋"/>
          <w:b/>
          <w:bCs w:val="0"/>
          <w:sz w:val="32"/>
          <w:szCs w:val="32"/>
        </w:rPr>
        <w:t>0</w:t>
      </w:r>
      <w:r>
        <w:rPr>
          <w:rFonts w:hint="eastAsia" w:ascii="仿宋" w:hAnsi="仿宋" w:eastAsia="仿宋"/>
          <w:b/>
          <w:bCs w:val="0"/>
          <w:sz w:val="32"/>
          <w:szCs w:val="32"/>
        </w:rPr>
        <w:t>人，共计支出</w:t>
      </w:r>
      <w:r>
        <w:rPr>
          <w:rFonts w:ascii="仿宋" w:hAnsi="仿宋" w:eastAsia="仿宋"/>
          <w:b/>
          <w:bCs w:val="0"/>
          <w:sz w:val="32"/>
          <w:szCs w:val="32"/>
        </w:rPr>
        <w:t>0</w:t>
      </w:r>
      <w:r>
        <w:rPr>
          <w:rFonts w:hint="eastAsia" w:ascii="仿宋" w:hAnsi="仿宋" w:eastAsia="仿宋"/>
          <w:b/>
          <w:bCs w:val="0"/>
          <w:sz w:val="32"/>
          <w:szCs w:val="32"/>
        </w:rPr>
        <w:t>万元。</w:t>
      </w:r>
      <w:bookmarkStart w:id="40" w:name="_Toc15377218"/>
      <w:bookmarkStart w:id="41" w:name="_Toc15396610"/>
    </w:p>
    <w:p>
      <w:pPr>
        <w:keepNext w:val="0"/>
        <w:keepLines w:val="0"/>
        <w:pageBreakBefore w:val="0"/>
        <w:widowControl w:val="0"/>
        <w:kinsoku/>
        <w:wordWrap/>
        <w:overflowPunct/>
        <w:topLinePunct w:val="0"/>
        <w:bidi w:val="0"/>
        <w:spacing w:line="560" w:lineRule="exact"/>
        <w:ind w:firstLine="640"/>
        <w:textAlignment w:val="auto"/>
        <w:outlineLvl w:val="1"/>
        <w:rPr>
          <w:rStyle w:val="25"/>
          <w:rFonts w:ascii="黑体" w:hAnsi="黑体" w:eastAsia="黑体"/>
          <w:b/>
          <w:bCs w:val="0"/>
        </w:rPr>
      </w:pPr>
      <w:r>
        <w:rPr>
          <w:rFonts w:hint="eastAsia" w:ascii="黑体" w:hAnsi="黑体" w:eastAsia="黑体"/>
          <w:b/>
          <w:bCs w:val="0"/>
          <w:color w:val="000000"/>
          <w:sz w:val="32"/>
          <w:szCs w:val="32"/>
        </w:rPr>
        <w:t>八、</w:t>
      </w:r>
      <w:r>
        <w:rPr>
          <w:rStyle w:val="25"/>
          <w:rFonts w:hint="eastAsia" w:ascii="黑体" w:hAnsi="黑体" w:eastAsia="黑体"/>
          <w:b/>
          <w:bCs w:val="0"/>
        </w:rPr>
        <w:t>政府性基金预算支出决算情况说明</w:t>
      </w:r>
      <w:bookmarkEnd w:id="40"/>
      <w:bookmarkEnd w:id="41"/>
    </w:p>
    <w:p>
      <w:pPr>
        <w:keepNext w:val="0"/>
        <w:keepLines w:val="0"/>
        <w:pageBreakBefore w:val="0"/>
        <w:widowControl w:val="0"/>
        <w:kinsoku/>
        <w:wordWrap/>
        <w:overflowPunct/>
        <w:topLinePunct w:val="0"/>
        <w:bidi w:val="0"/>
        <w:spacing w:line="560" w:lineRule="exact"/>
        <w:ind w:firstLine="640"/>
        <w:textAlignment w:val="auto"/>
        <w:rPr>
          <w:b/>
          <w:bCs w:val="0"/>
        </w:rPr>
      </w:pPr>
      <w:r>
        <w:rPr>
          <w:rFonts w:ascii="仿宋" w:hAnsi="仿宋" w:eastAsia="仿宋"/>
          <w:b/>
          <w:bCs w:val="0"/>
          <w:color w:val="000000"/>
          <w:sz w:val="32"/>
          <w:szCs w:val="32"/>
        </w:rPr>
        <w:t>20</w:t>
      </w:r>
      <w:r>
        <w:rPr>
          <w:rFonts w:hint="eastAsia" w:ascii="仿宋" w:hAnsi="仿宋" w:eastAsia="仿宋"/>
          <w:b/>
          <w:bCs w:val="0"/>
          <w:color w:val="000000"/>
          <w:sz w:val="32"/>
          <w:szCs w:val="32"/>
        </w:rPr>
        <w:t>20年政府性基金预算拨款支出</w:t>
      </w:r>
      <w:r>
        <w:rPr>
          <w:rFonts w:ascii="仿宋" w:hAnsi="仿宋" w:eastAsia="仿宋"/>
          <w:b/>
          <w:bCs w:val="0"/>
          <w:color w:val="000000"/>
          <w:sz w:val="32"/>
          <w:szCs w:val="32"/>
        </w:rPr>
        <w:t>0</w:t>
      </w:r>
      <w:r>
        <w:rPr>
          <w:rFonts w:hint="eastAsia" w:ascii="仿宋" w:hAnsi="仿宋" w:eastAsia="仿宋"/>
          <w:b/>
          <w:bCs w:val="0"/>
          <w:color w:val="000000"/>
          <w:sz w:val="32"/>
          <w:szCs w:val="32"/>
        </w:rPr>
        <w:t>万元。</w:t>
      </w:r>
    </w:p>
    <w:p>
      <w:pPr>
        <w:keepNext w:val="0"/>
        <w:keepLines w:val="0"/>
        <w:pageBreakBefore w:val="0"/>
        <w:widowControl w:val="0"/>
        <w:numPr>
          <w:ilvl w:val="0"/>
          <w:numId w:val="2"/>
        </w:numPr>
        <w:kinsoku/>
        <w:wordWrap/>
        <w:overflowPunct/>
        <w:topLinePunct w:val="0"/>
        <w:bidi w:val="0"/>
        <w:spacing w:line="560" w:lineRule="exact"/>
        <w:ind w:firstLine="640"/>
        <w:textAlignment w:val="auto"/>
        <w:outlineLvl w:val="1"/>
        <w:rPr>
          <w:rStyle w:val="25"/>
          <w:rFonts w:ascii="黑体" w:hAnsi="黑体" w:eastAsia="黑体"/>
          <w:b/>
          <w:bCs w:val="0"/>
        </w:rPr>
      </w:pPr>
      <w:bookmarkStart w:id="42" w:name="_Toc15377219"/>
      <w:bookmarkStart w:id="43" w:name="_Toc15396611"/>
      <w:r>
        <w:rPr>
          <w:rStyle w:val="25"/>
          <w:rFonts w:hint="eastAsia" w:ascii="黑体" w:hAnsi="黑体" w:eastAsia="黑体"/>
          <w:b/>
          <w:bCs w:val="0"/>
        </w:rPr>
        <w:t>国有资本经营预算支出决算情况说明</w:t>
      </w:r>
      <w:bookmarkEnd w:id="42"/>
      <w:bookmarkEnd w:id="43"/>
    </w:p>
    <w:p>
      <w:pPr>
        <w:keepNext w:val="0"/>
        <w:keepLines w:val="0"/>
        <w:pageBreakBefore w:val="0"/>
        <w:widowControl w:val="0"/>
        <w:kinsoku/>
        <w:wordWrap/>
        <w:overflowPunct/>
        <w:topLinePunct w:val="0"/>
        <w:bidi w:val="0"/>
        <w:spacing w:line="560" w:lineRule="exact"/>
        <w:ind w:firstLine="640"/>
        <w:textAlignment w:val="auto"/>
        <w:rPr>
          <w:b/>
          <w:bCs w:val="0"/>
        </w:rPr>
      </w:pPr>
      <w:r>
        <w:rPr>
          <w:rFonts w:ascii="仿宋" w:hAnsi="仿宋" w:eastAsia="仿宋"/>
          <w:b/>
          <w:bCs w:val="0"/>
          <w:color w:val="000000"/>
          <w:sz w:val="32"/>
          <w:szCs w:val="32"/>
        </w:rPr>
        <w:t>20</w:t>
      </w:r>
      <w:r>
        <w:rPr>
          <w:rFonts w:hint="eastAsia" w:ascii="仿宋" w:hAnsi="仿宋" w:eastAsia="仿宋"/>
          <w:b/>
          <w:bCs w:val="0"/>
          <w:color w:val="000000"/>
          <w:sz w:val="32"/>
          <w:szCs w:val="32"/>
        </w:rPr>
        <w:t>20年国有资本经营预算拨款支出</w:t>
      </w:r>
      <w:r>
        <w:rPr>
          <w:rFonts w:ascii="仿宋" w:hAnsi="仿宋" w:eastAsia="仿宋"/>
          <w:b/>
          <w:bCs w:val="0"/>
          <w:color w:val="000000"/>
          <w:sz w:val="32"/>
          <w:szCs w:val="32"/>
        </w:rPr>
        <w:t>0</w:t>
      </w:r>
      <w:r>
        <w:rPr>
          <w:rFonts w:hint="eastAsia" w:ascii="仿宋" w:hAnsi="仿宋" w:eastAsia="仿宋"/>
          <w:b/>
          <w:bCs w:val="0"/>
          <w:color w:val="000000"/>
          <w:sz w:val="32"/>
          <w:szCs w:val="32"/>
        </w:rPr>
        <w:t>万元。</w:t>
      </w:r>
    </w:p>
    <w:p>
      <w:pPr>
        <w:keepNext w:val="0"/>
        <w:keepLines w:val="0"/>
        <w:pageBreakBefore w:val="0"/>
        <w:widowControl w:val="0"/>
        <w:numPr>
          <w:ilvl w:val="0"/>
          <w:numId w:val="2"/>
        </w:numPr>
        <w:kinsoku/>
        <w:wordWrap/>
        <w:overflowPunct/>
        <w:topLinePunct w:val="0"/>
        <w:bidi w:val="0"/>
        <w:spacing w:line="560" w:lineRule="exact"/>
        <w:ind w:firstLine="640"/>
        <w:textAlignment w:val="auto"/>
        <w:outlineLvl w:val="1"/>
        <w:rPr>
          <w:rStyle w:val="25"/>
          <w:rFonts w:ascii="黑体" w:hAnsi="黑体" w:eastAsia="黑体"/>
          <w:b/>
          <w:bCs w:val="0"/>
        </w:rPr>
      </w:pPr>
      <w:bookmarkStart w:id="44" w:name="_Toc15377221"/>
      <w:bookmarkStart w:id="45" w:name="_Toc15396612"/>
      <w:r>
        <w:rPr>
          <w:rStyle w:val="25"/>
          <w:rFonts w:hint="eastAsia" w:ascii="黑体" w:hAnsi="黑体" w:eastAsia="黑体"/>
          <w:b/>
          <w:bCs w:val="0"/>
        </w:rPr>
        <w:t>其他重要事项的情况说明</w:t>
      </w:r>
      <w:bookmarkEnd w:id="44"/>
      <w:bookmarkEnd w:id="45"/>
    </w:p>
    <w:p>
      <w:pPr>
        <w:keepNext w:val="0"/>
        <w:keepLines w:val="0"/>
        <w:pageBreakBefore w:val="0"/>
        <w:widowControl w:val="0"/>
        <w:kinsoku/>
        <w:wordWrap/>
        <w:overflowPunct/>
        <w:topLinePunct w:val="0"/>
        <w:bidi w:val="0"/>
        <w:spacing w:line="560" w:lineRule="exact"/>
        <w:ind w:firstLine="643" w:firstLineChars="200"/>
        <w:textAlignment w:val="auto"/>
        <w:outlineLvl w:val="2"/>
        <w:rPr>
          <w:rFonts w:ascii="仿宋" w:hAnsi="仿宋" w:eastAsia="仿宋"/>
          <w:b/>
          <w:bCs w:val="0"/>
          <w:color w:val="000000"/>
          <w:sz w:val="32"/>
          <w:szCs w:val="32"/>
        </w:rPr>
      </w:pPr>
      <w:bookmarkStart w:id="46" w:name="_Toc15377222"/>
      <w:r>
        <w:rPr>
          <w:rFonts w:hint="eastAsia" w:ascii="仿宋" w:hAnsi="仿宋" w:eastAsia="仿宋"/>
          <w:b/>
          <w:bCs w:val="0"/>
          <w:color w:val="000000"/>
          <w:sz w:val="32"/>
          <w:szCs w:val="32"/>
        </w:rPr>
        <w:t>（一）机关运行经费支出情况</w:t>
      </w:r>
      <w:bookmarkEnd w:id="46"/>
    </w:p>
    <w:p>
      <w:pPr>
        <w:keepNext w:val="0"/>
        <w:keepLines w:val="0"/>
        <w:pageBreakBefore w:val="0"/>
        <w:widowControl w:val="0"/>
        <w:kinsoku/>
        <w:wordWrap/>
        <w:overflowPunct/>
        <w:topLinePunct w:val="0"/>
        <w:bidi w:val="0"/>
        <w:spacing w:line="560" w:lineRule="exact"/>
        <w:ind w:firstLine="643" w:firstLineChars="200"/>
        <w:textAlignment w:val="auto"/>
        <w:rPr>
          <w:rFonts w:ascii="仿宋" w:hAnsi="仿宋" w:eastAsia="仿宋"/>
          <w:b/>
          <w:bCs w:val="0"/>
          <w:color w:val="FF0000"/>
          <w:sz w:val="32"/>
          <w:szCs w:val="32"/>
        </w:rPr>
      </w:pPr>
      <w:r>
        <w:rPr>
          <w:rFonts w:ascii="仿宋" w:hAnsi="仿宋" w:eastAsia="仿宋"/>
          <w:b/>
          <w:bCs w:val="0"/>
          <w:color w:val="000000"/>
          <w:sz w:val="32"/>
          <w:szCs w:val="32"/>
        </w:rPr>
        <w:t>20</w:t>
      </w:r>
      <w:r>
        <w:rPr>
          <w:rFonts w:hint="eastAsia" w:ascii="仿宋" w:hAnsi="仿宋" w:eastAsia="仿宋"/>
          <w:b/>
          <w:bCs w:val="0"/>
          <w:color w:val="000000"/>
          <w:sz w:val="32"/>
          <w:szCs w:val="32"/>
        </w:rPr>
        <w:t>20年，我校机关运行经费支出</w:t>
      </w:r>
      <w:r>
        <w:rPr>
          <w:rFonts w:ascii="仿宋" w:hAnsi="仿宋" w:eastAsia="仿宋"/>
          <w:b/>
          <w:bCs w:val="0"/>
          <w:color w:val="000000"/>
          <w:sz w:val="32"/>
          <w:szCs w:val="32"/>
        </w:rPr>
        <w:t>0</w:t>
      </w:r>
      <w:r>
        <w:rPr>
          <w:rFonts w:hint="eastAsia" w:ascii="仿宋" w:hAnsi="仿宋" w:eastAsia="仿宋"/>
          <w:b/>
          <w:bCs w:val="0"/>
          <w:color w:val="000000"/>
          <w:sz w:val="32"/>
          <w:szCs w:val="32"/>
        </w:rPr>
        <w:t>万元,与</w:t>
      </w:r>
      <w:r>
        <w:rPr>
          <w:rFonts w:ascii="仿宋" w:hAnsi="仿宋" w:eastAsia="仿宋"/>
          <w:b/>
          <w:bCs w:val="0"/>
          <w:color w:val="000000"/>
          <w:sz w:val="32"/>
          <w:szCs w:val="32"/>
        </w:rPr>
        <w:t>201</w:t>
      </w:r>
      <w:r>
        <w:rPr>
          <w:rFonts w:hint="eastAsia" w:ascii="仿宋" w:hAnsi="仿宋" w:eastAsia="仿宋"/>
          <w:b/>
          <w:bCs w:val="0"/>
          <w:color w:val="000000"/>
          <w:sz w:val="32"/>
          <w:szCs w:val="32"/>
        </w:rPr>
        <w:t>9年决算数持平。</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bCs w:val="0"/>
          <w:color w:val="000000"/>
          <w:sz w:val="32"/>
          <w:szCs w:val="32"/>
        </w:rPr>
      </w:pPr>
      <w:bookmarkStart w:id="47" w:name="_Toc15377223"/>
      <w:r>
        <w:rPr>
          <w:rFonts w:hint="eastAsia" w:ascii="仿宋" w:hAnsi="仿宋" w:eastAsia="仿宋"/>
          <w:b/>
          <w:bCs w:val="0"/>
          <w:color w:val="000000"/>
          <w:sz w:val="32"/>
          <w:szCs w:val="32"/>
        </w:rPr>
        <w:t>（二）政府采购支出情况</w:t>
      </w:r>
      <w:bookmarkEnd w:id="47"/>
    </w:p>
    <w:p>
      <w:pPr>
        <w:keepNext w:val="0"/>
        <w:keepLines w:val="0"/>
        <w:pageBreakBefore w:val="0"/>
        <w:widowControl w:val="0"/>
        <w:kinsoku/>
        <w:wordWrap/>
        <w:overflowPunct/>
        <w:topLinePunct w:val="0"/>
        <w:bidi w:val="0"/>
        <w:spacing w:line="560" w:lineRule="exact"/>
        <w:ind w:firstLine="643" w:firstLineChars="200"/>
        <w:textAlignment w:val="auto"/>
        <w:rPr>
          <w:rFonts w:ascii="仿宋" w:hAnsi="仿宋" w:eastAsia="仿宋"/>
          <w:b/>
          <w:bCs w:val="0"/>
          <w:sz w:val="32"/>
          <w:szCs w:val="32"/>
        </w:rPr>
      </w:pPr>
      <w:r>
        <w:rPr>
          <w:rFonts w:ascii="仿宋" w:hAnsi="仿宋" w:eastAsia="仿宋"/>
          <w:b/>
          <w:bCs w:val="0"/>
          <w:sz w:val="32"/>
          <w:szCs w:val="32"/>
        </w:rPr>
        <w:t>20</w:t>
      </w:r>
      <w:r>
        <w:rPr>
          <w:rFonts w:hint="eastAsia" w:ascii="仿宋" w:hAnsi="仿宋" w:eastAsia="仿宋"/>
          <w:b/>
          <w:bCs w:val="0"/>
          <w:sz w:val="32"/>
          <w:szCs w:val="32"/>
        </w:rPr>
        <w:t>20年，政府采购支出总额</w:t>
      </w:r>
      <w:r>
        <w:rPr>
          <w:rFonts w:ascii="仿宋" w:hAnsi="仿宋" w:eastAsia="仿宋"/>
          <w:b/>
          <w:bCs w:val="0"/>
          <w:sz w:val="32"/>
          <w:szCs w:val="32"/>
        </w:rPr>
        <w:t>1140.89</w:t>
      </w:r>
      <w:r>
        <w:rPr>
          <w:rFonts w:hint="eastAsia" w:ascii="仿宋" w:hAnsi="仿宋" w:eastAsia="仿宋"/>
          <w:b/>
          <w:bCs w:val="0"/>
          <w:sz w:val="32"/>
          <w:szCs w:val="32"/>
        </w:rPr>
        <w:t>万元，其中：政府采购货物支出</w:t>
      </w:r>
      <w:r>
        <w:rPr>
          <w:rFonts w:ascii="仿宋" w:hAnsi="仿宋" w:eastAsia="仿宋"/>
          <w:b/>
          <w:bCs w:val="0"/>
          <w:sz w:val="32"/>
          <w:szCs w:val="32"/>
        </w:rPr>
        <w:t>636.34</w:t>
      </w:r>
      <w:r>
        <w:rPr>
          <w:rFonts w:hint="eastAsia" w:ascii="仿宋" w:hAnsi="仿宋" w:eastAsia="仿宋"/>
          <w:b/>
          <w:bCs w:val="0"/>
          <w:sz w:val="32"/>
          <w:szCs w:val="32"/>
        </w:rPr>
        <w:t>万元、政府采购工程支出</w:t>
      </w:r>
      <w:r>
        <w:rPr>
          <w:rFonts w:ascii="仿宋" w:hAnsi="仿宋" w:eastAsia="仿宋"/>
          <w:b/>
          <w:bCs w:val="0"/>
          <w:sz w:val="32"/>
          <w:szCs w:val="32"/>
        </w:rPr>
        <w:t>179.18</w:t>
      </w:r>
      <w:r>
        <w:rPr>
          <w:rFonts w:hint="eastAsia" w:ascii="仿宋" w:hAnsi="仿宋" w:eastAsia="仿宋"/>
          <w:b/>
          <w:bCs w:val="0"/>
          <w:sz w:val="32"/>
          <w:szCs w:val="32"/>
        </w:rPr>
        <w:t>万元、政府采购服务支出</w:t>
      </w:r>
      <w:r>
        <w:rPr>
          <w:rFonts w:ascii="仿宋" w:hAnsi="仿宋" w:eastAsia="仿宋"/>
          <w:b/>
          <w:bCs w:val="0"/>
          <w:sz w:val="32"/>
          <w:szCs w:val="32"/>
        </w:rPr>
        <w:t>325.37</w:t>
      </w:r>
      <w:r>
        <w:rPr>
          <w:rFonts w:hint="eastAsia" w:ascii="仿宋" w:hAnsi="仿宋" w:eastAsia="仿宋"/>
          <w:b/>
          <w:bCs w:val="0"/>
          <w:sz w:val="32"/>
          <w:szCs w:val="32"/>
        </w:rPr>
        <w:t>万元。主要用于采购普通图书，信息系统集成，学生宿舍家具，计算机、打印设备、复印机、空调等办公及教学设备、仪器，修缮工程，印刷服务。</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bCs w:val="0"/>
          <w:color w:val="000000"/>
          <w:sz w:val="32"/>
          <w:szCs w:val="32"/>
        </w:rPr>
      </w:pPr>
      <w:bookmarkStart w:id="48" w:name="_Toc15377224"/>
      <w:r>
        <w:rPr>
          <w:rFonts w:hint="eastAsia" w:ascii="仿宋" w:hAnsi="仿宋" w:eastAsia="仿宋"/>
          <w:b/>
          <w:bCs w:val="0"/>
          <w:color w:val="000000"/>
          <w:sz w:val="32"/>
          <w:szCs w:val="32"/>
        </w:rPr>
        <w:t>（三）国有资产占有使用情况</w:t>
      </w:r>
      <w:bookmarkEnd w:id="48"/>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ascii="仿宋" w:hAnsi="仿宋" w:eastAsia="仿宋"/>
          <w:b/>
          <w:bCs w:val="0"/>
          <w:color w:val="000000" w:themeColor="text1"/>
          <w:sz w:val="32"/>
          <w:szCs w:val="32"/>
          <w14:textFill>
            <w14:solidFill>
              <w14:schemeClr w14:val="tx1"/>
            </w14:solidFill>
          </w14:textFill>
        </w:rPr>
      </w:pPr>
      <w:r>
        <w:rPr>
          <w:rFonts w:hint="eastAsia" w:ascii="仿宋" w:hAnsi="仿宋" w:eastAsia="仿宋"/>
          <w:b/>
          <w:bCs w:val="0"/>
          <w:color w:val="000000" w:themeColor="text1"/>
          <w:sz w:val="32"/>
          <w:szCs w:val="32"/>
          <w14:textFill>
            <w14:solidFill>
              <w14:schemeClr w14:val="tx1"/>
            </w14:solidFill>
          </w14:textFill>
        </w:rPr>
        <w:t>截至</w:t>
      </w:r>
      <w:r>
        <w:rPr>
          <w:rFonts w:ascii="仿宋" w:hAnsi="仿宋" w:eastAsia="仿宋"/>
          <w:b/>
          <w:bCs w:val="0"/>
          <w:color w:val="000000" w:themeColor="text1"/>
          <w:sz w:val="32"/>
          <w:szCs w:val="32"/>
          <w14:textFill>
            <w14:solidFill>
              <w14:schemeClr w14:val="tx1"/>
            </w14:solidFill>
          </w14:textFill>
        </w:rPr>
        <w:t>20</w:t>
      </w:r>
      <w:r>
        <w:rPr>
          <w:rFonts w:hint="eastAsia" w:ascii="仿宋" w:hAnsi="仿宋" w:eastAsia="仿宋"/>
          <w:b/>
          <w:bCs w:val="0"/>
          <w:color w:val="000000" w:themeColor="text1"/>
          <w:sz w:val="32"/>
          <w:szCs w:val="32"/>
          <w14:textFill>
            <w14:solidFill>
              <w14:schemeClr w14:val="tx1"/>
            </w14:solidFill>
          </w14:textFill>
        </w:rPr>
        <w:t>20年</w:t>
      </w:r>
      <w:r>
        <w:rPr>
          <w:rFonts w:ascii="仿宋" w:hAnsi="仿宋" w:eastAsia="仿宋"/>
          <w:b/>
          <w:bCs w:val="0"/>
          <w:color w:val="000000" w:themeColor="text1"/>
          <w:sz w:val="32"/>
          <w:szCs w:val="32"/>
          <w14:textFill>
            <w14:solidFill>
              <w14:schemeClr w14:val="tx1"/>
            </w14:solidFill>
          </w14:textFill>
        </w:rPr>
        <w:t>12</w:t>
      </w:r>
      <w:r>
        <w:rPr>
          <w:rFonts w:hint="eastAsia" w:ascii="仿宋" w:hAnsi="仿宋" w:eastAsia="仿宋"/>
          <w:b/>
          <w:bCs w:val="0"/>
          <w:color w:val="000000" w:themeColor="text1"/>
          <w:sz w:val="32"/>
          <w:szCs w:val="32"/>
          <w14:textFill>
            <w14:solidFill>
              <w14:schemeClr w14:val="tx1"/>
            </w14:solidFill>
          </w14:textFill>
        </w:rPr>
        <w:t>月</w:t>
      </w:r>
      <w:r>
        <w:rPr>
          <w:rFonts w:ascii="仿宋" w:hAnsi="仿宋" w:eastAsia="仿宋"/>
          <w:b/>
          <w:bCs w:val="0"/>
          <w:color w:val="000000" w:themeColor="text1"/>
          <w:sz w:val="32"/>
          <w:szCs w:val="32"/>
          <w14:textFill>
            <w14:solidFill>
              <w14:schemeClr w14:val="tx1"/>
            </w14:solidFill>
          </w14:textFill>
        </w:rPr>
        <w:t>31</w:t>
      </w:r>
      <w:r>
        <w:rPr>
          <w:rFonts w:hint="eastAsia" w:ascii="仿宋" w:hAnsi="仿宋" w:eastAsia="仿宋"/>
          <w:b/>
          <w:bCs w:val="0"/>
          <w:color w:val="000000" w:themeColor="text1"/>
          <w:sz w:val="32"/>
          <w:szCs w:val="32"/>
          <w14:textFill>
            <w14:solidFill>
              <w14:schemeClr w14:val="tx1"/>
            </w14:solidFill>
          </w14:textFill>
        </w:rPr>
        <w:t>日，我校共有车辆</w:t>
      </w:r>
      <w:r>
        <w:rPr>
          <w:rFonts w:ascii="仿宋" w:hAnsi="仿宋" w:eastAsia="仿宋"/>
          <w:b/>
          <w:bCs w:val="0"/>
          <w:color w:val="000000" w:themeColor="text1"/>
          <w:sz w:val="32"/>
          <w:szCs w:val="32"/>
          <w14:textFill>
            <w14:solidFill>
              <w14:schemeClr w14:val="tx1"/>
            </w14:solidFill>
          </w14:textFill>
        </w:rPr>
        <w:t>5</w:t>
      </w:r>
      <w:r>
        <w:rPr>
          <w:rFonts w:hint="eastAsia" w:ascii="仿宋" w:hAnsi="仿宋" w:eastAsia="仿宋"/>
          <w:b/>
          <w:bCs w:val="0"/>
          <w:color w:val="000000" w:themeColor="text1"/>
          <w:sz w:val="32"/>
          <w:szCs w:val="32"/>
          <w14:textFill>
            <w14:solidFill>
              <w14:schemeClr w14:val="tx1"/>
            </w14:solidFill>
          </w14:textFill>
        </w:rPr>
        <w:t>辆，其中：主要领导干部用车</w:t>
      </w:r>
      <w:r>
        <w:rPr>
          <w:rFonts w:ascii="仿宋" w:hAnsi="仿宋" w:eastAsia="仿宋"/>
          <w:b/>
          <w:bCs w:val="0"/>
          <w:color w:val="000000" w:themeColor="text1"/>
          <w:sz w:val="32"/>
          <w:szCs w:val="32"/>
          <w14:textFill>
            <w14:solidFill>
              <w14:schemeClr w14:val="tx1"/>
            </w14:solidFill>
          </w14:textFill>
        </w:rPr>
        <w:t>2</w:t>
      </w:r>
      <w:r>
        <w:rPr>
          <w:rFonts w:hint="eastAsia" w:ascii="仿宋" w:hAnsi="仿宋" w:eastAsia="仿宋"/>
          <w:b/>
          <w:bCs w:val="0"/>
          <w:color w:val="000000" w:themeColor="text1"/>
          <w:sz w:val="32"/>
          <w:szCs w:val="32"/>
          <w14:textFill>
            <w14:solidFill>
              <w14:schemeClr w14:val="tx1"/>
            </w14:solidFill>
          </w14:textFill>
        </w:rPr>
        <w:t>辆、机要通信用车</w:t>
      </w:r>
      <w:r>
        <w:rPr>
          <w:rFonts w:ascii="仿宋" w:hAnsi="仿宋" w:eastAsia="仿宋"/>
          <w:b/>
          <w:bCs w:val="0"/>
          <w:color w:val="000000" w:themeColor="text1"/>
          <w:sz w:val="32"/>
          <w:szCs w:val="32"/>
          <w14:textFill>
            <w14:solidFill>
              <w14:schemeClr w14:val="tx1"/>
            </w14:solidFill>
          </w14:textFill>
        </w:rPr>
        <w:t>0</w:t>
      </w:r>
      <w:r>
        <w:rPr>
          <w:rFonts w:hint="eastAsia" w:ascii="仿宋" w:hAnsi="仿宋" w:eastAsia="仿宋"/>
          <w:b/>
          <w:bCs w:val="0"/>
          <w:color w:val="000000" w:themeColor="text1"/>
          <w:sz w:val="32"/>
          <w:szCs w:val="32"/>
          <w14:textFill>
            <w14:solidFill>
              <w14:schemeClr w14:val="tx1"/>
            </w14:solidFill>
          </w14:textFill>
        </w:rPr>
        <w:t>辆、应急保障用车</w:t>
      </w:r>
      <w:r>
        <w:rPr>
          <w:rFonts w:ascii="仿宋" w:hAnsi="仿宋" w:eastAsia="仿宋"/>
          <w:b/>
          <w:bCs w:val="0"/>
          <w:color w:val="000000" w:themeColor="text1"/>
          <w:sz w:val="32"/>
          <w:szCs w:val="32"/>
          <w14:textFill>
            <w14:solidFill>
              <w14:schemeClr w14:val="tx1"/>
            </w14:solidFill>
          </w14:textFill>
        </w:rPr>
        <w:t>1</w:t>
      </w:r>
      <w:r>
        <w:rPr>
          <w:rFonts w:hint="eastAsia" w:ascii="仿宋" w:hAnsi="仿宋" w:eastAsia="仿宋"/>
          <w:b/>
          <w:bCs w:val="0"/>
          <w:color w:val="000000" w:themeColor="text1"/>
          <w:sz w:val="32"/>
          <w:szCs w:val="32"/>
          <w14:textFill>
            <w14:solidFill>
              <w14:schemeClr w14:val="tx1"/>
            </w14:solidFill>
          </w14:textFill>
        </w:rPr>
        <w:t>辆、其他用车</w:t>
      </w:r>
      <w:r>
        <w:rPr>
          <w:rFonts w:ascii="仿宋" w:hAnsi="仿宋" w:eastAsia="仿宋"/>
          <w:b/>
          <w:bCs w:val="0"/>
          <w:color w:val="000000" w:themeColor="text1"/>
          <w:sz w:val="32"/>
          <w:szCs w:val="32"/>
          <w14:textFill>
            <w14:solidFill>
              <w14:schemeClr w14:val="tx1"/>
            </w14:solidFill>
          </w14:textFill>
        </w:rPr>
        <w:t>2</w:t>
      </w:r>
      <w:r>
        <w:rPr>
          <w:rFonts w:hint="eastAsia" w:ascii="仿宋" w:hAnsi="仿宋" w:eastAsia="仿宋"/>
          <w:b/>
          <w:bCs w:val="0"/>
          <w:color w:val="000000" w:themeColor="text1"/>
          <w:sz w:val="32"/>
          <w:szCs w:val="32"/>
          <w14:textFill>
            <w14:solidFill>
              <w14:schemeClr w14:val="tx1"/>
            </w14:solidFill>
          </w14:textFill>
        </w:rPr>
        <w:t>辆，</w:t>
      </w:r>
      <w:r>
        <w:rPr>
          <w:rFonts w:hint="eastAsia" w:ascii="仿宋" w:hAnsi="仿宋" w:eastAsia="仿宋"/>
          <w:b/>
          <w:bCs w:val="0"/>
          <w:sz w:val="32"/>
          <w:szCs w:val="32"/>
        </w:rPr>
        <w:t>其他用车</w:t>
      </w:r>
      <w:r>
        <w:rPr>
          <w:rFonts w:hint="eastAsia" w:ascii="仿宋" w:hAnsi="仿宋" w:eastAsia="仿宋"/>
          <w:b/>
          <w:bCs w:val="0"/>
          <w:color w:val="000000" w:themeColor="text1"/>
          <w:sz w:val="32"/>
          <w:szCs w:val="32"/>
          <w14:textFill>
            <w14:solidFill>
              <w14:schemeClr w14:val="tx1"/>
            </w14:solidFill>
          </w14:textFill>
        </w:rPr>
        <w:t>主要是用于对外办公等工作开展。单价</w:t>
      </w:r>
      <w:r>
        <w:rPr>
          <w:rFonts w:ascii="仿宋" w:hAnsi="仿宋" w:eastAsia="仿宋"/>
          <w:b/>
          <w:bCs w:val="0"/>
          <w:color w:val="000000" w:themeColor="text1"/>
          <w:sz w:val="32"/>
          <w:szCs w:val="32"/>
          <w14:textFill>
            <w14:solidFill>
              <w14:schemeClr w14:val="tx1"/>
            </w14:solidFill>
          </w14:textFill>
        </w:rPr>
        <w:t>50</w:t>
      </w:r>
      <w:r>
        <w:rPr>
          <w:rFonts w:hint="eastAsia" w:ascii="仿宋" w:hAnsi="仿宋" w:eastAsia="仿宋"/>
          <w:b/>
          <w:bCs w:val="0"/>
          <w:color w:val="000000" w:themeColor="text1"/>
          <w:sz w:val="32"/>
          <w:szCs w:val="32"/>
          <w14:textFill>
            <w14:solidFill>
              <w14:schemeClr w14:val="tx1"/>
            </w14:solidFill>
          </w14:textFill>
        </w:rPr>
        <w:t>万元以上通用设备</w:t>
      </w:r>
      <w:r>
        <w:rPr>
          <w:rFonts w:ascii="仿宋" w:hAnsi="仿宋" w:eastAsia="仿宋"/>
          <w:b/>
          <w:bCs w:val="0"/>
          <w:color w:val="000000" w:themeColor="text1"/>
          <w:sz w:val="32"/>
          <w:szCs w:val="32"/>
          <w14:textFill>
            <w14:solidFill>
              <w14:schemeClr w14:val="tx1"/>
            </w14:solidFill>
          </w14:textFill>
        </w:rPr>
        <w:t>6</w:t>
      </w:r>
      <w:r>
        <w:rPr>
          <w:rFonts w:hint="eastAsia" w:ascii="仿宋" w:hAnsi="仿宋" w:eastAsia="仿宋"/>
          <w:b/>
          <w:bCs w:val="0"/>
          <w:color w:val="000000" w:themeColor="text1"/>
          <w:sz w:val="32"/>
          <w:szCs w:val="32"/>
          <w14:textFill>
            <w14:solidFill>
              <w14:schemeClr w14:val="tx1"/>
            </w14:solidFill>
          </w14:textFill>
        </w:rPr>
        <w:t>台（套），单价</w:t>
      </w:r>
      <w:r>
        <w:rPr>
          <w:rFonts w:ascii="仿宋" w:hAnsi="仿宋" w:eastAsia="仿宋"/>
          <w:b/>
          <w:bCs w:val="0"/>
          <w:color w:val="000000" w:themeColor="text1"/>
          <w:sz w:val="32"/>
          <w:szCs w:val="32"/>
          <w14:textFill>
            <w14:solidFill>
              <w14:schemeClr w14:val="tx1"/>
            </w14:solidFill>
          </w14:textFill>
        </w:rPr>
        <w:t>100</w:t>
      </w:r>
      <w:r>
        <w:rPr>
          <w:rFonts w:hint="eastAsia" w:ascii="仿宋" w:hAnsi="仿宋" w:eastAsia="仿宋"/>
          <w:b/>
          <w:bCs w:val="0"/>
          <w:color w:val="000000" w:themeColor="text1"/>
          <w:sz w:val="32"/>
          <w:szCs w:val="32"/>
          <w14:textFill>
            <w14:solidFill>
              <w14:schemeClr w14:val="tx1"/>
            </w14:solidFill>
          </w14:textFill>
        </w:rPr>
        <w:t>万元以上专用设备</w:t>
      </w:r>
      <w:r>
        <w:rPr>
          <w:rFonts w:ascii="仿宋" w:hAnsi="仿宋" w:eastAsia="仿宋"/>
          <w:b/>
          <w:bCs w:val="0"/>
          <w:color w:val="000000" w:themeColor="text1"/>
          <w:sz w:val="32"/>
          <w:szCs w:val="32"/>
          <w14:textFill>
            <w14:solidFill>
              <w14:schemeClr w14:val="tx1"/>
            </w14:solidFill>
          </w14:textFill>
        </w:rPr>
        <w:t>1</w:t>
      </w:r>
      <w:r>
        <w:rPr>
          <w:rFonts w:hint="eastAsia" w:ascii="仿宋" w:hAnsi="仿宋" w:eastAsia="仿宋"/>
          <w:b/>
          <w:bCs w:val="0"/>
          <w:color w:val="000000" w:themeColor="text1"/>
          <w:sz w:val="32"/>
          <w:szCs w:val="32"/>
          <w14:textFill>
            <w14:solidFill>
              <w14:schemeClr w14:val="tx1"/>
            </w14:solidFill>
          </w14:textFill>
        </w:rPr>
        <w:t>台（套）。</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outlineLvl w:val="2"/>
        <w:rPr>
          <w:rFonts w:ascii="仿宋" w:hAnsi="仿宋" w:eastAsia="仿宋"/>
          <w:b/>
          <w:bCs w:val="0"/>
          <w:sz w:val="32"/>
          <w:szCs w:val="32"/>
        </w:rPr>
      </w:pPr>
      <w:r>
        <w:rPr>
          <w:rFonts w:hint="eastAsia" w:ascii="仿宋" w:hAnsi="仿宋" w:eastAsia="仿宋"/>
          <w:b/>
          <w:bCs w:val="0"/>
          <w:sz w:val="32"/>
          <w:szCs w:val="32"/>
        </w:rPr>
        <w:t>（四）预算绩效管理情况</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ascii="仿宋" w:hAnsi="仿宋" w:eastAsia="仿宋"/>
          <w:b/>
          <w:bCs w:val="0"/>
          <w:color w:val="000000" w:themeColor="text1"/>
          <w:sz w:val="32"/>
          <w:szCs w:val="32"/>
          <w14:textFill>
            <w14:solidFill>
              <w14:schemeClr w14:val="tx1"/>
            </w14:solidFill>
          </w14:textFill>
        </w:rPr>
      </w:pPr>
      <w:r>
        <w:rPr>
          <w:rFonts w:hint="eastAsia" w:ascii="仿宋" w:hAnsi="仿宋" w:eastAsia="仿宋"/>
          <w:b/>
          <w:bCs w:val="0"/>
          <w:color w:val="000000" w:themeColor="text1"/>
          <w:sz w:val="32"/>
          <w:szCs w:val="32"/>
          <w14:textFill>
            <w14:solidFill>
              <w14:schemeClr w14:val="tx1"/>
            </w14:solidFill>
          </w14:textFill>
        </w:rPr>
        <w:t>根据预算绩效管理要求，我校在2020年度预算编制阶段，组织对“信息化建设及运行维护经费”项目开展了预算事前绩效评估，对</w:t>
      </w:r>
      <w:r>
        <w:rPr>
          <w:rFonts w:ascii="仿宋" w:hAnsi="仿宋" w:eastAsia="仿宋"/>
          <w:b/>
          <w:bCs w:val="0"/>
          <w:color w:val="000000" w:themeColor="text1"/>
          <w:sz w:val="32"/>
          <w:szCs w:val="32"/>
          <w14:textFill>
            <w14:solidFill>
              <w14:schemeClr w14:val="tx1"/>
            </w14:solidFill>
          </w14:textFill>
        </w:rPr>
        <w:t>9</w:t>
      </w:r>
      <w:r>
        <w:rPr>
          <w:rFonts w:hint="eastAsia" w:ascii="仿宋" w:hAnsi="仿宋" w:eastAsia="仿宋"/>
          <w:b/>
          <w:bCs w:val="0"/>
          <w:color w:val="000000" w:themeColor="text1"/>
          <w:sz w:val="32"/>
          <w:szCs w:val="32"/>
          <w14:textFill>
            <w14:solidFill>
              <w14:schemeClr w14:val="tx1"/>
            </w14:solidFill>
          </w14:textFill>
        </w:rPr>
        <w:t>个项目编制了绩效目标，预算执行过程中，选取</w:t>
      </w:r>
      <w:r>
        <w:rPr>
          <w:rFonts w:ascii="仿宋" w:hAnsi="仿宋" w:eastAsia="仿宋"/>
          <w:b/>
          <w:bCs w:val="0"/>
          <w:color w:val="000000" w:themeColor="text1"/>
          <w:sz w:val="32"/>
          <w:szCs w:val="32"/>
          <w14:textFill>
            <w14:solidFill>
              <w14:schemeClr w14:val="tx1"/>
            </w14:solidFill>
          </w14:textFill>
        </w:rPr>
        <w:t>9</w:t>
      </w:r>
      <w:r>
        <w:rPr>
          <w:rFonts w:hint="eastAsia" w:ascii="仿宋" w:hAnsi="仿宋" w:eastAsia="仿宋"/>
          <w:b/>
          <w:bCs w:val="0"/>
          <w:color w:val="000000" w:themeColor="text1"/>
          <w:sz w:val="32"/>
          <w:szCs w:val="32"/>
          <w14:textFill>
            <w14:solidFill>
              <w14:schemeClr w14:val="tx1"/>
            </w14:solidFill>
          </w14:textFill>
        </w:rPr>
        <w:t>个项目开展绩效监控，年终执行完毕后，对</w:t>
      </w:r>
      <w:r>
        <w:rPr>
          <w:rFonts w:ascii="仿宋" w:hAnsi="仿宋" w:eastAsia="仿宋"/>
          <w:b/>
          <w:bCs w:val="0"/>
          <w:color w:val="000000" w:themeColor="text1"/>
          <w:sz w:val="32"/>
          <w:szCs w:val="32"/>
          <w14:textFill>
            <w14:solidFill>
              <w14:schemeClr w14:val="tx1"/>
            </w14:solidFill>
          </w14:textFill>
        </w:rPr>
        <w:t>9</w:t>
      </w:r>
      <w:r>
        <w:rPr>
          <w:rFonts w:hint="eastAsia" w:ascii="仿宋" w:hAnsi="仿宋" w:eastAsia="仿宋"/>
          <w:b/>
          <w:bCs w:val="0"/>
          <w:color w:val="000000" w:themeColor="text1"/>
          <w:sz w:val="32"/>
          <w:szCs w:val="32"/>
          <w14:textFill>
            <w14:solidFill>
              <w14:schemeClr w14:val="tx1"/>
            </w14:solidFill>
          </w14:textFill>
        </w:rPr>
        <w:t>个项目开展了绩效目标完成情况自评。</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ascii="仿宋" w:hAnsi="仿宋" w:eastAsia="仿宋" w:cs="仿宋"/>
          <w:b/>
          <w:bCs w:val="0"/>
          <w:color w:val="000000" w:themeColor="text1"/>
          <w:sz w:val="32"/>
          <w:szCs w:val="32"/>
          <w14:textFill>
            <w14:solidFill>
              <w14:schemeClr w14:val="tx1"/>
            </w14:solidFill>
          </w14:textFill>
        </w:rPr>
      </w:pPr>
      <w:r>
        <w:rPr>
          <w:rFonts w:hint="eastAsia" w:ascii="仿宋" w:hAnsi="仿宋" w:eastAsia="仿宋"/>
          <w:b/>
          <w:bCs w:val="0"/>
          <w:color w:val="000000" w:themeColor="text1"/>
          <w:sz w:val="32"/>
          <w:szCs w:val="32"/>
          <w14:textFill>
            <w14:solidFill>
              <w14:schemeClr w14:val="tx1"/>
            </w14:solidFill>
          </w14:textFill>
        </w:rPr>
        <w:t>我校按要求对2020年整体支出开展绩效自评，从评价情况来看，我校以绩效目标实现为导向，加强制</w:t>
      </w:r>
      <w:r>
        <w:rPr>
          <w:rFonts w:hint="eastAsia" w:ascii="仿宋" w:hAnsi="仿宋" w:eastAsia="仿宋" w:cs="仿宋"/>
          <w:b/>
          <w:bCs w:val="0"/>
          <w:sz w:val="32"/>
          <w:szCs w:val="32"/>
        </w:rPr>
        <w:t>度建设，努力提高预算绩效管理水平。一是抓好绩效目标编制，按要求及时报送绩效目标。二是探索绩效跟踪监控，加强过程监控。三是深入开展财政支出绩效评价，对专项资金实施绩效自评和项目核查。四是强化评价结果应用，组织绩效自评和绩效跟踪监控，对发现的问题及时改进，加强评价结果与项目资金安排的衔接。五是健全绩效管理工作机制</w:t>
      </w:r>
      <w:r>
        <w:rPr>
          <w:rFonts w:hint="eastAsia" w:ascii="仿宋_GB2312" w:hAnsi="仿宋_GB2312" w:eastAsia="仿宋_GB2312" w:cs="仿宋_GB2312"/>
          <w:b/>
          <w:bCs w:val="0"/>
          <w:sz w:val="32"/>
          <w:szCs w:val="32"/>
        </w:rPr>
        <w:t>。</w:t>
      </w:r>
      <w:r>
        <w:rPr>
          <w:rFonts w:hint="eastAsia" w:ascii="仿宋" w:hAnsi="仿宋" w:eastAsia="仿宋" w:cs="仿宋_GB2312"/>
          <w:b/>
          <w:bCs w:val="0"/>
          <w:sz w:val="32"/>
          <w:szCs w:val="32"/>
        </w:rPr>
        <w:t>我校</w:t>
      </w:r>
      <w:r>
        <w:rPr>
          <w:rFonts w:hint="eastAsia" w:ascii="仿宋" w:hAnsi="仿宋" w:eastAsia="仿宋" w:cs="仿宋"/>
          <w:b/>
          <w:bCs w:val="0"/>
          <w:color w:val="000000" w:themeColor="text1"/>
          <w:sz w:val="32"/>
          <w:szCs w:val="32"/>
          <w14:textFill>
            <w14:solidFill>
              <w14:schemeClr w14:val="tx1"/>
            </w14:solidFill>
          </w14:textFill>
        </w:rPr>
        <w:t>还自行组织了</w:t>
      </w:r>
      <w:r>
        <w:rPr>
          <w:rFonts w:ascii="仿宋" w:hAnsi="仿宋" w:eastAsia="仿宋" w:cs="仿宋"/>
          <w:b/>
          <w:bCs w:val="0"/>
          <w:color w:val="000000" w:themeColor="text1"/>
          <w:sz w:val="32"/>
          <w:szCs w:val="32"/>
          <w14:textFill>
            <w14:solidFill>
              <w14:schemeClr w14:val="tx1"/>
            </w14:solidFill>
          </w14:textFill>
        </w:rPr>
        <w:t>9</w:t>
      </w:r>
      <w:r>
        <w:rPr>
          <w:rFonts w:hint="eastAsia" w:ascii="仿宋" w:hAnsi="仿宋" w:eastAsia="仿宋" w:cs="仿宋"/>
          <w:b/>
          <w:bCs w:val="0"/>
          <w:color w:val="000000" w:themeColor="text1"/>
          <w:sz w:val="32"/>
          <w:szCs w:val="32"/>
          <w14:textFill>
            <w14:solidFill>
              <w14:schemeClr w14:val="tx1"/>
            </w14:solidFill>
          </w14:textFill>
        </w:rPr>
        <w:t>个项目支出绩效评价，从评价情况来</w:t>
      </w:r>
      <w:r>
        <w:rPr>
          <w:rFonts w:hint="eastAsia" w:ascii="仿宋" w:hAnsi="仿宋" w:eastAsia="仿宋" w:cs="仿宋_GB2312"/>
          <w:b/>
          <w:bCs w:val="0"/>
          <w:color w:val="000000" w:themeColor="text1"/>
          <w:sz w:val="32"/>
          <w:szCs w:val="32"/>
          <w14:textFill>
            <w14:solidFill>
              <w14:schemeClr w14:val="tx1"/>
            </w14:solidFill>
          </w14:textFill>
        </w:rPr>
        <w:t>项目</w:t>
      </w:r>
      <w:r>
        <w:rPr>
          <w:rFonts w:hint="eastAsia" w:ascii="仿宋" w:hAnsi="仿宋" w:eastAsia="仿宋" w:cs="仿宋"/>
          <w:b/>
          <w:bCs w:val="0"/>
          <w:color w:val="000000" w:themeColor="text1"/>
          <w:sz w:val="32"/>
          <w:szCs w:val="32"/>
          <w14:textFill>
            <w14:solidFill>
              <w14:schemeClr w14:val="tx1"/>
            </w14:solidFill>
          </w14:textFill>
        </w:rPr>
        <w:t>绩效目标内容完整、细化量化、标准合理与预算匹配。根据主管部门要求对照确定的绩效目标开展绩效自评，在规定时间内完成部门自评并上报。</w:t>
      </w:r>
    </w:p>
    <w:p>
      <w:pPr>
        <w:keepNext w:val="0"/>
        <w:keepLines w:val="0"/>
        <w:pageBreakBefore w:val="0"/>
        <w:widowControl w:val="0"/>
        <w:kinsoku/>
        <w:wordWrap/>
        <w:overflowPunct/>
        <w:topLinePunct w:val="0"/>
        <w:bidi w:val="0"/>
        <w:spacing w:line="560" w:lineRule="exact"/>
        <w:ind w:firstLine="643" w:firstLineChars="200"/>
        <w:jc w:val="left"/>
        <w:textAlignment w:val="auto"/>
        <w:rPr>
          <w:rFonts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1.项目绩效目标完成情况。</w:t>
      </w:r>
    </w:p>
    <w:p>
      <w:pPr>
        <w:keepNext w:val="0"/>
        <w:keepLines w:val="0"/>
        <w:pageBreakBefore w:val="0"/>
        <w:widowControl w:val="0"/>
        <w:kinsoku/>
        <w:wordWrap/>
        <w:overflowPunct/>
        <w:topLinePunct w:val="0"/>
        <w:bidi w:val="0"/>
        <w:spacing w:line="560" w:lineRule="exact"/>
        <w:ind w:firstLine="643" w:firstLineChars="200"/>
        <w:jc w:val="left"/>
        <w:textAlignment w:val="auto"/>
        <w:rPr>
          <w:rFonts w:ascii="仿宋" w:hAnsi="仿宋" w:eastAsia="仿宋" w:cs="仿宋"/>
          <w:b/>
          <w:bCs w:val="0"/>
          <w:color w:val="FF0000"/>
          <w:sz w:val="32"/>
          <w:szCs w:val="32"/>
        </w:rPr>
      </w:pPr>
      <w:r>
        <w:rPr>
          <w:rFonts w:hint="eastAsia" w:ascii="仿宋" w:hAnsi="仿宋" w:eastAsia="仿宋" w:cs="仿宋"/>
          <w:b/>
          <w:bCs w:val="0"/>
          <w:sz w:val="32"/>
          <w:szCs w:val="32"/>
        </w:rPr>
        <w:t>我校在2020年度部门</w:t>
      </w:r>
      <w:r>
        <w:rPr>
          <w:rFonts w:hint="eastAsia" w:ascii="仿宋" w:hAnsi="仿宋" w:eastAsia="仿宋" w:cs="楷体_GB2312"/>
          <w:b/>
          <w:bCs w:val="0"/>
          <w:sz w:val="32"/>
          <w:szCs w:val="32"/>
        </w:rPr>
        <w:t>决算</w:t>
      </w:r>
      <w:r>
        <w:rPr>
          <w:rFonts w:hint="eastAsia" w:ascii="仿宋" w:hAnsi="仿宋" w:eastAsia="仿宋" w:cs="仿宋"/>
          <w:b/>
          <w:bCs w:val="0"/>
          <w:sz w:val="32"/>
          <w:szCs w:val="32"/>
        </w:rPr>
        <w:t>中反映“招生、录取及就业经费</w:t>
      </w:r>
      <w:r>
        <w:rPr>
          <w:rFonts w:ascii="仿宋" w:hAnsi="仿宋" w:eastAsia="仿宋" w:cs="仿宋"/>
          <w:b/>
          <w:bCs w:val="0"/>
          <w:sz w:val="32"/>
          <w:szCs w:val="32"/>
        </w:rPr>
        <w:t>”</w:t>
      </w:r>
      <w:r>
        <w:rPr>
          <w:rFonts w:hint="eastAsia" w:ascii="仿宋" w:hAnsi="仿宋" w:eastAsia="仿宋" w:cs="仿宋"/>
          <w:b/>
          <w:bCs w:val="0"/>
          <w:sz w:val="32"/>
          <w:szCs w:val="32"/>
        </w:rPr>
        <w:t>“对外交流与合作经费”“学生勤工助学困难补助及活动费</w:t>
      </w:r>
      <w:r>
        <w:rPr>
          <w:rFonts w:ascii="仿宋" w:hAnsi="仿宋" w:eastAsia="仿宋" w:cs="仿宋"/>
          <w:b/>
          <w:bCs w:val="0"/>
          <w:sz w:val="32"/>
          <w:szCs w:val="32"/>
        </w:rPr>
        <w:t>”</w:t>
      </w:r>
      <w:r>
        <w:rPr>
          <w:rFonts w:hint="eastAsia" w:ascii="仿宋" w:hAnsi="仿宋" w:eastAsia="仿宋" w:cs="仿宋"/>
          <w:b/>
          <w:bCs w:val="0"/>
          <w:sz w:val="32"/>
          <w:szCs w:val="32"/>
        </w:rPr>
        <w:t>等</w:t>
      </w:r>
      <w:r>
        <w:rPr>
          <w:rFonts w:ascii="仿宋" w:hAnsi="仿宋" w:eastAsia="仿宋" w:cs="仿宋"/>
          <w:b/>
          <w:bCs w:val="0"/>
          <w:sz w:val="32"/>
          <w:szCs w:val="32"/>
        </w:rPr>
        <w:t>9</w:t>
      </w:r>
      <w:r>
        <w:rPr>
          <w:rFonts w:hint="eastAsia" w:ascii="仿宋" w:hAnsi="仿宋" w:eastAsia="仿宋" w:cs="仿宋"/>
          <w:b/>
          <w:bCs w:val="0"/>
          <w:sz w:val="32"/>
          <w:szCs w:val="32"/>
        </w:rPr>
        <w:t>个项目绩效目标实际完成情况。</w:t>
      </w:r>
    </w:p>
    <w:p>
      <w:pPr>
        <w:keepNext w:val="0"/>
        <w:keepLines w:val="0"/>
        <w:pageBreakBefore w:val="0"/>
        <w:widowControl w:val="0"/>
        <w:kinsoku/>
        <w:wordWrap/>
        <w:overflowPunct/>
        <w:topLinePunct w:val="0"/>
        <w:bidi w:val="0"/>
        <w:snapToGrid w:val="0"/>
        <w:spacing w:line="560" w:lineRule="exact"/>
        <w:ind w:firstLine="643" w:firstLineChars="200"/>
        <w:textAlignment w:val="auto"/>
        <w:rPr>
          <w:rFonts w:ascii="仿宋" w:hAnsi="仿宋" w:eastAsia="仿宋" w:cs="仿宋"/>
          <w:b/>
          <w:bCs w:val="0"/>
          <w:sz w:val="32"/>
          <w:szCs w:val="32"/>
        </w:rPr>
      </w:pPr>
      <w:r>
        <w:rPr>
          <w:rFonts w:hint="eastAsia" w:ascii="仿宋" w:hAnsi="仿宋" w:eastAsia="仿宋" w:cs="仿宋"/>
          <w:b/>
          <w:bCs w:val="0"/>
          <w:sz w:val="32"/>
          <w:szCs w:val="32"/>
        </w:rPr>
        <w:t>（1）招生、录取及就业经费项目绩效目标完成情况综述。项目全年预算数</w:t>
      </w:r>
      <w:r>
        <w:rPr>
          <w:rFonts w:ascii="仿宋" w:hAnsi="仿宋" w:eastAsia="仿宋" w:cs="仿宋"/>
          <w:b/>
          <w:bCs w:val="0"/>
          <w:sz w:val="32"/>
          <w:szCs w:val="32"/>
        </w:rPr>
        <w:t>149.6</w:t>
      </w:r>
      <w:r>
        <w:rPr>
          <w:rFonts w:hint="eastAsia" w:ascii="仿宋" w:hAnsi="仿宋" w:eastAsia="仿宋" w:cs="仿宋"/>
          <w:b/>
          <w:bCs w:val="0"/>
          <w:sz w:val="32"/>
          <w:szCs w:val="32"/>
        </w:rPr>
        <w:t>万元，执行数为</w:t>
      </w:r>
      <w:r>
        <w:rPr>
          <w:rFonts w:ascii="仿宋" w:hAnsi="仿宋" w:eastAsia="仿宋" w:cs="仿宋"/>
          <w:b/>
          <w:bCs w:val="0"/>
          <w:sz w:val="32"/>
          <w:szCs w:val="32"/>
        </w:rPr>
        <w:t>131.61</w:t>
      </w:r>
      <w:r>
        <w:rPr>
          <w:rFonts w:hint="eastAsia" w:ascii="仿宋" w:hAnsi="仿宋" w:eastAsia="仿宋" w:cs="仿宋"/>
          <w:b/>
          <w:bCs w:val="0"/>
          <w:sz w:val="32"/>
          <w:szCs w:val="32"/>
        </w:rPr>
        <w:t>万元，完成预算的</w:t>
      </w:r>
      <w:r>
        <w:rPr>
          <w:rFonts w:ascii="仿宋" w:hAnsi="仿宋" w:eastAsia="仿宋" w:cs="仿宋"/>
          <w:b/>
          <w:bCs w:val="0"/>
          <w:sz w:val="32"/>
          <w:szCs w:val="32"/>
        </w:rPr>
        <w:t>87.97</w:t>
      </w:r>
      <w:r>
        <w:rPr>
          <w:rFonts w:hint="eastAsia" w:ascii="仿宋" w:hAnsi="仿宋" w:eastAsia="仿宋" w:cs="仿宋"/>
          <w:b/>
          <w:bCs w:val="0"/>
          <w:sz w:val="32"/>
          <w:szCs w:val="32"/>
        </w:rPr>
        <w:t>%。通过项目实施，促进开展招生宣传、录取、就业相关资料发布、开展毕业生就业质量跟踪调查、生源与招生质量跟踪评价服务、开展招生宣传服务、开展毕业生大型展选会。发现的主要问题：经费测算不够准确。下一步改进措施：进一步提高经费测算准确性。</w:t>
      </w:r>
    </w:p>
    <w:tbl>
      <w:tblPr>
        <w:tblStyle w:val="12"/>
        <w:tblpPr w:leftFromText="180" w:rightFromText="180" w:vertAnchor="text" w:horzAnchor="page" w:tblpXSpec="center" w:tblpY="423"/>
        <w:tblOverlap w:val="never"/>
        <w:tblW w:w="9060" w:type="dxa"/>
        <w:jc w:val="center"/>
        <w:tblLayout w:type="fixed"/>
        <w:tblCellMar>
          <w:top w:w="0" w:type="dxa"/>
          <w:left w:w="0" w:type="dxa"/>
          <w:bottom w:w="0" w:type="dxa"/>
          <w:right w:w="0" w:type="dxa"/>
        </w:tblCellMar>
      </w:tblPr>
      <w:tblGrid>
        <w:gridCol w:w="728"/>
        <w:gridCol w:w="869"/>
        <w:gridCol w:w="871"/>
        <w:gridCol w:w="2237"/>
        <w:gridCol w:w="2177"/>
        <w:gridCol w:w="2178"/>
      </w:tblGrid>
      <w:tr>
        <w:tblPrEx>
          <w:tblCellMar>
            <w:top w:w="0" w:type="dxa"/>
            <w:left w:w="0" w:type="dxa"/>
            <w:bottom w:w="0" w:type="dxa"/>
            <w:right w:w="0" w:type="dxa"/>
          </w:tblCellMar>
        </w:tblPrEx>
        <w:trPr>
          <w:trHeight w:val="1282" w:hRule="atLeast"/>
          <w:jc w:val="center"/>
        </w:trPr>
        <w:tc>
          <w:tcPr>
            <w:tcW w:w="90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kern w:val="0"/>
                <w:sz w:val="36"/>
                <w:szCs w:val="36"/>
              </w:rPr>
            </w:pPr>
            <w:r>
              <w:rPr>
                <w:rFonts w:hint="eastAsia" w:ascii="宋体" w:hAnsi="宋体" w:cs="宋体"/>
                <w:b/>
                <w:bCs/>
                <w:kern w:val="0"/>
                <w:sz w:val="36"/>
                <w:szCs w:val="36"/>
              </w:rPr>
              <w:t>项目绩效目标完成情况表</w:t>
            </w:r>
            <w:r>
              <w:rPr>
                <w:rFonts w:hint="eastAsia" w:ascii="宋体" w:hAnsi="宋体" w:cs="宋体"/>
                <w:b/>
                <w:bCs/>
                <w:kern w:val="0"/>
                <w:sz w:val="36"/>
                <w:szCs w:val="36"/>
              </w:rPr>
              <w:br w:type="textWrapping"/>
            </w:r>
            <w:r>
              <w:rPr>
                <w:rFonts w:hint="eastAsia" w:ascii="宋体" w:hAnsi="宋体" w:cs="宋体"/>
                <w:kern w:val="0"/>
                <w:sz w:val="36"/>
                <w:szCs w:val="36"/>
              </w:rPr>
              <w:t>(2020年度)</w:t>
            </w:r>
          </w:p>
        </w:tc>
      </w:tr>
      <w:tr>
        <w:tblPrEx>
          <w:tblCellMar>
            <w:top w:w="0" w:type="dxa"/>
            <w:left w:w="0" w:type="dxa"/>
            <w:bottom w:w="0" w:type="dxa"/>
            <w:right w:w="0" w:type="dxa"/>
          </w:tblCellMar>
        </w:tblPrEx>
        <w:trPr>
          <w:trHeight w:val="557" w:hRule="atLeast"/>
          <w:jc w:val="center"/>
        </w:trPr>
        <w:tc>
          <w:tcPr>
            <w:tcW w:w="246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项目名称</w:t>
            </w:r>
          </w:p>
        </w:tc>
        <w:tc>
          <w:tcPr>
            <w:tcW w:w="6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招生、录取及就业经费</w:t>
            </w:r>
          </w:p>
        </w:tc>
      </w:tr>
      <w:tr>
        <w:tblPrEx>
          <w:tblCellMar>
            <w:top w:w="0" w:type="dxa"/>
            <w:left w:w="0" w:type="dxa"/>
            <w:bottom w:w="0" w:type="dxa"/>
            <w:right w:w="0" w:type="dxa"/>
          </w:tblCellMar>
        </w:tblPrEx>
        <w:trPr>
          <w:trHeight w:val="512" w:hRule="atLeast"/>
          <w:jc w:val="center"/>
        </w:trPr>
        <w:tc>
          <w:tcPr>
            <w:tcW w:w="246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预算单位</w:t>
            </w:r>
          </w:p>
        </w:tc>
        <w:tc>
          <w:tcPr>
            <w:tcW w:w="65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四川文化产业职业学院（四川省干部函授学院）</w:t>
            </w:r>
          </w:p>
        </w:tc>
      </w:tr>
      <w:tr>
        <w:tblPrEx>
          <w:tblCellMar>
            <w:top w:w="0" w:type="dxa"/>
            <w:left w:w="0" w:type="dxa"/>
            <w:bottom w:w="0" w:type="dxa"/>
            <w:right w:w="0" w:type="dxa"/>
          </w:tblCellMar>
        </w:tblPrEx>
        <w:trPr>
          <w:trHeight w:val="527"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预算执行情况(万元)</w:t>
            </w:r>
          </w:p>
        </w:tc>
        <w:tc>
          <w:tcPr>
            <w:tcW w:w="17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预算数:</w:t>
            </w:r>
          </w:p>
        </w:tc>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149.6</w:t>
            </w:r>
          </w:p>
        </w:tc>
        <w:tc>
          <w:tcPr>
            <w:tcW w:w="2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执行数:</w:t>
            </w:r>
          </w:p>
        </w:tc>
        <w:tc>
          <w:tcPr>
            <w:tcW w:w="21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131.61</w:t>
            </w:r>
          </w:p>
        </w:tc>
      </w:tr>
      <w:tr>
        <w:tblPrEx>
          <w:tblCellMar>
            <w:top w:w="0" w:type="dxa"/>
            <w:left w:w="0" w:type="dxa"/>
            <w:bottom w:w="0" w:type="dxa"/>
            <w:right w:w="0" w:type="dxa"/>
          </w:tblCellMar>
        </w:tblPrEx>
        <w:trPr>
          <w:trHeight w:val="602"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7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113.0</w:t>
            </w:r>
          </w:p>
        </w:tc>
        <w:tc>
          <w:tcPr>
            <w:tcW w:w="2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1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108.4</w:t>
            </w:r>
          </w:p>
        </w:tc>
      </w:tr>
      <w:tr>
        <w:tblPrEx>
          <w:tblCellMar>
            <w:top w:w="0" w:type="dxa"/>
            <w:left w:w="0" w:type="dxa"/>
            <w:bottom w:w="0" w:type="dxa"/>
            <w:right w:w="0" w:type="dxa"/>
          </w:tblCellMar>
        </w:tblPrEx>
        <w:trPr>
          <w:trHeight w:val="714"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74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36.6</w:t>
            </w:r>
          </w:p>
        </w:tc>
        <w:tc>
          <w:tcPr>
            <w:tcW w:w="2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1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ascii="宋体" w:hAnsi="宋体" w:cs="宋体"/>
                <w:sz w:val="24"/>
              </w:rPr>
              <w:t>23.21</w:t>
            </w:r>
          </w:p>
        </w:tc>
      </w:tr>
      <w:tr>
        <w:tblPrEx>
          <w:tblCellMar>
            <w:top w:w="0" w:type="dxa"/>
            <w:left w:w="0" w:type="dxa"/>
            <w:bottom w:w="0" w:type="dxa"/>
            <w:right w:w="0" w:type="dxa"/>
          </w:tblCellMar>
        </w:tblPrEx>
        <w:trPr>
          <w:trHeight w:val="617" w:hRule="atLeast"/>
          <w:jc w:val="center"/>
        </w:trPr>
        <w:tc>
          <w:tcPr>
            <w:tcW w:w="7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3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预期目标</w:t>
            </w:r>
          </w:p>
        </w:tc>
        <w:tc>
          <w:tcPr>
            <w:tcW w:w="43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7460" w:hRule="atLeast"/>
          <w:jc w:val="center"/>
        </w:trPr>
        <w:tc>
          <w:tcPr>
            <w:tcW w:w="7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397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sz w:val="24"/>
              </w:rPr>
            </w:pPr>
            <w:r>
              <w:rPr>
                <w:rFonts w:hint="eastAsia" w:ascii="宋体" w:hAnsi="宋体" w:cs="宋体"/>
                <w:sz w:val="24"/>
              </w:rPr>
              <w:t>根据《中共四川省委、四川省人民政府关于印发&lt;四川省中长期教育改革和发展规划纲要（2010—2020年）&gt;的通知》(川委发〔2010〕18号)、《四川省教育厅关于实施四川省优质高等职业院校建设计划的通知》（川教函[2017]418号）文件规定开展相关工作《高等学校勤工助学管理办法》（教材[2007]7号0和 团中央最新规定，高效应按不少于200元/生/年 学生日常活动费)，用于印制招生宣传、录取、就业相关资料；开展毕业生就业质量跟踪调查、生源与招生质量跟踪评价服务；以各种形式开展招生宣传服务，具体包括：网站宣传、手机网站、巡展、咨询会、报刊（书刊）、展板、新媒体宣传服务；按照学校要求开展毕业生大型展选会</w:t>
            </w:r>
          </w:p>
        </w:tc>
        <w:tc>
          <w:tcPr>
            <w:tcW w:w="43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sz w:val="24"/>
              </w:rPr>
            </w:pPr>
            <w:r>
              <w:rPr>
                <w:rFonts w:hint="eastAsia" w:ascii="宋体" w:hAnsi="宋体" w:cs="宋体"/>
                <w:sz w:val="24"/>
              </w:rPr>
              <w:t>开展招生宣传、录取、就业相关资料；开展毕业生就业质量跟踪调查、生源与招生质量跟踪评价服务；开展招生宣传服务，开展毕业生大型展选会。</w:t>
            </w:r>
          </w:p>
        </w:tc>
      </w:tr>
      <w:tr>
        <w:tblPrEx>
          <w:tblCellMar>
            <w:top w:w="0" w:type="dxa"/>
            <w:left w:w="0" w:type="dxa"/>
            <w:bottom w:w="0" w:type="dxa"/>
            <w:right w:w="0" w:type="dxa"/>
          </w:tblCellMar>
        </w:tblPrEx>
        <w:trPr>
          <w:trHeight w:val="828" w:hRule="atLeast"/>
          <w:jc w:val="center"/>
        </w:trPr>
        <w:tc>
          <w:tcPr>
            <w:tcW w:w="72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一级</w:t>
            </w:r>
          </w:p>
          <w:p>
            <w:pPr>
              <w:widowControl/>
              <w:jc w:val="center"/>
              <w:textAlignment w:val="center"/>
              <w:rPr>
                <w:rFonts w:ascii="宋体" w:hAnsi="宋体" w:cs="宋体"/>
                <w:sz w:val="24"/>
              </w:rPr>
            </w:pPr>
            <w:r>
              <w:rPr>
                <w:rFonts w:hint="eastAsia" w:ascii="宋体" w:hAnsi="宋体" w:cs="宋体"/>
                <w:kern w:val="0"/>
                <w:sz w:val="24"/>
              </w:rPr>
              <w:t>指标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二级</w:t>
            </w:r>
          </w:p>
          <w:p>
            <w:pPr>
              <w:widowControl/>
              <w:jc w:val="center"/>
              <w:textAlignment w:val="center"/>
              <w:rPr>
                <w:rFonts w:ascii="宋体" w:hAnsi="宋体" w:cs="宋体"/>
                <w:sz w:val="24"/>
              </w:rPr>
            </w:pPr>
            <w:r>
              <w:rPr>
                <w:rFonts w:hint="eastAsia" w:ascii="宋体" w:hAnsi="宋体" w:cs="宋体"/>
                <w:kern w:val="0"/>
                <w:sz w:val="24"/>
              </w:rPr>
              <w:t>指标</w:t>
            </w:r>
          </w:p>
        </w:tc>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三级指标</w:t>
            </w:r>
          </w:p>
        </w:tc>
        <w:tc>
          <w:tcPr>
            <w:tcW w:w="2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预期指标值(包含数字及文字描述)</w:t>
            </w:r>
          </w:p>
        </w:tc>
        <w:tc>
          <w:tcPr>
            <w:tcW w:w="21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实际完成指标值(包含数字及文字描述)</w:t>
            </w:r>
          </w:p>
        </w:tc>
      </w:tr>
      <w:tr>
        <w:tblPrEx>
          <w:tblCellMar>
            <w:top w:w="0" w:type="dxa"/>
            <w:left w:w="0" w:type="dxa"/>
            <w:bottom w:w="0" w:type="dxa"/>
            <w:right w:w="0" w:type="dxa"/>
          </w:tblCellMar>
        </w:tblPrEx>
        <w:trPr>
          <w:trHeight w:val="992" w:hRule="atLeast"/>
          <w:jc w:val="center"/>
        </w:trPr>
        <w:tc>
          <w:tcPr>
            <w:tcW w:w="72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项目</w:t>
            </w:r>
          </w:p>
          <w:p>
            <w:pPr>
              <w:widowControl/>
              <w:jc w:val="center"/>
              <w:textAlignment w:val="center"/>
              <w:rPr>
                <w:rFonts w:hint="eastAsia" w:ascii="宋体" w:hAnsi="宋体" w:cs="宋体"/>
                <w:kern w:val="0"/>
                <w:sz w:val="24"/>
              </w:rPr>
            </w:pPr>
            <w:r>
              <w:rPr>
                <w:rFonts w:hint="eastAsia" w:ascii="宋体" w:hAnsi="宋体" w:cs="宋体"/>
                <w:kern w:val="0"/>
                <w:sz w:val="24"/>
              </w:rPr>
              <w:t>完成</w:t>
            </w:r>
          </w:p>
          <w:p>
            <w:pPr>
              <w:widowControl/>
              <w:jc w:val="center"/>
              <w:textAlignment w:val="center"/>
              <w:rPr>
                <w:rFonts w:ascii="宋体" w:hAnsi="宋体" w:cs="宋体"/>
                <w:sz w:val="24"/>
              </w:rPr>
            </w:pPr>
            <w:r>
              <w:rPr>
                <w:rFonts w:hint="eastAsia" w:ascii="宋体" w:hAnsi="宋体" w:cs="宋体"/>
                <w:kern w:val="0"/>
                <w:sz w:val="24"/>
              </w:rPr>
              <w:t>指标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2020年录取新生</w:t>
            </w:r>
          </w:p>
        </w:tc>
        <w:tc>
          <w:tcPr>
            <w:tcW w:w="2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3200</w:t>
            </w:r>
          </w:p>
        </w:tc>
        <w:tc>
          <w:tcPr>
            <w:tcW w:w="21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3475</w:t>
            </w:r>
          </w:p>
        </w:tc>
      </w:tr>
      <w:tr>
        <w:tblPrEx>
          <w:tblCellMar>
            <w:top w:w="0" w:type="dxa"/>
            <w:left w:w="0" w:type="dxa"/>
            <w:bottom w:w="0" w:type="dxa"/>
            <w:right w:w="0" w:type="dxa"/>
          </w:tblCellMar>
        </w:tblPrEx>
        <w:trPr>
          <w:trHeight w:val="1022" w:hRule="atLeast"/>
          <w:jc w:val="center"/>
        </w:trPr>
        <w:tc>
          <w:tcPr>
            <w:tcW w:w="72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项目</w:t>
            </w:r>
          </w:p>
          <w:p>
            <w:pPr>
              <w:widowControl/>
              <w:jc w:val="center"/>
              <w:textAlignment w:val="center"/>
              <w:rPr>
                <w:rFonts w:hint="eastAsia" w:ascii="宋体" w:hAnsi="宋体" w:cs="宋体"/>
                <w:kern w:val="0"/>
                <w:sz w:val="24"/>
              </w:rPr>
            </w:pPr>
            <w:r>
              <w:rPr>
                <w:rFonts w:hint="eastAsia" w:ascii="宋体" w:hAnsi="宋体" w:cs="宋体"/>
                <w:kern w:val="0"/>
                <w:sz w:val="24"/>
              </w:rPr>
              <w:t>完成</w:t>
            </w:r>
          </w:p>
          <w:p>
            <w:pPr>
              <w:widowControl/>
              <w:jc w:val="center"/>
              <w:textAlignment w:val="center"/>
              <w:rPr>
                <w:rFonts w:ascii="宋体" w:hAnsi="宋体" w:cs="宋体"/>
                <w:sz w:val="24"/>
              </w:rPr>
            </w:pPr>
            <w:r>
              <w:rPr>
                <w:rFonts w:hint="eastAsia" w:ascii="宋体" w:hAnsi="宋体" w:cs="宋体"/>
                <w:kern w:val="0"/>
                <w:sz w:val="24"/>
              </w:rPr>
              <w:t>指标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举办就业指导讲座</w:t>
            </w:r>
          </w:p>
        </w:tc>
        <w:tc>
          <w:tcPr>
            <w:tcW w:w="2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w:t>
            </w:r>
          </w:p>
        </w:tc>
        <w:tc>
          <w:tcPr>
            <w:tcW w:w="21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w:t>
            </w:r>
          </w:p>
        </w:tc>
      </w:tr>
      <w:tr>
        <w:tblPrEx>
          <w:tblCellMar>
            <w:top w:w="0" w:type="dxa"/>
            <w:left w:w="0" w:type="dxa"/>
            <w:bottom w:w="0" w:type="dxa"/>
            <w:right w:w="0" w:type="dxa"/>
          </w:tblCellMar>
        </w:tblPrEx>
        <w:trPr>
          <w:trHeight w:val="1018" w:hRule="atLeast"/>
          <w:jc w:val="center"/>
        </w:trPr>
        <w:tc>
          <w:tcPr>
            <w:tcW w:w="72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项目</w:t>
            </w:r>
          </w:p>
          <w:p>
            <w:pPr>
              <w:widowControl/>
              <w:jc w:val="center"/>
              <w:textAlignment w:val="center"/>
              <w:rPr>
                <w:rFonts w:hint="eastAsia" w:ascii="宋体" w:hAnsi="宋体" w:cs="宋体"/>
                <w:kern w:val="0"/>
                <w:sz w:val="24"/>
              </w:rPr>
            </w:pPr>
            <w:r>
              <w:rPr>
                <w:rFonts w:hint="eastAsia" w:ascii="宋体" w:hAnsi="宋体" w:cs="宋体"/>
                <w:kern w:val="0"/>
                <w:sz w:val="24"/>
              </w:rPr>
              <w:t>完成</w:t>
            </w:r>
          </w:p>
          <w:p>
            <w:pPr>
              <w:widowControl/>
              <w:jc w:val="center"/>
              <w:textAlignment w:val="center"/>
              <w:rPr>
                <w:rFonts w:ascii="宋体" w:hAnsi="宋体" w:cs="宋体"/>
                <w:sz w:val="24"/>
              </w:rPr>
            </w:pPr>
            <w:r>
              <w:rPr>
                <w:rFonts w:hint="eastAsia" w:ascii="宋体" w:hAnsi="宋体" w:cs="宋体"/>
                <w:kern w:val="0"/>
                <w:sz w:val="24"/>
              </w:rPr>
              <w:t>指标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组织大中型招聘会</w:t>
            </w:r>
          </w:p>
        </w:tc>
        <w:tc>
          <w:tcPr>
            <w:tcW w:w="2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w:t>
            </w:r>
          </w:p>
        </w:tc>
        <w:tc>
          <w:tcPr>
            <w:tcW w:w="21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w:t>
            </w:r>
          </w:p>
        </w:tc>
      </w:tr>
      <w:tr>
        <w:tblPrEx>
          <w:tblCellMar>
            <w:top w:w="0" w:type="dxa"/>
            <w:left w:w="0" w:type="dxa"/>
            <w:bottom w:w="0" w:type="dxa"/>
            <w:right w:w="0" w:type="dxa"/>
          </w:tblCellMar>
        </w:tblPrEx>
        <w:trPr>
          <w:trHeight w:val="1003" w:hRule="atLeast"/>
          <w:jc w:val="center"/>
        </w:trPr>
        <w:tc>
          <w:tcPr>
            <w:tcW w:w="72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项目</w:t>
            </w:r>
          </w:p>
          <w:p>
            <w:pPr>
              <w:widowControl/>
              <w:jc w:val="center"/>
              <w:textAlignment w:val="center"/>
              <w:rPr>
                <w:rFonts w:hint="eastAsia" w:ascii="宋体" w:hAnsi="宋体" w:cs="宋体"/>
                <w:kern w:val="0"/>
                <w:sz w:val="24"/>
              </w:rPr>
            </w:pPr>
            <w:r>
              <w:rPr>
                <w:rFonts w:hint="eastAsia" w:ascii="宋体" w:hAnsi="宋体" w:cs="宋体"/>
                <w:kern w:val="0"/>
                <w:sz w:val="24"/>
              </w:rPr>
              <w:t>完成</w:t>
            </w:r>
          </w:p>
          <w:p>
            <w:pPr>
              <w:widowControl/>
              <w:jc w:val="center"/>
              <w:textAlignment w:val="center"/>
              <w:rPr>
                <w:rFonts w:ascii="宋体" w:hAnsi="宋体" w:cs="宋体"/>
                <w:kern w:val="0"/>
                <w:sz w:val="24"/>
              </w:rPr>
            </w:pPr>
            <w:r>
              <w:rPr>
                <w:rFonts w:hint="eastAsia" w:ascii="宋体" w:hAnsi="宋体" w:cs="宋体"/>
                <w:kern w:val="0"/>
                <w:sz w:val="24"/>
              </w:rPr>
              <w:t>指标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时效</w:t>
            </w:r>
          </w:p>
          <w:p>
            <w:pPr>
              <w:widowControl/>
              <w:jc w:val="center"/>
              <w:textAlignment w:val="center"/>
              <w:rPr>
                <w:rFonts w:ascii="宋体" w:hAnsi="宋体" w:cs="宋体"/>
                <w:sz w:val="24"/>
              </w:rPr>
            </w:pPr>
            <w:r>
              <w:rPr>
                <w:rFonts w:hint="eastAsia" w:ascii="宋体" w:hAnsi="宋体" w:cs="宋体"/>
                <w:sz w:val="24"/>
              </w:rPr>
              <w:t>指标</w:t>
            </w:r>
          </w:p>
        </w:tc>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完成时限</w:t>
            </w:r>
          </w:p>
        </w:tc>
        <w:tc>
          <w:tcPr>
            <w:tcW w:w="2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2020年12月</w:t>
            </w:r>
          </w:p>
        </w:tc>
        <w:tc>
          <w:tcPr>
            <w:tcW w:w="21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2020年12月</w:t>
            </w:r>
          </w:p>
        </w:tc>
      </w:tr>
      <w:tr>
        <w:tblPrEx>
          <w:tblCellMar>
            <w:top w:w="0" w:type="dxa"/>
            <w:left w:w="0" w:type="dxa"/>
            <w:bottom w:w="0" w:type="dxa"/>
            <w:right w:w="0" w:type="dxa"/>
          </w:tblCellMar>
        </w:tblPrEx>
        <w:trPr>
          <w:trHeight w:val="743" w:hRule="atLeast"/>
          <w:jc w:val="center"/>
        </w:trPr>
        <w:tc>
          <w:tcPr>
            <w:tcW w:w="72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效益</w:t>
            </w:r>
          </w:p>
          <w:p>
            <w:pPr>
              <w:widowControl/>
              <w:jc w:val="center"/>
              <w:textAlignment w:val="center"/>
              <w:rPr>
                <w:rFonts w:ascii="宋体" w:hAnsi="宋体" w:cs="宋体"/>
                <w:sz w:val="24"/>
              </w:rPr>
            </w:pPr>
            <w:r>
              <w:rPr>
                <w:rFonts w:hint="eastAsia" w:ascii="宋体" w:hAnsi="宋体" w:cs="宋体"/>
                <w:kern w:val="0"/>
                <w:sz w:val="24"/>
              </w:rPr>
              <w:t>指标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新生报到率</w:t>
            </w:r>
          </w:p>
        </w:tc>
        <w:tc>
          <w:tcPr>
            <w:tcW w:w="2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85%</w:t>
            </w:r>
          </w:p>
        </w:tc>
        <w:tc>
          <w:tcPr>
            <w:tcW w:w="21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85%</w:t>
            </w:r>
          </w:p>
        </w:tc>
      </w:tr>
      <w:tr>
        <w:tblPrEx>
          <w:tblCellMar>
            <w:top w:w="0" w:type="dxa"/>
            <w:left w:w="0" w:type="dxa"/>
            <w:bottom w:w="0" w:type="dxa"/>
            <w:right w:w="0" w:type="dxa"/>
          </w:tblCellMar>
        </w:tblPrEx>
        <w:trPr>
          <w:trHeight w:val="792" w:hRule="atLeast"/>
          <w:jc w:val="center"/>
        </w:trPr>
        <w:tc>
          <w:tcPr>
            <w:tcW w:w="72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效益</w:t>
            </w:r>
          </w:p>
          <w:p>
            <w:pPr>
              <w:widowControl/>
              <w:jc w:val="center"/>
              <w:textAlignment w:val="center"/>
              <w:rPr>
                <w:rFonts w:ascii="宋体" w:hAnsi="宋体" w:cs="宋体"/>
                <w:sz w:val="24"/>
              </w:rPr>
            </w:pPr>
            <w:r>
              <w:rPr>
                <w:rFonts w:hint="eastAsia" w:ascii="宋体" w:hAnsi="宋体" w:cs="宋体"/>
                <w:kern w:val="0"/>
                <w:sz w:val="24"/>
              </w:rPr>
              <w:t>指标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毕业生就业率</w:t>
            </w:r>
          </w:p>
        </w:tc>
        <w:tc>
          <w:tcPr>
            <w:tcW w:w="2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91%</w:t>
            </w:r>
          </w:p>
        </w:tc>
        <w:tc>
          <w:tcPr>
            <w:tcW w:w="21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91%</w:t>
            </w:r>
          </w:p>
        </w:tc>
      </w:tr>
      <w:tr>
        <w:tblPrEx>
          <w:tblCellMar>
            <w:top w:w="0" w:type="dxa"/>
            <w:left w:w="0" w:type="dxa"/>
            <w:bottom w:w="0" w:type="dxa"/>
            <w:right w:w="0" w:type="dxa"/>
          </w:tblCellMar>
        </w:tblPrEx>
        <w:trPr>
          <w:trHeight w:val="796" w:hRule="atLeast"/>
          <w:jc w:val="center"/>
        </w:trPr>
        <w:tc>
          <w:tcPr>
            <w:tcW w:w="72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满意度指标</w:t>
            </w:r>
          </w:p>
        </w:tc>
        <w:tc>
          <w:tcPr>
            <w:tcW w:w="8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满意度指标</w:t>
            </w:r>
          </w:p>
        </w:tc>
        <w:tc>
          <w:tcPr>
            <w:tcW w:w="22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学生满意度</w:t>
            </w:r>
          </w:p>
        </w:tc>
        <w:tc>
          <w:tcPr>
            <w:tcW w:w="2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95</w:t>
            </w:r>
            <w:r>
              <w:rPr>
                <w:rFonts w:ascii="宋体" w:hAnsi="宋体" w:cs="宋体"/>
                <w:sz w:val="24"/>
              </w:rPr>
              <w:t>%</w:t>
            </w:r>
          </w:p>
        </w:tc>
        <w:tc>
          <w:tcPr>
            <w:tcW w:w="21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95%</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textAlignment w:val="auto"/>
        <w:rPr>
          <w:rFonts w:hint="eastAsia" w:ascii="仿宋" w:hAnsi="仿宋" w:eastAsia="仿宋" w:cs="仿宋"/>
          <w:sz w:val="32"/>
          <w:szCs w:val="32"/>
        </w:rPr>
      </w:pPr>
    </w:p>
    <w:p>
      <w:pPr>
        <w:snapToGrid w:val="0"/>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w:t>
      </w:r>
      <w:bookmarkStart w:id="49" w:name="_Hlk81416144"/>
      <w:r>
        <w:rPr>
          <w:rFonts w:hint="eastAsia" w:ascii="仿宋" w:hAnsi="仿宋" w:eastAsia="仿宋" w:cs="仿宋"/>
          <w:b/>
          <w:bCs/>
          <w:sz w:val="32"/>
          <w:szCs w:val="32"/>
        </w:rPr>
        <w:t>对外交流与合作经费</w:t>
      </w:r>
      <w:bookmarkEnd w:id="49"/>
      <w:r>
        <w:rPr>
          <w:rFonts w:hint="eastAsia" w:ascii="仿宋" w:hAnsi="仿宋" w:eastAsia="仿宋" w:cs="仿宋"/>
          <w:b/>
          <w:bCs/>
          <w:sz w:val="32"/>
          <w:szCs w:val="32"/>
        </w:rPr>
        <w:t>项目绩效目标完成情况综述。项目全年预算数</w:t>
      </w:r>
      <w:r>
        <w:rPr>
          <w:rFonts w:ascii="仿宋" w:hAnsi="仿宋" w:eastAsia="仿宋" w:cs="仿宋"/>
          <w:b/>
          <w:bCs/>
          <w:sz w:val="32"/>
          <w:szCs w:val="32"/>
        </w:rPr>
        <w:t>694.8</w:t>
      </w:r>
      <w:r>
        <w:rPr>
          <w:rFonts w:hint="eastAsia" w:ascii="仿宋" w:hAnsi="仿宋" w:eastAsia="仿宋" w:cs="仿宋"/>
          <w:b/>
          <w:bCs/>
          <w:sz w:val="32"/>
          <w:szCs w:val="32"/>
        </w:rPr>
        <w:t>万元，执行数为</w:t>
      </w:r>
      <w:r>
        <w:rPr>
          <w:rFonts w:ascii="仿宋" w:hAnsi="仿宋" w:eastAsia="仿宋" w:cs="仿宋"/>
          <w:b/>
          <w:bCs/>
          <w:sz w:val="32"/>
          <w:szCs w:val="32"/>
        </w:rPr>
        <w:t>472</w:t>
      </w:r>
      <w:r>
        <w:rPr>
          <w:rFonts w:hint="eastAsia" w:ascii="仿宋" w:hAnsi="仿宋" w:eastAsia="仿宋" w:cs="仿宋"/>
          <w:b/>
          <w:bCs/>
          <w:sz w:val="32"/>
          <w:szCs w:val="32"/>
        </w:rPr>
        <w:t>万元，完成预算的</w:t>
      </w:r>
      <w:r>
        <w:rPr>
          <w:rFonts w:ascii="仿宋" w:hAnsi="仿宋" w:eastAsia="仿宋" w:cs="仿宋"/>
          <w:b/>
          <w:bCs/>
          <w:sz w:val="32"/>
          <w:szCs w:val="32"/>
        </w:rPr>
        <w:t>67.93</w:t>
      </w:r>
      <w:r>
        <w:rPr>
          <w:rFonts w:hint="eastAsia" w:ascii="仿宋" w:hAnsi="仿宋" w:eastAsia="仿宋" w:cs="仿宋"/>
          <w:b/>
          <w:bCs/>
          <w:sz w:val="32"/>
          <w:szCs w:val="32"/>
        </w:rPr>
        <w:t>%。通过项目实施，2020年我校对外影响提高，对外交流合作机会增加，对外交流合作交流活动的宣传效果良加强学校廉政风险防控工作，党建工作和统战工作有所加强。发现的主要问题：项目规划不尽合理，经费测算不够准确。下一步改进措施：进一步加强项目立项工作，提高经费测算准确性。</w:t>
      </w:r>
    </w:p>
    <w:tbl>
      <w:tblPr>
        <w:tblStyle w:val="12"/>
        <w:tblpPr w:leftFromText="180" w:rightFromText="180" w:vertAnchor="text" w:horzAnchor="page" w:tblpXSpec="center" w:tblpY="423"/>
        <w:tblOverlap w:val="never"/>
        <w:tblW w:w="9361" w:type="dxa"/>
        <w:jc w:val="center"/>
        <w:tblLayout w:type="fixed"/>
        <w:tblCellMar>
          <w:top w:w="0" w:type="dxa"/>
          <w:left w:w="0" w:type="dxa"/>
          <w:bottom w:w="0" w:type="dxa"/>
          <w:right w:w="0" w:type="dxa"/>
        </w:tblCellMar>
      </w:tblPr>
      <w:tblGrid>
        <w:gridCol w:w="609"/>
        <w:gridCol w:w="810"/>
        <w:gridCol w:w="870"/>
        <w:gridCol w:w="2571"/>
        <w:gridCol w:w="2249"/>
        <w:gridCol w:w="2252"/>
      </w:tblGrid>
      <w:tr>
        <w:tblPrEx>
          <w:tblCellMar>
            <w:top w:w="0" w:type="dxa"/>
            <w:left w:w="0" w:type="dxa"/>
            <w:bottom w:w="0" w:type="dxa"/>
            <w:right w:w="0" w:type="dxa"/>
          </w:tblCellMar>
        </w:tblPrEx>
        <w:trPr>
          <w:trHeight w:val="1017" w:hRule="atLeast"/>
          <w:jc w:val="center"/>
        </w:trPr>
        <w:tc>
          <w:tcPr>
            <w:tcW w:w="9361"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rPr>
              <w:t>项目绩效目标完成情况表</w:t>
            </w:r>
            <w:r>
              <w:rPr>
                <w:rFonts w:hint="eastAsia" w:ascii="宋体" w:hAnsi="宋体" w:cs="宋体"/>
                <w:b/>
                <w:bCs/>
                <w:kern w:val="0"/>
                <w:sz w:val="36"/>
                <w:szCs w:val="36"/>
              </w:rPr>
              <w:br w:type="textWrapping"/>
            </w:r>
            <w:r>
              <w:rPr>
                <w:rFonts w:hint="eastAsia" w:ascii="宋体" w:hAnsi="宋体" w:cs="宋体"/>
                <w:kern w:val="0"/>
                <w:sz w:val="36"/>
                <w:szCs w:val="36"/>
              </w:rPr>
              <w:t>(2020年度)</w:t>
            </w:r>
          </w:p>
        </w:tc>
      </w:tr>
      <w:tr>
        <w:tblPrEx>
          <w:tblCellMar>
            <w:top w:w="0" w:type="dxa"/>
            <w:left w:w="0" w:type="dxa"/>
            <w:bottom w:w="0" w:type="dxa"/>
            <w:right w:w="0" w:type="dxa"/>
          </w:tblCellMar>
        </w:tblPrEx>
        <w:trPr>
          <w:trHeight w:val="512" w:hRule="atLeast"/>
          <w:jc w:val="center"/>
        </w:trPr>
        <w:tc>
          <w:tcPr>
            <w:tcW w:w="228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项目名称</w:t>
            </w:r>
          </w:p>
        </w:tc>
        <w:tc>
          <w:tcPr>
            <w:tcW w:w="70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对外交流与合作经费</w:t>
            </w:r>
          </w:p>
        </w:tc>
      </w:tr>
      <w:tr>
        <w:tblPrEx>
          <w:tblCellMar>
            <w:top w:w="0" w:type="dxa"/>
            <w:left w:w="0" w:type="dxa"/>
            <w:bottom w:w="0" w:type="dxa"/>
            <w:right w:w="0" w:type="dxa"/>
          </w:tblCellMar>
        </w:tblPrEx>
        <w:trPr>
          <w:trHeight w:val="452" w:hRule="atLeast"/>
          <w:jc w:val="center"/>
        </w:trPr>
        <w:tc>
          <w:tcPr>
            <w:tcW w:w="228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预算单位</w:t>
            </w:r>
          </w:p>
        </w:tc>
        <w:tc>
          <w:tcPr>
            <w:tcW w:w="707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四川文化产业职业学院（四川省干部函授学院）</w:t>
            </w:r>
          </w:p>
        </w:tc>
      </w:tr>
      <w:tr>
        <w:tblPrEx>
          <w:tblCellMar>
            <w:top w:w="0" w:type="dxa"/>
            <w:left w:w="0" w:type="dxa"/>
            <w:bottom w:w="0" w:type="dxa"/>
            <w:right w:w="0" w:type="dxa"/>
          </w:tblCellMar>
        </w:tblPrEx>
        <w:trPr>
          <w:trHeight w:val="502" w:hRule="atLeast"/>
          <w:jc w:val="center"/>
        </w:trPr>
        <w:tc>
          <w:tcPr>
            <w:tcW w:w="6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预算执行情况(万元)</w:t>
            </w: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预算数:</w:t>
            </w:r>
          </w:p>
        </w:tc>
        <w:tc>
          <w:tcPr>
            <w:tcW w:w="2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694.8</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执行数:</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472</w:t>
            </w:r>
          </w:p>
        </w:tc>
      </w:tr>
      <w:tr>
        <w:tblPrEx>
          <w:tblCellMar>
            <w:top w:w="0" w:type="dxa"/>
            <w:left w:w="0" w:type="dxa"/>
            <w:bottom w:w="0" w:type="dxa"/>
            <w:right w:w="0" w:type="dxa"/>
          </w:tblCellMar>
        </w:tblPrEx>
        <w:trPr>
          <w:trHeight w:val="512"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180</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178.6</w:t>
            </w:r>
          </w:p>
        </w:tc>
      </w:tr>
      <w:tr>
        <w:tblPrEx>
          <w:tblCellMar>
            <w:top w:w="0" w:type="dxa"/>
            <w:left w:w="0" w:type="dxa"/>
            <w:bottom w:w="0" w:type="dxa"/>
            <w:right w:w="0" w:type="dxa"/>
          </w:tblCellMar>
        </w:tblPrEx>
        <w:trPr>
          <w:trHeight w:val="617"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6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514.8</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hint="eastAsia" w:ascii="宋体" w:hAnsi="宋体" w:cs="宋体"/>
                <w:sz w:val="24"/>
              </w:rPr>
              <w:t>293.4</w:t>
            </w:r>
          </w:p>
        </w:tc>
      </w:tr>
      <w:tr>
        <w:tblPrEx>
          <w:tblCellMar>
            <w:top w:w="0" w:type="dxa"/>
            <w:left w:w="0" w:type="dxa"/>
            <w:bottom w:w="0" w:type="dxa"/>
            <w:right w:w="0" w:type="dxa"/>
          </w:tblCellMar>
        </w:tblPrEx>
        <w:trPr>
          <w:trHeight w:val="512" w:hRule="atLeast"/>
          <w:jc w:val="center"/>
        </w:trPr>
        <w:tc>
          <w:tcPr>
            <w:tcW w:w="60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2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预期目标</w:t>
            </w:r>
          </w:p>
        </w:tc>
        <w:tc>
          <w:tcPr>
            <w:tcW w:w="4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1139" w:hRule="atLeast"/>
          <w:jc w:val="center"/>
        </w:trPr>
        <w:tc>
          <w:tcPr>
            <w:tcW w:w="60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2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sz w:val="24"/>
              </w:rPr>
            </w:pPr>
            <w:r>
              <w:rPr>
                <w:rFonts w:hint="eastAsia" w:ascii="宋体" w:hAnsi="宋体" w:cs="宋体"/>
                <w:sz w:val="24"/>
              </w:rPr>
              <w:t>扩大我校对外影响，增加对外交流合作机会，保证对外交流合作交流活动的宣传效果，建立初步合作意向和合作关系，为对外交流项目做好铺垫，扩大学校影响。加强学校廉政风险防控工作，加强学校党建工作和统战工作。</w:t>
            </w:r>
          </w:p>
        </w:tc>
        <w:tc>
          <w:tcPr>
            <w:tcW w:w="45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sz w:val="24"/>
              </w:rPr>
            </w:pPr>
            <w:r>
              <w:rPr>
                <w:rFonts w:hint="eastAsia" w:ascii="宋体" w:hAnsi="宋体" w:cs="宋体"/>
                <w:sz w:val="24"/>
              </w:rPr>
              <w:t>2020年我校对外影响提高，对外交流合作机会增加，对外交流合作交流活动的宣传效果良加强学校廉政风险防控工作，党建工作和统战工作有所加强。</w:t>
            </w:r>
          </w:p>
        </w:tc>
      </w:tr>
      <w:tr>
        <w:tblPrEx>
          <w:tblCellMar>
            <w:top w:w="0" w:type="dxa"/>
            <w:left w:w="0" w:type="dxa"/>
            <w:bottom w:w="0" w:type="dxa"/>
            <w:right w:w="0" w:type="dxa"/>
          </w:tblCellMar>
        </w:tblPrEx>
        <w:trPr>
          <w:trHeight w:val="845" w:hRule="atLeast"/>
          <w:jc w:val="center"/>
        </w:trPr>
        <w:tc>
          <w:tcPr>
            <w:tcW w:w="60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一级</w:t>
            </w:r>
          </w:p>
          <w:p>
            <w:pPr>
              <w:widowControl/>
              <w:jc w:val="center"/>
              <w:textAlignment w:val="center"/>
              <w:rPr>
                <w:rFonts w:ascii="宋体" w:hAnsi="宋体" w:cs="宋体"/>
                <w:sz w:val="24"/>
              </w:rPr>
            </w:pPr>
            <w:r>
              <w:rPr>
                <w:rFonts w:hint="eastAsia" w:ascii="宋体" w:hAnsi="宋体" w:cs="宋体"/>
                <w:kern w:val="0"/>
                <w:sz w:val="24"/>
              </w:rPr>
              <w:t>指标</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二级</w:t>
            </w:r>
          </w:p>
          <w:p>
            <w:pPr>
              <w:widowControl/>
              <w:jc w:val="center"/>
              <w:textAlignment w:val="center"/>
              <w:rPr>
                <w:rFonts w:ascii="宋体" w:hAnsi="宋体" w:cs="宋体"/>
                <w:sz w:val="24"/>
              </w:rPr>
            </w:pPr>
            <w:r>
              <w:rPr>
                <w:rFonts w:hint="eastAsia" w:ascii="宋体" w:hAnsi="宋体" w:cs="宋体"/>
                <w:kern w:val="0"/>
                <w:sz w:val="24"/>
              </w:rPr>
              <w:t>指标</w:t>
            </w:r>
          </w:p>
        </w:tc>
        <w:tc>
          <w:tcPr>
            <w:tcW w:w="2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三级指标</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预期指标值(包含数字及文字描述)</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实际完成指标值(包含数字及文字描述)</w:t>
            </w:r>
          </w:p>
        </w:tc>
      </w:tr>
      <w:tr>
        <w:tblPrEx>
          <w:tblCellMar>
            <w:top w:w="0" w:type="dxa"/>
            <w:left w:w="0" w:type="dxa"/>
            <w:bottom w:w="0" w:type="dxa"/>
            <w:right w:w="0" w:type="dxa"/>
          </w:tblCellMar>
        </w:tblPrEx>
        <w:trPr>
          <w:trHeight w:val="877" w:hRule="atLeast"/>
          <w:jc w:val="center"/>
        </w:trPr>
        <w:tc>
          <w:tcPr>
            <w:tcW w:w="60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ascii="宋体" w:hAnsi="宋体" w:cs="宋体"/>
                <w:sz w:val="24"/>
              </w:rPr>
              <w:t>指标</w:t>
            </w:r>
          </w:p>
        </w:tc>
        <w:tc>
          <w:tcPr>
            <w:tcW w:w="2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开展文化专题调研体验</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w:t>
            </w:r>
          </w:p>
        </w:tc>
      </w:tr>
      <w:tr>
        <w:tblPrEx>
          <w:tblCellMar>
            <w:top w:w="0" w:type="dxa"/>
            <w:left w:w="0" w:type="dxa"/>
            <w:bottom w:w="0" w:type="dxa"/>
            <w:right w:w="0" w:type="dxa"/>
          </w:tblCellMar>
        </w:tblPrEx>
        <w:trPr>
          <w:trHeight w:val="785" w:hRule="atLeast"/>
          <w:jc w:val="center"/>
        </w:trPr>
        <w:tc>
          <w:tcPr>
            <w:tcW w:w="60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ascii="宋体" w:hAnsi="宋体" w:cs="宋体"/>
                <w:sz w:val="24"/>
              </w:rPr>
              <w:t>指标</w:t>
            </w:r>
          </w:p>
        </w:tc>
        <w:tc>
          <w:tcPr>
            <w:tcW w:w="2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开展宣传活动</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w:t>
            </w:r>
          </w:p>
        </w:tc>
      </w:tr>
      <w:tr>
        <w:tblPrEx>
          <w:tblCellMar>
            <w:top w:w="0" w:type="dxa"/>
            <w:left w:w="0" w:type="dxa"/>
            <w:bottom w:w="0" w:type="dxa"/>
            <w:right w:w="0" w:type="dxa"/>
          </w:tblCellMar>
        </w:tblPrEx>
        <w:trPr>
          <w:trHeight w:val="794" w:hRule="atLeast"/>
          <w:jc w:val="center"/>
        </w:trPr>
        <w:tc>
          <w:tcPr>
            <w:tcW w:w="60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ascii="宋体" w:hAnsi="宋体" w:cs="宋体"/>
                <w:sz w:val="24"/>
              </w:rPr>
              <w:t>指标</w:t>
            </w:r>
          </w:p>
        </w:tc>
        <w:tc>
          <w:tcPr>
            <w:tcW w:w="2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校报设计制作并印刷</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6</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4</w:t>
            </w:r>
          </w:p>
        </w:tc>
      </w:tr>
      <w:tr>
        <w:tblPrEx>
          <w:tblCellMar>
            <w:top w:w="0" w:type="dxa"/>
            <w:left w:w="0" w:type="dxa"/>
            <w:bottom w:w="0" w:type="dxa"/>
            <w:right w:w="0" w:type="dxa"/>
          </w:tblCellMar>
        </w:tblPrEx>
        <w:trPr>
          <w:trHeight w:val="835" w:hRule="atLeast"/>
          <w:jc w:val="center"/>
        </w:trPr>
        <w:tc>
          <w:tcPr>
            <w:tcW w:w="60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项目完成指标</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ascii="宋体" w:hAnsi="宋体" w:cs="宋体"/>
                <w:sz w:val="24"/>
              </w:rPr>
              <w:t>指标</w:t>
            </w:r>
          </w:p>
        </w:tc>
        <w:tc>
          <w:tcPr>
            <w:tcW w:w="2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开展校企合作宣传活动</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w:t>
            </w:r>
          </w:p>
        </w:tc>
      </w:tr>
      <w:tr>
        <w:tblPrEx>
          <w:tblCellMar>
            <w:top w:w="0" w:type="dxa"/>
            <w:left w:w="0" w:type="dxa"/>
            <w:bottom w:w="0" w:type="dxa"/>
            <w:right w:w="0" w:type="dxa"/>
          </w:tblCellMar>
        </w:tblPrEx>
        <w:trPr>
          <w:trHeight w:val="910" w:hRule="atLeast"/>
          <w:jc w:val="center"/>
        </w:trPr>
        <w:tc>
          <w:tcPr>
            <w:tcW w:w="60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ascii="宋体" w:hAnsi="宋体" w:cs="宋体"/>
                <w:sz w:val="24"/>
              </w:rPr>
              <w:t>指标</w:t>
            </w:r>
          </w:p>
        </w:tc>
        <w:tc>
          <w:tcPr>
            <w:tcW w:w="2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联络走访可合作企业</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6</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6</w:t>
            </w:r>
          </w:p>
        </w:tc>
      </w:tr>
      <w:tr>
        <w:tblPrEx>
          <w:tblCellMar>
            <w:top w:w="0" w:type="dxa"/>
            <w:left w:w="0" w:type="dxa"/>
            <w:bottom w:w="0" w:type="dxa"/>
            <w:right w:w="0" w:type="dxa"/>
          </w:tblCellMar>
        </w:tblPrEx>
        <w:trPr>
          <w:trHeight w:val="855" w:hRule="atLeast"/>
          <w:jc w:val="center"/>
        </w:trPr>
        <w:tc>
          <w:tcPr>
            <w:tcW w:w="60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项目完成指标</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时效</w:t>
            </w:r>
          </w:p>
          <w:p>
            <w:pPr>
              <w:widowControl/>
              <w:jc w:val="center"/>
              <w:textAlignment w:val="center"/>
              <w:rPr>
                <w:rFonts w:ascii="宋体" w:hAnsi="宋体" w:cs="宋体"/>
                <w:sz w:val="24"/>
              </w:rPr>
            </w:pPr>
            <w:r>
              <w:rPr>
                <w:rFonts w:hint="eastAsia" w:ascii="宋体" w:hAnsi="宋体" w:cs="宋体"/>
                <w:sz w:val="24"/>
              </w:rPr>
              <w:t>指标</w:t>
            </w:r>
          </w:p>
        </w:tc>
        <w:tc>
          <w:tcPr>
            <w:tcW w:w="2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完成时限</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2020年12月</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2020年12月</w:t>
            </w:r>
          </w:p>
        </w:tc>
      </w:tr>
      <w:tr>
        <w:tblPrEx>
          <w:tblCellMar>
            <w:top w:w="0" w:type="dxa"/>
            <w:left w:w="0" w:type="dxa"/>
            <w:bottom w:w="0" w:type="dxa"/>
            <w:right w:w="0" w:type="dxa"/>
          </w:tblCellMar>
        </w:tblPrEx>
        <w:trPr>
          <w:trHeight w:val="915" w:hRule="atLeast"/>
          <w:jc w:val="center"/>
        </w:trPr>
        <w:tc>
          <w:tcPr>
            <w:tcW w:w="60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效益</w:t>
            </w:r>
          </w:p>
          <w:p>
            <w:pPr>
              <w:widowControl/>
              <w:jc w:val="center"/>
              <w:textAlignment w:val="center"/>
              <w:rPr>
                <w:rFonts w:ascii="宋体" w:hAnsi="宋体" w:cs="宋体"/>
                <w:sz w:val="24"/>
              </w:rPr>
            </w:pPr>
            <w:r>
              <w:rPr>
                <w:rFonts w:hint="eastAsia" w:ascii="宋体" w:hAnsi="宋体" w:cs="宋体"/>
                <w:kern w:val="0"/>
                <w:sz w:val="24"/>
              </w:rPr>
              <w:t>指标</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提高我校对外宣传及社会影响力</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良好</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良好</w:t>
            </w:r>
          </w:p>
        </w:tc>
      </w:tr>
      <w:tr>
        <w:tblPrEx>
          <w:tblCellMar>
            <w:top w:w="0" w:type="dxa"/>
            <w:left w:w="0" w:type="dxa"/>
            <w:bottom w:w="0" w:type="dxa"/>
            <w:right w:w="0" w:type="dxa"/>
          </w:tblCellMar>
        </w:tblPrEx>
        <w:trPr>
          <w:trHeight w:val="815" w:hRule="atLeast"/>
          <w:jc w:val="center"/>
        </w:trPr>
        <w:tc>
          <w:tcPr>
            <w:tcW w:w="609"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效益</w:t>
            </w:r>
          </w:p>
          <w:p>
            <w:pPr>
              <w:widowControl/>
              <w:jc w:val="center"/>
              <w:textAlignment w:val="center"/>
              <w:rPr>
                <w:rFonts w:ascii="宋体" w:hAnsi="宋体" w:cs="宋体"/>
                <w:sz w:val="24"/>
              </w:rPr>
            </w:pPr>
            <w:r>
              <w:rPr>
                <w:rFonts w:hint="eastAsia" w:ascii="宋体" w:hAnsi="宋体" w:cs="宋体"/>
                <w:kern w:val="0"/>
                <w:sz w:val="24"/>
              </w:rPr>
              <w:t>指标</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展现我校良好精神风貌</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良好</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良好</w:t>
            </w:r>
          </w:p>
        </w:tc>
      </w:tr>
      <w:tr>
        <w:tblPrEx>
          <w:tblCellMar>
            <w:top w:w="0" w:type="dxa"/>
            <w:left w:w="0" w:type="dxa"/>
            <w:bottom w:w="0" w:type="dxa"/>
            <w:right w:w="0" w:type="dxa"/>
          </w:tblCellMar>
        </w:tblPrEx>
        <w:trPr>
          <w:trHeight w:val="818" w:hRule="atLeast"/>
          <w:jc w:val="center"/>
        </w:trPr>
        <w:tc>
          <w:tcPr>
            <w:tcW w:w="60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满意度指标</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满意度指标</w:t>
            </w:r>
          </w:p>
        </w:tc>
        <w:tc>
          <w:tcPr>
            <w:tcW w:w="2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师生满意度</w:t>
            </w:r>
          </w:p>
        </w:tc>
        <w:tc>
          <w:tcPr>
            <w:tcW w:w="22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95%</w:t>
            </w:r>
          </w:p>
        </w:tc>
        <w:tc>
          <w:tcPr>
            <w:tcW w:w="2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95%</w:t>
            </w:r>
          </w:p>
        </w:tc>
      </w:tr>
    </w:tbl>
    <w:p>
      <w:pPr>
        <w:pStyle w:val="2"/>
        <w:keepNext w:val="0"/>
        <w:keepLines w:val="0"/>
        <w:pageBreakBefore w:val="0"/>
        <w:widowControl w:val="0"/>
        <w:kinsoku/>
        <w:wordWrap/>
        <w:overflowPunct/>
        <w:topLinePunct w:val="0"/>
        <w:autoSpaceDE/>
        <w:autoSpaceDN/>
        <w:bidi w:val="0"/>
        <w:adjustRightInd/>
        <w:snapToGrid/>
        <w:spacing w:before="93" w:line="240" w:lineRule="exact"/>
        <w:textAlignment w:val="auto"/>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（3）学生勤工助学困难补助及活动费项目绩效目标完成情况综述。项目全年预算数</w:t>
      </w:r>
      <w:r>
        <w:rPr>
          <w:rFonts w:ascii="仿宋" w:hAnsi="仿宋" w:eastAsia="仿宋" w:cs="仿宋"/>
          <w:b/>
          <w:bCs/>
          <w:sz w:val="32"/>
          <w:szCs w:val="32"/>
        </w:rPr>
        <w:t>578</w:t>
      </w:r>
      <w:r>
        <w:rPr>
          <w:rFonts w:hint="eastAsia" w:ascii="仿宋" w:hAnsi="仿宋" w:eastAsia="仿宋" w:cs="仿宋"/>
          <w:b/>
          <w:bCs/>
          <w:sz w:val="32"/>
          <w:szCs w:val="32"/>
        </w:rPr>
        <w:t>万元，执行数为</w:t>
      </w:r>
      <w:r>
        <w:rPr>
          <w:rFonts w:ascii="仿宋" w:hAnsi="仿宋" w:eastAsia="仿宋" w:cs="仿宋"/>
          <w:b/>
          <w:bCs/>
          <w:sz w:val="32"/>
          <w:szCs w:val="32"/>
        </w:rPr>
        <w:t>462.55</w:t>
      </w:r>
      <w:r>
        <w:rPr>
          <w:rFonts w:hint="eastAsia" w:ascii="仿宋" w:hAnsi="仿宋" w:eastAsia="仿宋" w:cs="仿宋"/>
          <w:b/>
          <w:bCs/>
          <w:sz w:val="32"/>
          <w:szCs w:val="32"/>
        </w:rPr>
        <w:t>万元，完成预算的</w:t>
      </w:r>
      <w:r>
        <w:rPr>
          <w:rFonts w:ascii="仿宋" w:hAnsi="仿宋" w:eastAsia="仿宋" w:cs="仿宋"/>
          <w:b/>
          <w:bCs/>
          <w:sz w:val="32"/>
          <w:szCs w:val="32"/>
        </w:rPr>
        <w:t>80.03</w:t>
      </w:r>
      <w:r>
        <w:rPr>
          <w:rFonts w:hint="eastAsia" w:ascii="仿宋" w:hAnsi="仿宋" w:eastAsia="仿宋" w:cs="仿宋"/>
          <w:b/>
          <w:bCs/>
          <w:sz w:val="32"/>
          <w:szCs w:val="32"/>
        </w:rPr>
        <w:t>%。通过项目实施，支持学校开展暑期社会实践活动1次，开展辅导员素质能力提升项目1次发放奖学金1461人次，勤工助学补助243人次，校级评优评奖1800人次。发现的主要问题：受新冠疫情影响，学校学生活动未能完全开展，</w:t>
      </w:r>
      <w:r>
        <w:rPr>
          <w:rFonts w:ascii="仿宋" w:hAnsi="仿宋" w:eastAsia="仿宋" w:cs="仿宋"/>
          <w:b/>
          <w:bCs/>
          <w:sz w:val="32"/>
          <w:szCs w:val="32"/>
        </w:rPr>
        <w:t>预算执行率不高</w:t>
      </w:r>
      <w:r>
        <w:rPr>
          <w:rFonts w:hint="eastAsia" w:ascii="仿宋" w:hAnsi="仿宋" w:eastAsia="仿宋" w:cs="仿宋"/>
          <w:b/>
          <w:bCs/>
          <w:sz w:val="32"/>
          <w:szCs w:val="32"/>
        </w:rPr>
        <w:t>。下一步改进措施：学校将结合工作实际，及时进行预算调整，进一步提高资金使用效益。</w:t>
      </w:r>
    </w:p>
    <w:tbl>
      <w:tblPr>
        <w:tblStyle w:val="12"/>
        <w:tblpPr w:leftFromText="180" w:rightFromText="180" w:vertAnchor="text" w:horzAnchor="page" w:tblpXSpec="center" w:tblpY="423"/>
        <w:tblOverlap w:val="never"/>
        <w:tblW w:w="9198" w:type="dxa"/>
        <w:jc w:val="center"/>
        <w:tblLayout w:type="fixed"/>
        <w:tblCellMar>
          <w:top w:w="0" w:type="dxa"/>
          <w:left w:w="0" w:type="dxa"/>
          <w:bottom w:w="0" w:type="dxa"/>
          <w:right w:w="0" w:type="dxa"/>
        </w:tblCellMar>
      </w:tblPr>
      <w:tblGrid>
        <w:gridCol w:w="647"/>
        <w:gridCol w:w="974"/>
        <w:gridCol w:w="948"/>
        <w:gridCol w:w="2208"/>
        <w:gridCol w:w="2211"/>
        <w:gridCol w:w="2210"/>
      </w:tblGrid>
      <w:tr>
        <w:tblPrEx>
          <w:tblCellMar>
            <w:top w:w="0" w:type="dxa"/>
            <w:left w:w="0" w:type="dxa"/>
            <w:bottom w:w="0" w:type="dxa"/>
            <w:right w:w="0" w:type="dxa"/>
          </w:tblCellMar>
        </w:tblPrEx>
        <w:trPr>
          <w:trHeight w:val="1014" w:hRule="atLeast"/>
          <w:jc w:val="center"/>
        </w:trPr>
        <w:tc>
          <w:tcPr>
            <w:tcW w:w="9198"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rPr>
              <w:t>项目绩效目标完成情况表</w:t>
            </w:r>
            <w:r>
              <w:rPr>
                <w:rFonts w:hint="eastAsia" w:ascii="宋体" w:hAnsi="宋体" w:cs="宋体"/>
                <w:b/>
                <w:bCs/>
                <w:kern w:val="0"/>
                <w:sz w:val="36"/>
                <w:szCs w:val="36"/>
              </w:rPr>
              <w:br w:type="textWrapping"/>
            </w:r>
            <w:r>
              <w:rPr>
                <w:rFonts w:hint="eastAsia" w:ascii="宋体" w:hAnsi="宋体" w:cs="宋体"/>
                <w:kern w:val="0"/>
                <w:sz w:val="36"/>
                <w:szCs w:val="36"/>
              </w:rPr>
              <w:t>(2020年度)</w:t>
            </w:r>
          </w:p>
        </w:tc>
      </w:tr>
      <w:tr>
        <w:tblPrEx>
          <w:tblCellMar>
            <w:top w:w="0" w:type="dxa"/>
            <w:left w:w="0" w:type="dxa"/>
            <w:bottom w:w="0" w:type="dxa"/>
            <w:right w:w="0" w:type="dxa"/>
          </w:tblCellMar>
        </w:tblPrEx>
        <w:trPr>
          <w:trHeight w:val="437" w:hRule="atLeast"/>
          <w:jc w:val="center"/>
        </w:trPr>
        <w:tc>
          <w:tcPr>
            <w:tcW w:w="256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项目名称</w:t>
            </w:r>
          </w:p>
        </w:tc>
        <w:tc>
          <w:tcPr>
            <w:tcW w:w="66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学生勤工助学困难补助及活动费</w:t>
            </w:r>
          </w:p>
        </w:tc>
      </w:tr>
      <w:tr>
        <w:tblPrEx>
          <w:tblCellMar>
            <w:top w:w="0" w:type="dxa"/>
            <w:left w:w="0" w:type="dxa"/>
            <w:bottom w:w="0" w:type="dxa"/>
            <w:right w:w="0" w:type="dxa"/>
          </w:tblCellMar>
        </w:tblPrEx>
        <w:trPr>
          <w:trHeight w:val="452" w:hRule="atLeast"/>
          <w:jc w:val="center"/>
        </w:trPr>
        <w:tc>
          <w:tcPr>
            <w:tcW w:w="256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预算单位</w:t>
            </w:r>
          </w:p>
        </w:tc>
        <w:tc>
          <w:tcPr>
            <w:tcW w:w="662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四川文化产业职业学院（四川省干部函授学院）</w:t>
            </w:r>
          </w:p>
        </w:tc>
      </w:tr>
      <w:tr>
        <w:tblPrEx>
          <w:tblCellMar>
            <w:top w:w="0" w:type="dxa"/>
            <w:left w:w="0" w:type="dxa"/>
            <w:bottom w:w="0" w:type="dxa"/>
            <w:right w:w="0" w:type="dxa"/>
          </w:tblCellMar>
        </w:tblPrEx>
        <w:trPr>
          <w:trHeight w:val="452"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预算执行情况(万元)</w:t>
            </w:r>
          </w:p>
        </w:tc>
        <w:tc>
          <w:tcPr>
            <w:tcW w:w="19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预算数:</w:t>
            </w:r>
          </w:p>
        </w:tc>
        <w:tc>
          <w:tcPr>
            <w:tcW w:w="2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578</w:t>
            </w:r>
          </w:p>
        </w:tc>
        <w:tc>
          <w:tcPr>
            <w:tcW w:w="22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执行数:</w:t>
            </w:r>
          </w:p>
        </w:tc>
        <w:tc>
          <w:tcPr>
            <w:tcW w:w="2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462.55</w:t>
            </w:r>
          </w:p>
        </w:tc>
      </w:tr>
      <w:tr>
        <w:tblPrEx>
          <w:tblCellMar>
            <w:top w:w="0" w:type="dxa"/>
            <w:left w:w="0" w:type="dxa"/>
            <w:bottom w:w="0" w:type="dxa"/>
            <w:right w:w="0" w:type="dxa"/>
          </w:tblCellMar>
        </w:tblPrEx>
        <w:trPr>
          <w:trHeight w:val="542"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9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172</w:t>
            </w:r>
          </w:p>
        </w:tc>
        <w:tc>
          <w:tcPr>
            <w:tcW w:w="22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161.7</w:t>
            </w:r>
          </w:p>
        </w:tc>
      </w:tr>
      <w:tr>
        <w:tblPrEx>
          <w:tblCellMar>
            <w:top w:w="0" w:type="dxa"/>
            <w:left w:w="0" w:type="dxa"/>
            <w:bottom w:w="0" w:type="dxa"/>
            <w:right w:w="0" w:type="dxa"/>
          </w:tblCellMar>
        </w:tblPrEx>
        <w:trPr>
          <w:trHeight w:val="567"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92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406</w:t>
            </w:r>
          </w:p>
        </w:tc>
        <w:tc>
          <w:tcPr>
            <w:tcW w:w="22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ascii="宋体" w:hAnsi="宋体" w:cs="宋体"/>
                <w:sz w:val="24"/>
              </w:rPr>
              <w:t>300.85</w:t>
            </w:r>
          </w:p>
        </w:tc>
      </w:tr>
      <w:tr>
        <w:tblPrEx>
          <w:tblCellMar>
            <w:top w:w="0" w:type="dxa"/>
            <w:left w:w="0" w:type="dxa"/>
            <w:bottom w:w="0" w:type="dxa"/>
            <w:right w:w="0" w:type="dxa"/>
          </w:tblCellMar>
        </w:tblPrEx>
        <w:trPr>
          <w:trHeight w:val="427" w:hRule="atLeast"/>
          <w:jc w:val="center"/>
        </w:trPr>
        <w:tc>
          <w:tcPr>
            <w:tcW w:w="64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1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预期目标</w:t>
            </w:r>
          </w:p>
        </w:tc>
        <w:tc>
          <w:tcPr>
            <w:tcW w:w="4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4850" w:hRule="atLeast"/>
          <w:jc w:val="center"/>
        </w:trPr>
        <w:tc>
          <w:tcPr>
            <w:tcW w:w="64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1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ascii="宋体" w:hAnsi="宋体" w:cs="宋体"/>
                <w:sz w:val="24"/>
              </w:rPr>
            </w:pPr>
            <w:r>
              <w:rPr>
                <w:rFonts w:hint="eastAsia" w:ascii="宋体" w:hAnsi="宋体" w:cs="宋体"/>
                <w:sz w:val="24"/>
              </w:rPr>
              <w:t>根据《中共四川省委、四川省人民政府关于印发&lt;四川省中长期教育改革和发展规划纲要（2010—2020年）&gt;的通知》(川委发〔2010〕18号)、《四川省教育厅关于实施四川省优质高等职业院校建设计划的通知》（川教函[2017]418号）文件规定开展相关工作《高等学校勤工助学管理办法》（教材[2007]7号0和 团中央最新规定，高效应按不少于200元/生/年 学生日常活动费）用于开展暑期社会实践活动，加强学生安全教育，提高辅导员队伍素质能力，发放奖助学及勤工助学补助。</w:t>
            </w:r>
          </w:p>
        </w:tc>
        <w:tc>
          <w:tcPr>
            <w:tcW w:w="44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sz w:val="24"/>
              </w:rPr>
            </w:pPr>
            <w:r>
              <w:rPr>
                <w:rFonts w:hint="eastAsia" w:ascii="宋体" w:hAnsi="宋体" w:cs="宋体"/>
                <w:sz w:val="24"/>
              </w:rPr>
              <w:t>开展暑期社会实践活动1次，开展辅导员素质能力提升项目1次发放奖学金1461人次，勤工助学补助243人次，校级评优评奖1800人次。</w:t>
            </w:r>
          </w:p>
        </w:tc>
      </w:tr>
      <w:tr>
        <w:tblPrEx>
          <w:tblCellMar>
            <w:top w:w="0" w:type="dxa"/>
            <w:left w:w="0" w:type="dxa"/>
            <w:bottom w:w="0" w:type="dxa"/>
            <w:right w:w="0" w:type="dxa"/>
          </w:tblCellMar>
        </w:tblPrEx>
        <w:trPr>
          <w:trHeight w:val="797" w:hRule="atLeast"/>
          <w:jc w:val="center"/>
        </w:trPr>
        <w:tc>
          <w:tcPr>
            <w:tcW w:w="64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一级</w:t>
            </w:r>
          </w:p>
          <w:p>
            <w:pPr>
              <w:widowControl/>
              <w:jc w:val="center"/>
              <w:textAlignment w:val="center"/>
              <w:rPr>
                <w:rFonts w:ascii="宋体" w:hAnsi="宋体" w:cs="宋体"/>
                <w:sz w:val="24"/>
              </w:rPr>
            </w:pPr>
            <w:r>
              <w:rPr>
                <w:rFonts w:hint="eastAsia" w:ascii="宋体" w:hAnsi="宋体" w:cs="宋体"/>
                <w:kern w:val="0"/>
                <w:sz w:val="24"/>
              </w:rPr>
              <w:t>指标</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二级</w:t>
            </w:r>
          </w:p>
          <w:p>
            <w:pPr>
              <w:widowControl/>
              <w:jc w:val="center"/>
              <w:textAlignment w:val="center"/>
              <w:rPr>
                <w:rFonts w:ascii="宋体" w:hAnsi="宋体" w:cs="宋体"/>
                <w:sz w:val="24"/>
              </w:rPr>
            </w:pPr>
            <w:r>
              <w:rPr>
                <w:rFonts w:hint="eastAsia" w:ascii="宋体" w:hAnsi="宋体" w:cs="宋体"/>
                <w:kern w:val="0"/>
                <w:sz w:val="24"/>
              </w:rPr>
              <w:t>指标</w:t>
            </w:r>
          </w:p>
        </w:tc>
        <w:tc>
          <w:tcPr>
            <w:tcW w:w="2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三级指标</w:t>
            </w:r>
          </w:p>
        </w:tc>
        <w:tc>
          <w:tcPr>
            <w:tcW w:w="22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预期指标值(包含数字及文字描述)</w:t>
            </w:r>
          </w:p>
        </w:tc>
        <w:tc>
          <w:tcPr>
            <w:tcW w:w="2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实际完成指标值(包含数字及文字描述)</w:t>
            </w:r>
          </w:p>
        </w:tc>
      </w:tr>
      <w:tr>
        <w:tblPrEx>
          <w:tblCellMar>
            <w:top w:w="0" w:type="dxa"/>
            <w:left w:w="0" w:type="dxa"/>
            <w:bottom w:w="0" w:type="dxa"/>
            <w:right w:w="0" w:type="dxa"/>
          </w:tblCellMar>
        </w:tblPrEx>
        <w:trPr>
          <w:trHeight w:val="759" w:hRule="atLeast"/>
          <w:jc w:val="center"/>
        </w:trPr>
        <w:tc>
          <w:tcPr>
            <w:tcW w:w="64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开展暑期社会实践</w:t>
            </w:r>
          </w:p>
          <w:p>
            <w:pPr>
              <w:widowControl/>
              <w:jc w:val="center"/>
              <w:textAlignment w:val="center"/>
              <w:rPr>
                <w:rFonts w:ascii="宋体" w:hAnsi="宋体" w:cs="宋体"/>
                <w:sz w:val="24"/>
              </w:rPr>
            </w:pPr>
            <w:r>
              <w:rPr>
                <w:rFonts w:hint="eastAsia" w:ascii="宋体" w:hAnsi="宋体" w:cs="宋体"/>
                <w:sz w:val="24"/>
              </w:rPr>
              <w:t>活动</w:t>
            </w:r>
          </w:p>
        </w:tc>
        <w:tc>
          <w:tcPr>
            <w:tcW w:w="22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w:t>
            </w:r>
          </w:p>
        </w:tc>
        <w:tc>
          <w:tcPr>
            <w:tcW w:w="2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w:t>
            </w:r>
          </w:p>
        </w:tc>
      </w:tr>
      <w:tr>
        <w:tblPrEx>
          <w:tblCellMar>
            <w:top w:w="0" w:type="dxa"/>
            <w:left w:w="0" w:type="dxa"/>
            <w:bottom w:w="0" w:type="dxa"/>
            <w:right w:w="0" w:type="dxa"/>
          </w:tblCellMar>
        </w:tblPrEx>
        <w:trPr>
          <w:trHeight w:val="812" w:hRule="atLeast"/>
          <w:jc w:val="center"/>
        </w:trPr>
        <w:tc>
          <w:tcPr>
            <w:tcW w:w="64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开展辅导员素质能力提升项目</w:t>
            </w:r>
          </w:p>
        </w:tc>
        <w:tc>
          <w:tcPr>
            <w:tcW w:w="22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w:t>
            </w:r>
          </w:p>
        </w:tc>
        <w:tc>
          <w:tcPr>
            <w:tcW w:w="2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w:t>
            </w:r>
          </w:p>
        </w:tc>
      </w:tr>
      <w:tr>
        <w:tblPrEx>
          <w:tblCellMar>
            <w:top w:w="0" w:type="dxa"/>
            <w:left w:w="0" w:type="dxa"/>
            <w:bottom w:w="0" w:type="dxa"/>
            <w:right w:w="0" w:type="dxa"/>
          </w:tblCellMar>
        </w:tblPrEx>
        <w:trPr>
          <w:trHeight w:val="787" w:hRule="atLeast"/>
          <w:jc w:val="center"/>
        </w:trPr>
        <w:tc>
          <w:tcPr>
            <w:tcW w:w="64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校级奖学金</w:t>
            </w:r>
          </w:p>
        </w:tc>
        <w:tc>
          <w:tcPr>
            <w:tcW w:w="22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w:t>
            </w:r>
            <w:r>
              <w:rPr>
                <w:rFonts w:ascii="宋体" w:hAnsi="宋体" w:cs="宋体"/>
                <w:sz w:val="24"/>
              </w:rPr>
              <w:t>300</w:t>
            </w:r>
          </w:p>
        </w:tc>
        <w:tc>
          <w:tcPr>
            <w:tcW w:w="2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1461</w:t>
            </w:r>
          </w:p>
        </w:tc>
      </w:tr>
      <w:tr>
        <w:tblPrEx>
          <w:tblCellMar>
            <w:top w:w="0" w:type="dxa"/>
            <w:left w:w="0" w:type="dxa"/>
            <w:bottom w:w="0" w:type="dxa"/>
            <w:right w:w="0" w:type="dxa"/>
          </w:tblCellMar>
        </w:tblPrEx>
        <w:trPr>
          <w:trHeight w:val="747" w:hRule="atLeast"/>
          <w:jc w:val="center"/>
        </w:trPr>
        <w:tc>
          <w:tcPr>
            <w:tcW w:w="64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项目完成指标</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勤工助学补助</w:t>
            </w:r>
          </w:p>
        </w:tc>
        <w:tc>
          <w:tcPr>
            <w:tcW w:w="22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80</w:t>
            </w:r>
          </w:p>
        </w:tc>
        <w:tc>
          <w:tcPr>
            <w:tcW w:w="2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243</w:t>
            </w:r>
          </w:p>
        </w:tc>
      </w:tr>
      <w:tr>
        <w:tblPrEx>
          <w:tblCellMar>
            <w:top w:w="0" w:type="dxa"/>
            <w:left w:w="0" w:type="dxa"/>
            <w:bottom w:w="0" w:type="dxa"/>
            <w:right w:w="0" w:type="dxa"/>
          </w:tblCellMar>
        </w:tblPrEx>
        <w:trPr>
          <w:trHeight w:val="762" w:hRule="atLeast"/>
          <w:jc w:val="center"/>
        </w:trPr>
        <w:tc>
          <w:tcPr>
            <w:tcW w:w="64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校级评优评奖</w:t>
            </w:r>
          </w:p>
        </w:tc>
        <w:tc>
          <w:tcPr>
            <w:tcW w:w="22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w:t>
            </w:r>
            <w:r>
              <w:rPr>
                <w:rFonts w:ascii="宋体" w:hAnsi="宋体" w:cs="宋体"/>
                <w:sz w:val="24"/>
              </w:rPr>
              <w:t>800</w:t>
            </w:r>
          </w:p>
        </w:tc>
        <w:tc>
          <w:tcPr>
            <w:tcW w:w="2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1800</w:t>
            </w:r>
          </w:p>
        </w:tc>
      </w:tr>
      <w:tr>
        <w:tblPrEx>
          <w:tblCellMar>
            <w:top w:w="0" w:type="dxa"/>
            <w:left w:w="0" w:type="dxa"/>
            <w:bottom w:w="0" w:type="dxa"/>
            <w:right w:w="0" w:type="dxa"/>
          </w:tblCellMar>
        </w:tblPrEx>
        <w:trPr>
          <w:trHeight w:val="717" w:hRule="atLeast"/>
          <w:jc w:val="center"/>
        </w:trPr>
        <w:tc>
          <w:tcPr>
            <w:tcW w:w="64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效益</w:t>
            </w:r>
          </w:p>
          <w:p>
            <w:pPr>
              <w:widowControl/>
              <w:jc w:val="center"/>
              <w:textAlignment w:val="center"/>
              <w:rPr>
                <w:rFonts w:ascii="宋体" w:hAnsi="宋体" w:cs="宋体"/>
                <w:sz w:val="24"/>
              </w:rPr>
            </w:pPr>
            <w:r>
              <w:rPr>
                <w:rFonts w:hint="eastAsia" w:ascii="宋体" w:hAnsi="宋体" w:cs="宋体"/>
                <w:kern w:val="0"/>
                <w:sz w:val="24"/>
              </w:rPr>
              <w:t>指标</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时效</w:t>
            </w:r>
          </w:p>
          <w:p>
            <w:pPr>
              <w:widowControl/>
              <w:jc w:val="center"/>
              <w:textAlignment w:val="center"/>
              <w:rPr>
                <w:rFonts w:ascii="宋体" w:hAnsi="宋体" w:cs="宋体"/>
                <w:sz w:val="24"/>
              </w:rPr>
            </w:pPr>
            <w:r>
              <w:rPr>
                <w:rFonts w:hint="eastAsia" w:ascii="宋体" w:hAnsi="宋体" w:cs="宋体"/>
                <w:sz w:val="24"/>
              </w:rPr>
              <w:t>指标</w:t>
            </w:r>
          </w:p>
        </w:tc>
        <w:tc>
          <w:tcPr>
            <w:tcW w:w="2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完成时限</w:t>
            </w:r>
          </w:p>
        </w:tc>
        <w:tc>
          <w:tcPr>
            <w:tcW w:w="22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2020年12月</w:t>
            </w:r>
          </w:p>
        </w:tc>
        <w:tc>
          <w:tcPr>
            <w:tcW w:w="2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2020年12月</w:t>
            </w:r>
          </w:p>
        </w:tc>
      </w:tr>
      <w:tr>
        <w:tblPrEx>
          <w:tblCellMar>
            <w:top w:w="0" w:type="dxa"/>
            <w:left w:w="0" w:type="dxa"/>
            <w:bottom w:w="0" w:type="dxa"/>
            <w:right w:w="0" w:type="dxa"/>
          </w:tblCellMar>
        </w:tblPrEx>
        <w:trPr>
          <w:trHeight w:val="707" w:hRule="atLeast"/>
          <w:jc w:val="center"/>
        </w:trPr>
        <w:tc>
          <w:tcPr>
            <w:tcW w:w="64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效益</w:t>
            </w:r>
          </w:p>
          <w:p>
            <w:pPr>
              <w:widowControl/>
              <w:jc w:val="center"/>
              <w:textAlignment w:val="center"/>
              <w:rPr>
                <w:rFonts w:ascii="宋体" w:hAnsi="宋体" w:cs="宋体"/>
                <w:sz w:val="24"/>
              </w:rPr>
            </w:pPr>
            <w:r>
              <w:rPr>
                <w:rFonts w:hint="eastAsia" w:ascii="宋体" w:hAnsi="宋体" w:cs="宋体"/>
                <w:kern w:val="0"/>
                <w:sz w:val="24"/>
              </w:rPr>
              <w:t>指标</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辅导员培训覆盖率</w:t>
            </w:r>
          </w:p>
        </w:tc>
        <w:tc>
          <w:tcPr>
            <w:tcW w:w="22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90%</w:t>
            </w:r>
          </w:p>
        </w:tc>
        <w:tc>
          <w:tcPr>
            <w:tcW w:w="2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90%</w:t>
            </w:r>
          </w:p>
        </w:tc>
      </w:tr>
      <w:tr>
        <w:tblPrEx>
          <w:tblCellMar>
            <w:top w:w="0" w:type="dxa"/>
            <w:left w:w="0" w:type="dxa"/>
            <w:bottom w:w="0" w:type="dxa"/>
            <w:right w:w="0" w:type="dxa"/>
          </w:tblCellMar>
        </w:tblPrEx>
        <w:trPr>
          <w:trHeight w:val="1027" w:hRule="atLeast"/>
          <w:jc w:val="center"/>
        </w:trPr>
        <w:tc>
          <w:tcPr>
            <w:tcW w:w="64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效益</w:t>
            </w:r>
          </w:p>
          <w:p>
            <w:pPr>
              <w:widowControl/>
              <w:jc w:val="center"/>
              <w:textAlignment w:val="center"/>
              <w:rPr>
                <w:rFonts w:ascii="宋体" w:hAnsi="宋体" w:cs="宋体"/>
                <w:kern w:val="0"/>
                <w:sz w:val="24"/>
              </w:rPr>
            </w:pPr>
            <w:r>
              <w:rPr>
                <w:rFonts w:hint="eastAsia" w:ascii="宋体" w:hAnsi="宋体" w:cs="宋体"/>
                <w:kern w:val="0"/>
                <w:sz w:val="24"/>
              </w:rPr>
              <w:t>指标</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暑期三下乡社会实践活动在2019级学生中覆盖面</w:t>
            </w:r>
          </w:p>
        </w:tc>
        <w:tc>
          <w:tcPr>
            <w:tcW w:w="22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10%</w:t>
            </w:r>
          </w:p>
        </w:tc>
        <w:tc>
          <w:tcPr>
            <w:tcW w:w="2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10%</w:t>
            </w:r>
          </w:p>
        </w:tc>
      </w:tr>
      <w:tr>
        <w:tblPrEx>
          <w:tblCellMar>
            <w:top w:w="0" w:type="dxa"/>
            <w:left w:w="0" w:type="dxa"/>
            <w:bottom w:w="0" w:type="dxa"/>
            <w:right w:w="0" w:type="dxa"/>
          </w:tblCellMar>
        </w:tblPrEx>
        <w:trPr>
          <w:trHeight w:val="710" w:hRule="atLeast"/>
          <w:jc w:val="center"/>
        </w:trPr>
        <w:tc>
          <w:tcPr>
            <w:tcW w:w="64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9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满意度指标</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满意度指标</w:t>
            </w:r>
          </w:p>
        </w:tc>
        <w:tc>
          <w:tcPr>
            <w:tcW w:w="22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师生满意度</w:t>
            </w:r>
          </w:p>
        </w:tc>
        <w:tc>
          <w:tcPr>
            <w:tcW w:w="22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95%</w:t>
            </w:r>
          </w:p>
        </w:tc>
        <w:tc>
          <w:tcPr>
            <w:tcW w:w="22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95%</w:t>
            </w:r>
          </w:p>
        </w:tc>
      </w:tr>
    </w:tbl>
    <w:p>
      <w:pPr>
        <w:pStyle w:val="2"/>
        <w:keepNext w:val="0"/>
        <w:keepLines w:val="0"/>
        <w:pageBreakBefore w:val="0"/>
        <w:widowControl w:val="0"/>
        <w:kinsoku/>
        <w:wordWrap/>
        <w:overflowPunct/>
        <w:topLinePunct w:val="0"/>
        <w:autoSpaceDE/>
        <w:autoSpaceDN/>
        <w:bidi w:val="0"/>
        <w:adjustRightInd/>
        <w:snapToGrid/>
        <w:spacing w:before="93" w:line="240" w:lineRule="exact"/>
        <w:textAlignment w:val="auto"/>
      </w:pPr>
    </w:p>
    <w:p>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textAlignment w:val="auto"/>
        <w:rPr>
          <w:rFonts w:ascii="仿宋" w:hAnsi="仿宋" w:eastAsia="仿宋" w:cs="仿宋"/>
          <w:sz w:val="32"/>
          <w:szCs w:val="32"/>
        </w:rPr>
      </w:pPr>
      <w:r>
        <w:rPr>
          <w:rFonts w:hint="eastAsia" w:ascii="仿宋" w:hAnsi="仿宋" w:eastAsia="仿宋" w:cs="仿宋"/>
          <w:b/>
          <w:bCs/>
          <w:sz w:val="32"/>
          <w:szCs w:val="32"/>
        </w:rPr>
        <w:t>（</w:t>
      </w:r>
      <w:r>
        <w:rPr>
          <w:rFonts w:ascii="仿宋" w:hAnsi="仿宋" w:eastAsia="仿宋" w:cs="仿宋"/>
          <w:b/>
          <w:bCs/>
          <w:sz w:val="32"/>
          <w:szCs w:val="32"/>
        </w:rPr>
        <w:t>4</w:t>
      </w:r>
      <w:r>
        <w:rPr>
          <w:rFonts w:hint="eastAsia" w:ascii="仿宋" w:hAnsi="仿宋" w:eastAsia="仿宋" w:cs="仿宋"/>
          <w:b/>
          <w:bCs/>
          <w:sz w:val="32"/>
          <w:szCs w:val="32"/>
        </w:rPr>
        <w:t>）教学科研及教辅经费项目绩效目标完成情况综述。项目全年预算数</w:t>
      </w:r>
      <w:r>
        <w:rPr>
          <w:rFonts w:ascii="仿宋" w:hAnsi="仿宋" w:eastAsia="仿宋" w:cs="仿宋"/>
          <w:b/>
          <w:bCs/>
          <w:sz w:val="32"/>
          <w:szCs w:val="32"/>
        </w:rPr>
        <w:t>2729.92</w:t>
      </w:r>
      <w:r>
        <w:rPr>
          <w:rFonts w:hint="eastAsia" w:ascii="仿宋" w:hAnsi="仿宋" w:eastAsia="仿宋" w:cs="仿宋"/>
          <w:b/>
          <w:bCs/>
          <w:sz w:val="32"/>
          <w:szCs w:val="32"/>
        </w:rPr>
        <w:t>万元，执行数为</w:t>
      </w:r>
      <w:r>
        <w:rPr>
          <w:rFonts w:ascii="仿宋" w:hAnsi="仿宋" w:eastAsia="仿宋" w:cs="仿宋"/>
          <w:b/>
          <w:bCs/>
          <w:sz w:val="32"/>
          <w:szCs w:val="32"/>
        </w:rPr>
        <w:t>2072.1</w:t>
      </w:r>
      <w:r>
        <w:rPr>
          <w:rFonts w:hint="eastAsia" w:ascii="仿宋" w:hAnsi="仿宋" w:eastAsia="仿宋" w:cs="仿宋"/>
          <w:b/>
          <w:bCs/>
          <w:sz w:val="32"/>
          <w:szCs w:val="32"/>
        </w:rPr>
        <w:t>万元，完成预算的</w:t>
      </w:r>
      <w:r>
        <w:rPr>
          <w:rFonts w:ascii="仿宋" w:hAnsi="仿宋" w:eastAsia="仿宋" w:cs="仿宋"/>
          <w:b/>
          <w:bCs/>
          <w:sz w:val="32"/>
          <w:szCs w:val="32"/>
        </w:rPr>
        <w:t>75.9</w:t>
      </w:r>
      <w:r>
        <w:rPr>
          <w:rFonts w:hint="eastAsia" w:ascii="仿宋" w:hAnsi="仿宋" w:eastAsia="仿宋" w:cs="仿宋"/>
          <w:b/>
          <w:bCs/>
          <w:sz w:val="32"/>
          <w:szCs w:val="32"/>
        </w:rPr>
        <w:t>%。通过项目实施，保障学校完成日常教学管理、专业建设、师资队伍建设、课程建设、科研、做好评选优质高校工作，增购纸质图书17055册、采购电子资源16种、开展科研项目研究26个、完成科研项目结题16个、在线开放课程制作16个、考试服务器扩容3台，发现的主要问题：受新冠疫情影响，学校教学活动未能完全开展，预算执行率不高。下一步改进措施：学校将结合工作实际，及时进行预算调整，进一步提高，进一步提高资金使用效益。</w:t>
      </w:r>
    </w:p>
    <w:tbl>
      <w:tblPr>
        <w:tblStyle w:val="12"/>
        <w:tblpPr w:leftFromText="180" w:rightFromText="180" w:vertAnchor="text" w:horzAnchor="page" w:tblpXSpec="center" w:tblpY="423"/>
        <w:tblOverlap w:val="never"/>
        <w:tblW w:w="9425" w:type="dxa"/>
        <w:jc w:val="center"/>
        <w:tblLayout w:type="fixed"/>
        <w:tblCellMar>
          <w:top w:w="0" w:type="dxa"/>
          <w:left w:w="0" w:type="dxa"/>
          <w:bottom w:w="0" w:type="dxa"/>
          <w:right w:w="0" w:type="dxa"/>
        </w:tblCellMar>
      </w:tblPr>
      <w:tblGrid>
        <w:gridCol w:w="638"/>
        <w:gridCol w:w="840"/>
        <w:gridCol w:w="855"/>
        <w:gridCol w:w="2841"/>
        <w:gridCol w:w="2136"/>
        <w:gridCol w:w="2115"/>
      </w:tblGrid>
      <w:tr>
        <w:tblPrEx>
          <w:tblCellMar>
            <w:top w:w="0" w:type="dxa"/>
            <w:left w:w="0" w:type="dxa"/>
            <w:bottom w:w="0" w:type="dxa"/>
            <w:right w:w="0" w:type="dxa"/>
          </w:tblCellMar>
        </w:tblPrEx>
        <w:trPr>
          <w:trHeight w:val="1034" w:hRule="atLeast"/>
          <w:jc w:val="center"/>
        </w:trPr>
        <w:tc>
          <w:tcPr>
            <w:tcW w:w="9425"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rPr>
              <w:t>项目绩效目标完成情况表</w:t>
            </w:r>
            <w:r>
              <w:rPr>
                <w:rFonts w:hint="eastAsia" w:ascii="宋体" w:hAnsi="宋体" w:cs="宋体"/>
                <w:b/>
                <w:bCs/>
                <w:kern w:val="0"/>
                <w:sz w:val="36"/>
                <w:szCs w:val="36"/>
              </w:rPr>
              <w:br w:type="textWrapping"/>
            </w:r>
            <w:r>
              <w:rPr>
                <w:rFonts w:hint="eastAsia" w:ascii="宋体" w:hAnsi="宋体" w:cs="宋体"/>
                <w:kern w:val="0"/>
                <w:sz w:val="36"/>
                <w:szCs w:val="36"/>
              </w:rPr>
              <w:t>(2020年度)</w:t>
            </w:r>
          </w:p>
        </w:tc>
      </w:tr>
      <w:tr>
        <w:tblPrEx>
          <w:tblCellMar>
            <w:top w:w="0" w:type="dxa"/>
            <w:left w:w="0" w:type="dxa"/>
            <w:bottom w:w="0" w:type="dxa"/>
            <w:right w:w="0" w:type="dxa"/>
          </w:tblCellMar>
        </w:tblPrEx>
        <w:trPr>
          <w:trHeight w:val="467" w:hRule="atLeast"/>
          <w:jc w:val="center"/>
        </w:trPr>
        <w:tc>
          <w:tcPr>
            <w:tcW w:w="23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项目名称</w:t>
            </w:r>
          </w:p>
        </w:tc>
        <w:tc>
          <w:tcPr>
            <w:tcW w:w="70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教学科研及教辅经费</w:t>
            </w:r>
          </w:p>
        </w:tc>
      </w:tr>
      <w:tr>
        <w:tblPrEx>
          <w:tblCellMar>
            <w:top w:w="0" w:type="dxa"/>
            <w:left w:w="0" w:type="dxa"/>
            <w:bottom w:w="0" w:type="dxa"/>
            <w:right w:w="0" w:type="dxa"/>
          </w:tblCellMar>
        </w:tblPrEx>
        <w:trPr>
          <w:trHeight w:val="407" w:hRule="atLeast"/>
          <w:jc w:val="center"/>
        </w:trPr>
        <w:tc>
          <w:tcPr>
            <w:tcW w:w="233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预算单位</w:t>
            </w:r>
          </w:p>
        </w:tc>
        <w:tc>
          <w:tcPr>
            <w:tcW w:w="70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四川文化产业职业学院（四川省干部函授学院）</w:t>
            </w:r>
          </w:p>
        </w:tc>
      </w:tr>
      <w:tr>
        <w:tblPrEx>
          <w:tblCellMar>
            <w:top w:w="0" w:type="dxa"/>
            <w:left w:w="0" w:type="dxa"/>
            <w:bottom w:w="0" w:type="dxa"/>
            <w:right w:w="0" w:type="dxa"/>
          </w:tblCellMar>
        </w:tblPrEx>
        <w:trPr>
          <w:trHeight w:val="407"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预算执行情况(万元)</w:t>
            </w:r>
          </w:p>
        </w:tc>
        <w:tc>
          <w:tcPr>
            <w:tcW w:w="16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预算数:</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2729.92</w:t>
            </w:r>
          </w:p>
        </w:tc>
        <w:tc>
          <w:tcPr>
            <w:tcW w:w="21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执行数:</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2072.1</w:t>
            </w:r>
          </w:p>
        </w:tc>
      </w:tr>
      <w:tr>
        <w:tblPrEx>
          <w:tblCellMar>
            <w:top w:w="0" w:type="dxa"/>
            <w:left w:w="0" w:type="dxa"/>
            <w:bottom w:w="0" w:type="dxa"/>
            <w:right w:w="0" w:type="dxa"/>
          </w:tblCellMar>
        </w:tblPrEx>
        <w:trPr>
          <w:trHeight w:val="512"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6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1206.12</w:t>
            </w:r>
          </w:p>
        </w:tc>
        <w:tc>
          <w:tcPr>
            <w:tcW w:w="21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1184.43</w:t>
            </w:r>
          </w:p>
        </w:tc>
      </w:tr>
      <w:tr>
        <w:tblPrEx>
          <w:tblCellMar>
            <w:top w:w="0" w:type="dxa"/>
            <w:left w:w="0" w:type="dxa"/>
            <w:bottom w:w="0" w:type="dxa"/>
            <w:right w:w="0" w:type="dxa"/>
          </w:tblCellMar>
        </w:tblPrEx>
        <w:trPr>
          <w:trHeight w:val="706"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6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1523.8</w:t>
            </w:r>
          </w:p>
        </w:tc>
        <w:tc>
          <w:tcPr>
            <w:tcW w:w="21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ascii="宋体" w:hAnsi="宋体" w:cs="宋体"/>
                <w:sz w:val="24"/>
              </w:rPr>
              <w:t>887.67</w:t>
            </w:r>
          </w:p>
        </w:tc>
      </w:tr>
      <w:tr>
        <w:tblPrEx>
          <w:tblCellMar>
            <w:top w:w="0" w:type="dxa"/>
            <w:left w:w="0" w:type="dxa"/>
            <w:bottom w:w="0" w:type="dxa"/>
            <w:right w:w="0" w:type="dxa"/>
          </w:tblCellMar>
        </w:tblPrEx>
        <w:trPr>
          <w:trHeight w:val="542"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53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预期目标</w:t>
            </w:r>
          </w:p>
        </w:tc>
        <w:tc>
          <w:tcPr>
            <w:tcW w:w="42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3305" w:hRule="atLeast"/>
          <w:jc w:val="center"/>
        </w:trPr>
        <w:tc>
          <w:tcPr>
            <w:tcW w:w="63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53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sz w:val="24"/>
              </w:rPr>
            </w:pPr>
            <w:r>
              <w:rPr>
                <w:rFonts w:hint="eastAsia" w:ascii="宋体" w:hAnsi="宋体" w:cs="宋体"/>
                <w:sz w:val="24"/>
              </w:rPr>
              <w:t>根据《中共四川省委、四川省人民政府关于印发&lt;四川省中长期教育改革和发展规划纲要（2010—2020年）&gt;的通知》(川委发〔2010〕18号)、《四川省教育厅关于实施四川省优质高等职业院校建设计划的通知》（川教函[2017]418号）文件，完成日常教学管理、专业建设、师资队伍建设、课程建设、科研、做好评选优质高校工作等费用。</w:t>
            </w:r>
          </w:p>
        </w:tc>
        <w:tc>
          <w:tcPr>
            <w:tcW w:w="42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sz w:val="24"/>
              </w:rPr>
            </w:pPr>
            <w:r>
              <w:rPr>
                <w:rFonts w:hint="eastAsia" w:ascii="宋体" w:hAnsi="宋体" w:cs="宋体"/>
                <w:sz w:val="24"/>
              </w:rPr>
              <w:t>完成日常教学管理、专业建设、师资队伍建设、课程建设、科研、做好评选优质高校工作，增购纸质图书17055册、采购电子资源16种、开展科研项目研究26个、完成科研项目结题16个、在线开放课程制作16个、考试服务器扩容3台。</w:t>
            </w:r>
          </w:p>
        </w:tc>
      </w:tr>
      <w:tr>
        <w:tblPrEx>
          <w:tblCellMar>
            <w:top w:w="0" w:type="dxa"/>
            <w:left w:w="0" w:type="dxa"/>
            <w:bottom w:w="0" w:type="dxa"/>
            <w:right w:w="0" w:type="dxa"/>
          </w:tblCellMar>
        </w:tblPrEx>
        <w:trPr>
          <w:trHeight w:val="804" w:hRule="atLeast"/>
          <w:jc w:val="center"/>
        </w:trPr>
        <w:tc>
          <w:tcPr>
            <w:tcW w:w="63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一级</w:t>
            </w:r>
          </w:p>
          <w:p>
            <w:pPr>
              <w:widowControl/>
              <w:jc w:val="center"/>
              <w:textAlignment w:val="center"/>
              <w:rPr>
                <w:rFonts w:ascii="宋体" w:hAnsi="宋体" w:cs="宋体"/>
                <w:sz w:val="24"/>
              </w:rPr>
            </w:pPr>
            <w:r>
              <w:rPr>
                <w:rFonts w:hint="eastAsia" w:ascii="宋体" w:hAnsi="宋体" w:cs="宋体"/>
                <w:kern w:val="0"/>
                <w:sz w:val="24"/>
              </w:rPr>
              <w:t>指标</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二级</w:t>
            </w:r>
          </w:p>
          <w:p>
            <w:pPr>
              <w:widowControl/>
              <w:jc w:val="center"/>
              <w:textAlignment w:val="center"/>
              <w:rPr>
                <w:rFonts w:ascii="宋体" w:hAnsi="宋体" w:cs="宋体"/>
                <w:sz w:val="24"/>
              </w:rPr>
            </w:pPr>
            <w:r>
              <w:rPr>
                <w:rFonts w:hint="eastAsia" w:ascii="宋体" w:hAnsi="宋体" w:cs="宋体"/>
                <w:kern w:val="0"/>
                <w:sz w:val="24"/>
              </w:rPr>
              <w:t>指标</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三级指标</w:t>
            </w:r>
          </w:p>
        </w:tc>
        <w:tc>
          <w:tcPr>
            <w:tcW w:w="21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预期指标值(包含数字及文字描述)</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实际完成指标值(包含数字及文字描述)</w:t>
            </w:r>
          </w:p>
        </w:tc>
      </w:tr>
      <w:tr>
        <w:tblPrEx>
          <w:tblCellMar>
            <w:top w:w="0" w:type="dxa"/>
            <w:left w:w="0" w:type="dxa"/>
            <w:bottom w:w="0" w:type="dxa"/>
            <w:right w:w="0" w:type="dxa"/>
          </w:tblCellMar>
        </w:tblPrEx>
        <w:trPr>
          <w:trHeight w:val="798" w:hRule="atLeast"/>
          <w:jc w:val="center"/>
        </w:trPr>
        <w:tc>
          <w:tcPr>
            <w:tcW w:w="63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增购纸质图书</w:t>
            </w:r>
          </w:p>
        </w:tc>
        <w:tc>
          <w:tcPr>
            <w:tcW w:w="21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10000</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17055</w:t>
            </w:r>
          </w:p>
        </w:tc>
      </w:tr>
      <w:tr>
        <w:tblPrEx>
          <w:tblCellMar>
            <w:top w:w="0" w:type="dxa"/>
            <w:left w:w="0" w:type="dxa"/>
            <w:bottom w:w="0" w:type="dxa"/>
            <w:right w:w="0" w:type="dxa"/>
          </w:tblCellMar>
        </w:tblPrEx>
        <w:trPr>
          <w:trHeight w:val="812" w:hRule="atLeast"/>
          <w:jc w:val="center"/>
        </w:trPr>
        <w:tc>
          <w:tcPr>
            <w:tcW w:w="63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采购电子资源</w:t>
            </w:r>
          </w:p>
        </w:tc>
        <w:tc>
          <w:tcPr>
            <w:tcW w:w="21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15</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16</w:t>
            </w:r>
          </w:p>
        </w:tc>
      </w:tr>
      <w:tr>
        <w:tblPrEx>
          <w:tblCellMar>
            <w:top w:w="0" w:type="dxa"/>
            <w:left w:w="0" w:type="dxa"/>
            <w:bottom w:w="0" w:type="dxa"/>
            <w:right w:w="0" w:type="dxa"/>
          </w:tblCellMar>
        </w:tblPrEx>
        <w:trPr>
          <w:trHeight w:val="987" w:hRule="atLeast"/>
          <w:jc w:val="center"/>
        </w:trPr>
        <w:tc>
          <w:tcPr>
            <w:tcW w:w="63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开展科研项目研究</w:t>
            </w:r>
          </w:p>
        </w:tc>
        <w:tc>
          <w:tcPr>
            <w:tcW w:w="21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25</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26</w:t>
            </w:r>
          </w:p>
        </w:tc>
      </w:tr>
      <w:tr>
        <w:tblPrEx>
          <w:tblCellMar>
            <w:top w:w="0" w:type="dxa"/>
            <w:left w:w="0" w:type="dxa"/>
            <w:bottom w:w="0" w:type="dxa"/>
            <w:right w:w="0" w:type="dxa"/>
          </w:tblCellMar>
        </w:tblPrEx>
        <w:trPr>
          <w:trHeight w:val="687" w:hRule="atLeast"/>
          <w:jc w:val="center"/>
        </w:trPr>
        <w:tc>
          <w:tcPr>
            <w:tcW w:w="63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项目完成指标</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完成科研项目结题</w:t>
            </w:r>
          </w:p>
        </w:tc>
        <w:tc>
          <w:tcPr>
            <w:tcW w:w="21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13</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15</w:t>
            </w:r>
          </w:p>
        </w:tc>
      </w:tr>
      <w:tr>
        <w:tblPrEx>
          <w:tblCellMar>
            <w:top w:w="0" w:type="dxa"/>
            <w:left w:w="0" w:type="dxa"/>
            <w:bottom w:w="0" w:type="dxa"/>
            <w:right w:w="0" w:type="dxa"/>
          </w:tblCellMar>
        </w:tblPrEx>
        <w:trPr>
          <w:trHeight w:val="667" w:hRule="atLeast"/>
          <w:jc w:val="center"/>
        </w:trPr>
        <w:tc>
          <w:tcPr>
            <w:tcW w:w="63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在线开放课程制作</w:t>
            </w:r>
          </w:p>
        </w:tc>
        <w:tc>
          <w:tcPr>
            <w:tcW w:w="21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16</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16</w:t>
            </w:r>
          </w:p>
        </w:tc>
      </w:tr>
      <w:tr>
        <w:tblPrEx>
          <w:tblCellMar>
            <w:top w:w="0" w:type="dxa"/>
            <w:left w:w="0" w:type="dxa"/>
            <w:bottom w:w="0" w:type="dxa"/>
            <w:right w:w="0" w:type="dxa"/>
          </w:tblCellMar>
        </w:tblPrEx>
        <w:trPr>
          <w:trHeight w:val="742" w:hRule="atLeast"/>
          <w:jc w:val="center"/>
        </w:trPr>
        <w:tc>
          <w:tcPr>
            <w:tcW w:w="63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考试服务器扩容</w:t>
            </w:r>
          </w:p>
        </w:tc>
        <w:tc>
          <w:tcPr>
            <w:tcW w:w="21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w:t>
            </w:r>
          </w:p>
        </w:tc>
      </w:tr>
      <w:tr>
        <w:tblPrEx>
          <w:tblCellMar>
            <w:top w:w="0" w:type="dxa"/>
            <w:left w:w="0" w:type="dxa"/>
            <w:bottom w:w="0" w:type="dxa"/>
            <w:right w:w="0" w:type="dxa"/>
          </w:tblCellMar>
        </w:tblPrEx>
        <w:trPr>
          <w:trHeight w:val="657" w:hRule="atLeast"/>
          <w:jc w:val="center"/>
        </w:trPr>
        <w:tc>
          <w:tcPr>
            <w:tcW w:w="63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时效</w:t>
            </w:r>
          </w:p>
          <w:p>
            <w:pPr>
              <w:widowControl/>
              <w:jc w:val="center"/>
              <w:textAlignment w:val="center"/>
              <w:rPr>
                <w:rFonts w:ascii="宋体" w:hAnsi="宋体" w:cs="宋体"/>
                <w:sz w:val="24"/>
              </w:rPr>
            </w:pPr>
            <w:r>
              <w:rPr>
                <w:rFonts w:hint="eastAsia" w:ascii="宋体" w:hAnsi="宋体" w:cs="宋体"/>
                <w:sz w:val="24"/>
              </w:rPr>
              <w:t>指标</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完成时限</w:t>
            </w:r>
          </w:p>
        </w:tc>
        <w:tc>
          <w:tcPr>
            <w:tcW w:w="21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2020年12月</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2020年12月</w:t>
            </w:r>
          </w:p>
        </w:tc>
      </w:tr>
      <w:tr>
        <w:tblPrEx>
          <w:tblCellMar>
            <w:top w:w="0" w:type="dxa"/>
            <w:left w:w="0" w:type="dxa"/>
            <w:bottom w:w="0" w:type="dxa"/>
            <w:right w:w="0" w:type="dxa"/>
          </w:tblCellMar>
        </w:tblPrEx>
        <w:trPr>
          <w:trHeight w:val="687" w:hRule="atLeast"/>
          <w:jc w:val="center"/>
        </w:trPr>
        <w:tc>
          <w:tcPr>
            <w:tcW w:w="63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效益</w:t>
            </w:r>
          </w:p>
          <w:p>
            <w:pPr>
              <w:widowControl/>
              <w:jc w:val="center"/>
              <w:textAlignment w:val="center"/>
              <w:rPr>
                <w:rFonts w:ascii="宋体" w:hAnsi="宋体" w:cs="宋体"/>
                <w:sz w:val="24"/>
              </w:rPr>
            </w:pPr>
            <w:r>
              <w:rPr>
                <w:rFonts w:hint="eastAsia" w:ascii="宋体" w:hAnsi="宋体" w:cs="宋体"/>
                <w:kern w:val="0"/>
                <w:sz w:val="24"/>
              </w:rPr>
              <w:t>指标</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学校基本办学条件和服务社会能力</w:t>
            </w:r>
          </w:p>
        </w:tc>
        <w:tc>
          <w:tcPr>
            <w:tcW w:w="21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良好</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良好</w:t>
            </w:r>
          </w:p>
        </w:tc>
      </w:tr>
      <w:tr>
        <w:tblPrEx>
          <w:tblCellMar>
            <w:top w:w="0" w:type="dxa"/>
            <w:left w:w="0" w:type="dxa"/>
            <w:bottom w:w="0" w:type="dxa"/>
            <w:right w:w="0" w:type="dxa"/>
          </w:tblCellMar>
        </w:tblPrEx>
        <w:trPr>
          <w:trHeight w:val="977" w:hRule="atLeast"/>
          <w:jc w:val="center"/>
        </w:trPr>
        <w:tc>
          <w:tcPr>
            <w:tcW w:w="638"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效益</w:t>
            </w:r>
          </w:p>
          <w:p>
            <w:pPr>
              <w:widowControl/>
              <w:jc w:val="center"/>
              <w:textAlignment w:val="center"/>
              <w:rPr>
                <w:rFonts w:ascii="宋体" w:hAnsi="宋体" w:cs="宋体"/>
                <w:kern w:val="0"/>
                <w:sz w:val="24"/>
              </w:rPr>
            </w:pPr>
            <w:r>
              <w:rPr>
                <w:rFonts w:hint="eastAsia" w:ascii="宋体" w:hAnsi="宋体" w:cs="宋体"/>
                <w:kern w:val="0"/>
                <w:sz w:val="24"/>
              </w:rPr>
              <w:t>指标</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可持续影响</w:t>
            </w:r>
          </w:p>
          <w:p>
            <w:pPr>
              <w:widowControl/>
              <w:jc w:val="center"/>
              <w:textAlignment w:val="center"/>
              <w:rPr>
                <w:rFonts w:ascii="宋体" w:hAnsi="宋体" w:cs="宋体"/>
                <w:sz w:val="24"/>
              </w:rPr>
            </w:pPr>
            <w:r>
              <w:rPr>
                <w:rFonts w:hint="eastAsia" w:ascii="宋体" w:hAnsi="宋体" w:cs="宋体"/>
                <w:sz w:val="24"/>
              </w:rPr>
              <w:t>指标</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标准化考场使用年限</w:t>
            </w:r>
          </w:p>
        </w:tc>
        <w:tc>
          <w:tcPr>
            <w:tcW w:w="21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不低于5年</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不低于5年</w:t>
            </w:r>
          </w:p>
        </w:tc>
      </w:tr>
      <w:tr>
        <w:tblPrEx>
          <w:tblCellMar>
            <w:top w:w="0" w:type="dxa"/>
            <w:left w:w="0" w:type="dxa"/>
            <w:bottom w:w="0" w:type="dxa"/>
            <w:right w:w="0" w:type="dxa"/>
          </w:tblCellMar>
        </w:tblPrEx>
        <w:trPr>
          <w:trHeight w:val="775" w:hRule="atLeast"/>
          <w:jc w:val="center"/>
        </w:trPr>
        <w:tc>
          <w:tcPr>
            <w:tcW w:w="63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满意度指标</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满意度指标</w:t>
            </w:r>
          </w:p>
        </w:tc>
        <w:tc>
          <w:tcPr>
            <w:tcW w:w="28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教师，学生满意度</w:t>
            </w:r>
          </w:p>
        </w:tc>
        <w:tc>
          <w:tcPr>
            <w:tcW w:w="21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95%</w:t>
            </w:r>
          </w:p>
        </w:tc>
        <w:tc>
          <w:tcPr>
            <w:tcW w:w="21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95%</w:t>
            </w:r>
          </w:p>
        </w:tc>
      </w:tr>
    </w:tbl>
    <w:p>
      <w:pPr>
        <w:pStyle w:val="2"/>
        <w:keepNext w:val="0"/>
        <w:keepLines w:val="0"/>
        <w:pageBreakBefore w:val="0"/>
        <w:widowControl w:val="0"/>
        <w:kinsoku/>
        <w:wordWrap/>
        <w:overflowPunct/>
        <w:topLinePunct w:val="0"/>
        <w:autoSpaceDE/>
        <w:autoSpaceDN/>
        <w:bidi w:val="0"/>
        <w:adjustRightInd/>
        <w:snapToGrid/>
        <w:spacing w:before="93" w:line="24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w:t>
      </w:r>
      <w:r>
        <w:rPr>
          <w:rFonts w:ascii="仿宋" w:hAnsi="仿宋" w:eastAsia="仿宋" w:cs="仿宋"/>
          <w:b/>
          <w:bCs/>
          <w:sz w:val="32"/>
          <w:szCs w:val="32"/>
        </w:rPr>
        <w:t>5</w:t>
      </w:r>
      <w:r>
        <w:rPr>
          <w:rFonts w:hint="eastAsia" w:ascii="仿宋" w:hAnsi="仿宋" w:eastAsia="仿宋" w:cs="仿宋"/>
          <w:b/>
          <w:bCs/>
          <w:sz w:val="32"/>
          <w:szCs w:val="32"/>
        </w:rPr>
        <w:t>）202</w:t>
      </w:r>
      <w:r>
        <w:rPr>
          <w:rFonts w:ascii="仿宋" w:hAnsi="仿宋" w:eastAsia="仿宋" w:cs="仿宋"/>
          <w:b/>
          <w:bCs/>
          <w:sz w:val="32"/>
          <w:szCs w:val="32"/>
        </w:rPr>
        <w:t>0</w:t>
      </w:r>
      <w:r>
        <w:rPr>
          <w:rFonts w:hint="eastAsia" w:ascii="仿宋" w:hAnsi="仿宋" w:eastAsia="仿宋" w:cs="仿宋"/>
          <w:b/>
          <w:bCs/>
          <w:sz w:val="32"/>
          <w:szCs w:val="32"/>
        </w:rPr>
        <w:t>年普通高校学生资助补助经费项目绩效目标完成情况综述。项目全年预算数</w:t>
      </w:r>
      <w:r>
        <w:rPr>
          <w:rFonts w:ascii="仿宋" w:hAnsi="仿宋" w:eastAsia="仿宋" w:cs="仿宋"/>
          <w:b/>
          <w:bCs/>
          <w:sz w:val="32"/>
          <w:szCs w:val="32"/>
        </w:rPr>
        <w:t>1056</w:t>
      </w:r>
      <w:r>
        <w:rPr>
          <w:rFonts w:hint="eastAsia" w:ascii="仿宋" w:hAnsi="仿宋" w:eastAsia="仿宋" w:cs="仿宋"/>
          <w:b/>
          <w:bCs/>
          <w:sz w:val="32"/>
          <w:szCs w:val="32"/>
        </w:rPr>
        <w:t>万元，执行数为</w:t>
      </w:r>
      <w:r>
        <w:rPr>
          <w:rFonts w:ascii="仿宋" w:hAnsi="仿宋" w:eastAsia="仿宋" w:cs="仿宋"/>
          <w:b/>
          <w:bCs/>
          <w:sz w:val="32"/>
          <w:szCs w:val="32"/>
        </w:rPr>
        <w:t>1056</w:t>
      </w:r>
      <w:r>
        <w:rPr>
          <w:rFonts w:hint="eastAsia" w:ascii="仿宋" w:hAnsi="仿宋" w:eastAsia="仿宋" w:cs="仿宋"/>
          <w:b/>
          <w:bCs/>
          <w:sz w:val="32"/>
          <w:szCs w:val="32"/>
        </w:rPr>
        <w:t>万元，完成预算的</w:t>
      </w:r>
      <w:r>
        <w:rPr>
          <w:rFonts w:ascii="仿宋" w:hAnsi="仿宋" w:eastAsia="仿宋" w:cs="仿宋"/>
          <w:b/>
          <w:bCs/>
          <w:sz w:val="32"/>
          <w:szCs w:val="32"/>
        </w:rPr>
        <w:t>100</w:t>
      </w:r>
      <w:r>
        <w:rPr>
          <w:rFonts w:hint="eastAsia" w:ascii="仿宋" w:hAnsi="仿宋" w:eastAsia="仿宋" w:cs="仿宋"/>
          <w:b/>
          <w:bCs/>
          <w:sz w:val="32"/>
          <w:szCs w:val="32"/>
        </w:rPr>
        <w:t>%。通过项目实施，保障项目经费用于资助国家奖助学金2979人次，资助入伍服义务兵役学生40人次，资助家庭经济困难学生3000人次。</w:t>
      </w:r>
    </w:p>
    <w:tbl>
      <w:tblPr>
        <w:tblStyle w:val="12"/>
        <w:tblpPr w:leftFromText="180" w:rightFromText="180" w:vertAnchor="text" w:horzAnchor="page" w:tblpXSpec="center" w:tblpY="423"/>
        <w:tblOverlap w:val="never"/>
        <w:tblW w:w="9305" w:type="dxa"/>
        <w:jc w:val="center"/>
        <w:tblLayout w:type="fixed"/>
        <w:tblCellMar>
          <w:top w:w="0" w:type="dxa"/>
          <w:left w:w="0" w:type="dxa"/>
          <w:bottom w:w="0" w:type="dxa"/>
          <w:right w:w="0" w:type="dxa"/>
        </w:tblCellMar>
      </w:tblPr>
      <w:tblGrid>
        <w:gridCol w:w="713"/>
        <w:gridCol w:w="792"/>
        <w:gridCol w:w="885"/>
        <w:gridCol w:w="2784"/>
        <w:gridCol w:w="1989"/>
        <w:gridCol w:w="2142"/>
      </w:tblGrid>
      <w:tr>
        <w:tblPrEx>
          <w:tblCellMar>
            <w:top w:w="0" w:type="dxa"/>
            <w:left w:w="0" w:type="dxa"/>
            <w:bottom w:w="0" w:type="dxa"/>
            <w:right w:w="0" w:type="dxa"/>
          </w:tblCellMar>
        </w:tblPrEx>
        <w:trPr>
          <w:trHeight w:val="1034" w:hRule="atLeast"/>
          <w:jc w:val="center"/>
        </w:trPr>
        <w:tc>
          <w:tcPr>
            <w:tcW w:w="9305"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rPr>
              <w:t>项目绩效目标完成情况表</w:t>
            </w:r>
            <w:r>
              <w:rPr>
                <w:rFonts w:hint="eastAsia" w:ascii="宋体" w:hAnsi="宋体" w:cs="宋体"/>
                <w:b/>
                <w:bCs/>
                <w:kern w:val="0"/>
                <w:sz w:val="36"/>
                <w:szCs w:val="36"/>
              </w:rPr>
              <w:br w:type="textWrapping"/>
            </w:r>
            <w:r>
              <w:rPr>
                <w:rFonts w:hint="eastAsia" w:ascii="宋体" w:hAnsi="宋体" w:cs="宋体"/>
                <w:kern w:val="0"/>
                <w:sz w:val="36"/>
                <w:szCs w:val="36"/>
              </w:rPr>
              <w:t>(2020年度)</w:t>
            </w:r>
          </w:p>
        </w:tc>
      </w:tr>
      <w:tr>
        <w:tblPrEx>
          <w:tblCellMar>
            <w:top w:w="0" w:type="dxa"/>
            <w:left w:w="0" w:type="dxa"/>
            <w:bottom w:w="0" w:type="dxa"/>
            <w:right w:w="0" w:type="dxa"/>
          </w:tblCellMar>
        </w:tblPrEx>
        <w:trPr>
          <w:trHeight w:val="512" w:hRule="atLeast"/>
          <w:jc w:val="center"/>
        </w:trPr>
        <w:tc>
          <w:tcPr>
            <w:tcW w:w="23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项目名称</w:t>
            </w:r>
          </w:p>
        </w:tc>
        <w:tc>
          <w:tcPr>
            <w:tcW w:w="691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学生勤工助学困难补助及活动费</w:t>
            </w:r>
          </w:p>
        </w:tc>
      </w:tr>
      <w:tr>
        <w:tblPrEx>
          <w:tblCellMar>
            <w:top w:w="0" w:type="dxa"/>
            <w:left w:w="0" w:type="dxa"/>
            <w:bottom w:w="0" w:type="dxa"/>
            <w:right w:w="0" w:type="dxa"/>
          </w:tblCellMar>
        </w:tblPrEx>
        <w:trPr>
          <w:trHeight w:val="527" w:hRule="atLeast"/>
          <w:jc w:val="center"/>
        </w:trPr>
        <w:tc>
          <w:tcPr>
            <w:tcW w:w="239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预算单位</w:t>
            </w:r>
          </w:p>
        </w:tc>
        <w:tc>
          <w:tcPr>
            <w:tcW w:w="691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四川文化产业职业学院（四川省干部函授学院）</w:t>
            </w:r>
          </w:p>
        </w:tc>
      </w:tr>
      <w:tr>
        <w:tblPrEx>
          <w:tblCellMar>
            <w:top w:w="0" w:type="dxa"/>
            <w:left w:w="0" w:type="dxa"/>
            <w:bottom w:w="0" w:type="dxa"/>
            <w:right w:w="0" w:type="dxa"/>
          </w:tblCellMar>
        </w:tblPrEx>
        <w:trPr>
          <w:trHeight w:val="482" w:hRule="atLeast"/>
          <w:jc w:val="center"/>
        </w:trPr>
        <w:tc>
          <w:tcPr>
            <w:tcW w:w="71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预算执行情况(万元)</w:t>
            </w:r>
          </w:p>
        </w:tc>
        <w:tc>
          <w:tcPr>
            <w:tcW w:w="16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预算数:</w:t>
            </w:r>
          </w:p>
        </w:tc>
        <w:tc>
          <w:tcPr>
            <w:tcW w:w="2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578</w:t>
            </w:r>
          </w:p>
        </w:tc>
        <w:tc>
          <w:tcPr>
            <w:tcW w:w="1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执行数:</w:t>
            </w:r>
          </w:p>
        </w:tc>
        <w:tc>
          <w:tcPr>
            <w:tcW w:w="2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462.55</w:t>
            </w:r>
          </w:p>
        </w:tc>
      </w:tr>
      <w:tr>
        <w:tblPrEx>
          <w:tblCellMar>
            <w:top w:w="0" w:type="dxa"/>
            <w:left w:w="0" w:type="dxa"/>
            <w:bottom w:w="0" w:type="dxa"/>
            <w:right w:w="0" w:type="dxa"/>
          </w:tblCellMar>
        </w:tblPrEx>
        <w:trPr>
          <w:trHeight w:val="622"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6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172</w:t>
            </w:r>
          </w:p>
        </w:tc>
        <w:tc>
          <w:tcPr>
            <w:tcW w:w="1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其中-财政拨款:</w:t>
            </w:r>
          </w:p>
        </w:tc>
        <w:tc>
          <w:tcPr>
            <w:tcW w:w="2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161.7</w:t>
            </w:r>
          </w:p>
        </w:tc>
      </w:tr>
      <w:tr>
        <w:tblPrEx>
          <w:tblCellMar>
            <w:top w:w="0" w:type="dxa"/>
            <w:left w:w="0" w:type="dxa"/>
            <w:bottom w:w="0" w:type="dxa"/>
            <w:right w:w="0" w:type="dxa"/>
          </w:tblCellMar>
        </w:tblPrEx>
        <w:trPr>
          <w:trHeight w:val="526"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167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406</w:t>
            </w:r>
          </w:p>
        </w:tc>
        <w:tc>
          <w:tcPr>
            <w:tcW w:w="1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其它资金:</w:t>
            </w:r>
          </w:p>
        </w:tc>
        <w:tc>
          <w:tcPr>
            <w:tcW w:w="2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ascii="宋体" w:hAnsi="宋体" w:cs="宋体"/>
                <w:sz w:val="24"/>
              </w:rPr>
              <w:t>300.85</w:t>
            </w:r>
          </w:p>
        </w:tc>
      </w:tr>
      <w:tr>
        <w:tblPrEx>
          <w:tblCellMar>
            <w:top w:w="0" w:type="dxa"/>
            <w:left w:w="0" w:type="dxa"/>
            <w:bottom w:w="0" w:type="dxa"/>
            <w:right w:w="0" w:type="dxa"/>
          </w:tblCellMar>
        </w:tblPrEx>
        <w:trPr>
          <w:trHeight w:val="497" w:hRule="atLeast"/>
          <w:jc w:val="center"/>
        </w:trPr>
        <w:tc>
          <w:tcPr>
            <w:tcW w:w="71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年度目标完成情况</w:t>
            </w:r>
          </w:p>
        </w:tc>
        <w:tc>
          <w:tcPr>
            <w:tcW w:w="446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预期目标</w:t>
            </w:r>
          </w:p>
        </w:tc>
        <w:tc>
          <w:tcPr>
            <w:tcW w:w="413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1159" w:hRule="atLeast"/>
          <w:jc w:val="center"/>
        </w:trPr>
        <w:tc>
          <w:tcPr>
            <w:tcW w:w="71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46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sz w:val="24"/>
              </w:rPr>
            </w:pPr>
            <w:r>
              <w:rPr>
                <w:rFonts w:hint="eastAsia" w:ascii="宋体" w:hAnsi="宋体" w:cs="宋体"/>
                <w:sz w:val="24"/>
              </w:rPr>
              <w:t>根据《中共四川省委、四川省人民政府关于印发&lt;四川省中长期教育改革和发展规划纲要（2010—2020年）&gt;的通知》(川委发〔2010〕18号)、《四川省教育厅关于实施四川省优质高等职业院校建设计划的通知》（川教函[2017]418号）文件规定开展相关工作《高等学校勤工助学管理办法》（教材[2007]7号0和 团中央最新规定，高效应按不少于200元/生/年 学生日常活动费）用于开展暑期社会实践活动，加强学生安全教育，提高辅导员队伍素质能力，发放奖助学及勤工助学补助。</w:t>
            </w:r>
          </w:p>
        </w:tc>
        <w:tc>
          <w:tcPr>
            <w:tcW w:w="413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ascii="宋体" w:hAnsi="宋体" w:cs="宋体"/>
                <w:sz w:val="24"/>
              </w:rPr>
            </w:pPr>
            <w:r>
              <w:rPr>
                <w:rFonts w:hint="eastAsia" w:ascii="宋体" w:hAnsi="宋体" w:cs="宋体"/>
                <w:sz w:val="24"/>
              </w:rPr>
              <w:t>开展暑期社会实践活动1次，开展辅导员素质能力提升项目1次发放奖学金1461人次，勤工助学补助243人次，校级评优评奖1800人次。</w:t>
            </w:r>
          </w:p>
        </w:tc>
      </w:tr>
      <w:tr>
        <w:tblPrEx>
          <w:tblCellMar>
            <w:top w:w="0" w:type="dxa"/>
            <w:left w:w="0" w:type="dxa"/>
            <w:bottom w:w="0" w:type="dxa"/>
            <w:right w:w="0" w:type="dxa"/>
          </w:tblCellMar>
        </w:tblPrEx>
        <w:trPr>
          <w:trHeight w:val="727" w:hRule="atLeast"/>
          <w:jc w:val="center"/>
        </w:trPr>
        <w:tc>
          <w:tcPr>
            <w:tcW w:w="71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一级</w:t>
            </w:r>
          </w:p>
          <w:p>
            <w:pPr>
              <w:widowControl/>
              <w:jc w:val="center"/>
              <w:textAlignment w:val="center"/>
              <w:rPr>
                <w:rFonts w:ascii="宋体" w:hAnsi="宋体" w:cs="宋体"/>
                <w:sz w:val="24"/>
              </w:rPr>
            </w:pPr>
            <w:r>
              <w:rPr>
                <w:rFonts w:hint="eastAsia" w:ascii="宋体" w:hAnsi="宋体" w:cs="宋体"/>
                <w:kern w:val="0"/>
                <w:sz w:val="24"/>
              </w:rPr>
              <w:t>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二级</w:t>
            </w:r>
          </w:p>
          <w:p>
            <w:pPr>
              <w:widowControl/>
              <w:jc w:val="center"/>
              <w:textAlignment w:val="center"/>
              <w:rPr>
                <w:rFonts w:ascii="宋体" w:hAnsi="宋体" w:cs="宋体"/>
                <w:sz w:val="24"/>
              </w:rPr>
            </w:pPr>
            <w:r>
              <w:rPr>
                <w:rFonts w:hint="eastAsia" w:ascii="宋体" w:hAnsi="宋体" w:cs="宋体"/>
                <w:kern w:val="0"/>
                <w:sz w:val="24"/>
              </w:rPr>
              <w:t>指标</w:t>
            </w:r>
          </w:p>
        </w:tc>
        <w:tc>
          <w:tcPr>
            <w:tcW w:w="2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三级指标</w:t>
            </w:r>
          </w:p>
        </w:tc>
        <w:tc>
          <w:tcPr>
            <w:tcW w:w="1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预期指标值(包含数字及文字描述)</w:t>
            </w:r>
          </w:p>
        </w:tc>
        <w:tc>
          <w:tcPr>
            <w:tcW w:w="2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实际完成指标值(包含数字及文字描述)</w:t>
            </w:r>
          </w:p>
        </w:tc>
      </w:tr>
      <w:tr>
        <w:tblPrEx>
          <w:tblCellMar>
            <w:top w:w="0" w:type="dxa"/>
            <w:left w:w="0" w:type="dxa"/>
            <w:bottom w:w="0" w:type="dxa"/>
            <w:right w:w="0" w:type="dxa"/>
          </w:tblCellMar>
        </w:tblPrEx>
        <w:trPr>
          <w:trHeight w:val="793" w:hRule="atLeast"/>
          <w:jc w:val="center"/>
        </w:trPr>
        <w:tc>
          <w:tcPr>
            <w:tcW w:w="71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开展暑期社会实践活动</w:t>
            </w:r>
          </w:p>
        </w:tc>
        <w:tc>
          <w:tcPr>
            <w:tcW w:w="1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w:t>
            </w:r>
          </w:p>
        </w:tc>
        <w:tc>
          <w:tcPr>
            <w:tcW w:w="2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w:t>
            </w:r>
          </w:p>
        </w:tc>
      </w:tr>
      <w:tr>
        <w:tblPrEx>
          <w:tblCellMar>
            <w:top w:w="0" w:type="dxa"/>
            <w:left w:w="0" w:type="dxa"/>
            <w:bottom w:w="0" w:type="dxa"/>
            <w:right w:w="0" w:type="dxa"/>
          </w:tblCellMar>
        </w:tblPrEx>
        <w:trPr>
          <w:trHeight w:val="742" w:hRule="atLeast"/>
          <w:jc w:val="center"/>
        </w:trPr>
        <w:tc>
          <w:tcPr>
            <w:tcW w:w="71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开展辅导员素质能力提升项目</w:t>
            </w:r>
          </w:p>
        </w:tc>
        <w:tc>
          <w:tcPr>
            <w:tcW w:w="1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w:t>
            </w:r>
          </w:p>
        </w:tc>
        <w:tc>
          <w:tcPr>
            <w:tcW w:w="2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w:t>
            </w:r>
          </w:p>
        </w:tc>
      </w:tr>
      <w:tr>
        <w:tblPrEx>
          <w:tblCellMar>
            <w:top w:w="0" w:type="dxa"/>
            <w:left w:w="0" w:type="dxa"/>
            <w:bottom w:w="0" w:type="dxa"/>
            <w:right w:w="0" w:type="dxa"/>
          </w:tblCellMar>
        </w:tblPrEx>
        <w:trPr>
          <w:trHeight w:val="784" w:hRule="atLeast"/>
          <w:jc w:val="center"/>
        </w:trPr>
        <w:tc>
          <w:tcPr>
            <w:tcW w:w="71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校级奖学金</w:t>
            </w:r>
          </w:p>
        </w:tc>
        <w:tc>
          <w:tcPr>
            <w:tcW w:w="1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w:t>
            </w:r>
            <w:r>
              <w:rPr>
                <w:rFonts w:ascii="宋体" w:hAnsi="宋体" w:cs="宋体"/>
                <w:sz w:val="24"/>
              </w:rPr>
              <w:t>300</w:t>
            </w:r>
          </w:p>
        </w:tc>
        <w:tc>
          <w:tcPr>
            <w:tcW w:w="2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1461</w:t>
            </w:r>
          </w:p>
        </w:tc>
      </w:tr>
      <w:tr>
        <w:tblPrEx>
          <w:tblCellMar>
            <w:top w:w="0" w:type="dxa"/>
            <w:left w:w="0" w:type="dxa"/>
            <w:bottom w:w="0" w:type="dxa"/>
            <w:right w:w="0" w:type="dxa"/>
          </w:tblCellMar>
        </w:tblPrEx>
        <w:trPr>
          <w:trHeight w:val="709" w:hRule="atLeast"/>
          <w:jc w:val="center"/>
        </w:trPr>
        <w:tc>
          <w:tcPr>
            <w:tcW w:w="71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rPr>
            </w:pPr>
            <w:r>
              <w:rPr>
                <w:rFonts w:hint="eastAsia" w:ascii="宋体" w:hAnsi="宋体" w:cs="宋体"/>
                <w:kern w:val="0"/>
                <w:sz w:val="24"/>
              </w:rPr>
              <w:t>项目完成指标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勤工助学补助</w:t>
            </w:r>
          </w:p>
        </w:tc>
        <w:tc>
          <w:tcPr>
            <w:tcW w:w="1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80</w:t>
            </w:r>
          </w:p>
        </w:tc>
        <w:tc>
          <w:tcPr>
            <w:tcW w:w="2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243</w:t>
            </w:r>
          </w:p>
        </w:tc>
      </w:tr>
      <w:tr>
        <w:tblPrEx>
          <w:tblCellMar>
            <w:top w:w="0" w:type="dxa"/>
            <w:left w:w="0" w:type="dxa"/>
            <w:bottom w:w="0" w:type="dxa"/>
            <w:right w:w="0" w:type="dxa"/>
          </w:tblCellMar>
        </w:tblPrEx>
        <w:trPr>
          <w:trHeight w:val="762" w:hRule="atLeast"/>
          <w:jc w:val="center"/>
        </w:trPr>
        <w:tc>
          <w:tcPr>
            <w:tcW w:w="71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项目完成指标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数量</w:t>
            </w:r>
          </w:p>
          <w:p>
            <w:pPr>
              <w:widowControl/>
              <w:jc w:val="center"/>
              <w:textAlignment w:val="center"/>
              <w:rPr>
                <w:rFonts w:ascii="宋体" w:hAnsi="宋体" w:cs="宋体"/>
                <w:sz w:val="24"/>
              </w:rPr>
            </w:pPr>
            <w:r>
              <w:rPr>
                <w:rFonts w:hint="eastAsia" w:ascii="宋体" w:hAnsi="宋体" w:cs="宋体"/>
                <w:sz w:val="24"/>
              </w:rPr>
              <w:t>指标</w:t>
            </w:r>
          </w:p>
        </w:tc>
        <w:tc>
          <w:tcPr>
            <w:tcW w:w="2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校级评优评奖</w:t>
            </w:r>
          </w:p>
        </w:tc>
        <w:tc>
          <w:tcPr>
            <w:tcW w:w="1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w:t>
            </w:r>
            <w:r>
              <w:rPr>
                <w:rFonts w:ascii="宋体" w:hAnsi="宋体" w:cs="宋体"/>
                <w:sz w:val="24"/>
              </w:rPr>
              <w:t>800</w:t>
            </w:r>
          </w:p>
        </w:tc>
        <w:tc>
          <w:tcPr>
            <w:tcW w:w="2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1800</w:t>
            </w:r>
          </w:p>
        </w:tc>
      </w:tr>
      <w:tr>
        <w:tblPrEx>
          <w:tblCellMar>
            <w:top w:w="0" w:type="dxa"/>
            <w:left w:w="0" w:type="dxa"/>
            <w:bottom w:w="0" w:type="dxa"/>
            <w:right w:w="0" w:type="dxa"/>
          </w:tblCellMar>
        </w:tblPrEx>
        <w:trPr>
          <w:trHeight w:val="717" w:hRule="atLeast"/>
          <w:jc w:val="center"/>
        </w:trPr>
        <w:tc>
          <w:tcPr>
            <w:tcW w:w="71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效益</w:t>
            </w:r>
          </w:p>
          <w:p>
            <w:pPr>
              <w:widowControl/>
              <w:jc w:val="center"/>
              <w:textAlignment w:val="center"/>
              <w:rPr>
                <w:rFonts w:ascii="宋体" w:hAnsi="宋体" w:cs="宋体"/>
                <w:sz w:val="24"/>
              </w:rPr>
            </w:pPr>
            <w:r>
              <w:rPr>
                <w:rFonts w:hint="eastAsia" w:ascii="宋体" w:hAnsi="宋体" w:cs="宋体"/>
                <w:kern w:val="0"/>
                <w:sz w:val="24"/>
              </w:rPr>
              <w:t>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 w:val="24"/>
              </w:rPr>
            </w:pPr>
            <w:r>
              <w:rPr>
                <w:rFonts w:hint="eastAsia" w:ascii="宋体" w:hAnsi="宋体" w:cs="宋体"/>
                <w:sz w:val="24"/>
              </w:rPr>
              <w:t>时效</w:t>
            </w:r>
          </w:p>
          <w:p>
            <w:pPr>
              <w:widowControl/>
              <w:jc w:val="center"/>
              <w:textAlignment w:val="center"/>
              <w:rPr>
                <w:rFonts w:ascii="宋体" w:hAnsi="宋体" w:cs="宋体"/>
                <w:sz w:val="24"/>
              </w:rPr>
            </w:pPr>
            <w:r>
              <w:rPr>
                <w:rFonts w:hint="eastAsia" w:ascii="宋体" w:hAnsi="宋体" w:cs="宋体"/>
                <w:sz w:val="24"/>
              </w:rPr>
              <w:t>指标</w:t>
            </w:r>
          </w:p>
        </w:tc>
        <w:tc>
          <w:tcPr>
            <w:tcW w:w="2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完成时限</w:t>
            </w:r>
          </w:p>
        </w:tc>
        <w:tc>
          <w:tcPr>
            <w:tcW w:w="1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2020年12月</w:t>
            </w:r>
          </w:p>
        </w:tc>
        <w:tc>
          <w:tcPr>
            <w:tcW w:w="2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2020年12月</w:t>
            </w:r>
          </w:p>
        </w:tc>
      </w:tr>
      <w:tr>
        <w:tblPrEx>
          <w:tblCellMar>
            <w:top w:w="0" w:type="dxa"/>
            <w:left w:w="0" w:type="dxa"/>
            <w:bottom w:w="0" w:type="dxa"/>
            <w:right w:w="0" w:type="dxa"/>
          </w:tblCellMar>
        </w:tblPrEx>
        <w:trPr>
          <w:trHeight w:val="717" w:hRule="atLeast"/>
          <w:jc w:val="center"/>
        </w:trPr>
        <w:tc>
          <w:tcPr>
            <w:tcW w:w="71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效益</w:t>
            </w:r>
          </w:p>
          <w:p>
            <w:pPr>
              <w:widowControl/>
              <w:jc w:val="center"/>
              <w:textAlignment w:val="center"/>
              <w:rPr>
                <w:rFonts w:ascii="宋体" w:hAnsi="宋体" w:cs="宋体"/>
                <w:sz w:val="24"/>
              </w:rPr>
            </w:pPr>
            <w:r>
              <w:rPr>
                <w:rFonts w:hint="eastAsia" w:ascii="宋体" w:hAnsi="宋体" w:cs="宋体"/>
                <w:kern w:val="0"/>
                <w:sz w:val="24"/>
              </w:rPr>
              <w:t>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辅导员培训覆盖率</w:t>
            </w:r>
          </w:p>
        </w:tc>
        <w:tc>
          <w:tcPr>
            <w:tcW w:w="1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90%</w:t>
            </w:r>
          </w:p>
        </w:tc>
        <w:tc>
          <w:tcPr>
            <w:tcW w:w="2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90%</w:t>
            </w:r>
          </w:p>
        </w:tc>
      </w:tr>
      <w:tr>
        <w:tblPrEx>
          <w:tblCellMar>
            <w:top w:w="0" w:type="dxa"/>
            <w:left w:w="0" w:type="dxa"/>
            <w:bottom w:w="0" w:type="dxa"/>
            <w:right w:w="0" w:type="dxa"/>
          </w:tblCellMar>
        </w:tblPrEx>
        <w:trPr>
          <w:trHeight w:val="739" w:hRule="atLeast"/>
          <w:jc w:val="center"/>
        </w:trPr>
        <w:tc>
          <w:tcPr>
            <w:tcW w:w="713"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kern w:val="0"/>
                <w:sz w:val="24"/>
              </w:rPr>
            </w:pPr>
            <w:r>
              <w:rPr>
                <w:rFonts w:hint="eastAsia" w:ascii="宋体" w:hAnsi="宋体" w:cs="宋体"/>
                <w:kern w:val="0"/>
                <w:sz w:val="24"/>
              </w:rPr>
              <w:t>效益</w:t>
            </w:r>
          </w:p>
          <w:p>
            <w:pPr>
              <w:widowControl/>
              <w:jc w:val="center"/>
              <w:textAlignment w:val="center"/>
              <w:rPr>
                <w:rFonts w:ascii="宋体" w:hAnsi="宋体" w:cs="宋体"/>
                <w:kern w:val="0"/>
                <w:sz w:val="24"/>
              </w:rPr>
            </w:pPr>
            <w:r>
              <w:rPr>
                <w:rFonts w:hint="eastAsia" w:ascii="宋体" w:hAnsi="宋体" w:cs="宋体"/>
                <w:kern w:val="0"/>
                <w:sz w:val="24"/>
              </w:rPr>
              <w:t>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暑期三下乡社会实践活动在2019级学生中覆盖面</w:t>
            </w:r>
          </w:p>
        </w:tc>
        <w:tc>
          <w:tcPr>
            <w:tcW w:w="1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10%</w:t>
            </w:r>
          </w:p>
        </w:tc>
        <w:tc>
          <w:tcPr>
            <w:tcW w:w="2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10%</w:t>
            </w:r>
          </w:p>
        </w:tc>
      </w:tr>
      <w:tr>
        <w:tblPrEx>
          <w:tblCellMar>
            <w:top w:w="0" w:type="dxa"/>
            <w:left w:w="0" w:type="dxa"/>
            <w:bottom w:w="0" w:type="dxa"/>
            <w:right w:w="0" w:type="dxa"/>
          </w:tblCellMar>
        </w:tblPrEx>
        <w:trPr>
          <w:trHeight w:val="709" w:hRule="atLeast"/>
          <w:jc w:val="center"/>
        </w:trPr>
        <w:tc>
          <w:tcPr>
            <w:tcW w:w="71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7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满意度指标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rPr>
              <w:t>满意度指标</w:t>
            </w:r>
          </w:p>
        </w:tc>
        <w:tc>
          <w:tcPr>
            <w:tcW w:w="27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师生满意度</w:t>
            </w:r>
          </w:p>
        </w:tc>
        <w:tc>
          <w:tcPr>
            <w:tcW w:w="19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95%</w:t>
            </w:r>
          </w:p>
        </w:tc>
        <w:tc>
          <w:tcPr>
            <w:tcW w:w="21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95%</w:t>
            </w:r>
          </w:p>
        </w:tc>
      </w:tr>
    </w:tbl>
    <w:p>
      <w:pPr>
        <w:keepNext w:val="0"/>
        <w:keepLines w:val="0"/>
        <w:pageBreakBefore w:val="0"/>
        <w:widowControl w:val="0"/>
        <w:kinsoku/>
        <w:wordWrap/>
        <w:overflowPunct/>
        <w:topLinePunct w:val="0"/>
        <w:autoSpaceDE/>
        <w:autoSpaceDN/>
        <w:bidi w:val="0"/>
        <w:adjustRightInd/>
        <w:snapToGrid/>
        <w:spacing w:line="560" w:lineRule="exact"/>
        <w:ind w:left="630"/>
        <w:textAlignment w:val="auto"/>
        <w:rPr>
          <w:rFonts w:ascii="仿宋_GB2312" w:hAnsi="仿宋_GB2312" w:eastAsia="仿宋_GB2312" w:cs="仿宋_GB2312"/>
          <w:b/>
          <w:bCs/>
          <w:sz w:val="32"/>
          <w:szCs w:val="32"/>
        </w:rPr>
      </w:pPr>
      <w:r>
        <w:rPr>
          <w:rFonts w:hint="eastAsia" w:ascii="楷体_GB2312" w:hAnsi="楷体_GB2312" w:eastAsia="楷体_GB2312" w:cs="楷体_GB2312"/>
          <w:b/>
          <w:bCs/>
          <w:sz w:val="32"/>
          <w:szCs w:val="32"/>
        </w:rPr>
        <w:t>2.单位绩效评价结果。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_GB2312"/>
          <w:b/>
          <w:bCs/>
          <w:sz w:val="32"/>
          <w:szCs w:val="32"/>
        </w:rPr>
      </w:pPr>
      <w:r>
        <w:rPr>
          <w:rFonts w:hint="eastAsia" w:ascii="仿宋" w:hAnsi="仿宋" w:eastAsia="仿宋" w:cs="仿宋_GB2312"/>
          <w:b/>
          <w:bCs/>
          <w:sz w:val="32"/>
          <w:szCs w:val="32"/>
        </w:rPr>
        <w:t>本单位自行组织对对外交流与宣传经费项目开展了绩效评价，《2020年对外交流与宣传经费项目支出绩效自评报告》见附件（第四部分）。</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numPr>
          <w:ilvl w:val="0"/>
          <w:numId w:val="3"/>
        </w:numPr>
        <w:spacing w:line="600" w:lineRule="exact"/>
        <w:ind w:left="0" w:leftChars="0" w:firstLine="0" w:firstLineChars="0"/>
        <w:jc w:val="center"/>
        <w:outlineLvl w:val="0"/>
        <w:rPr>
          <w:rStyle w:val="24"/>
          <w:rFonts w:ascii="黑体" w:hAnsi="黑体" w:eastAsia="黑体"/>
          <w:b w:val="0"/>
        </w:rPr>
      </w:pPr>
      <w:bookmarkStart w:id="50" w:name="_Toc15396613"/>
      <w:bookmarkStart w:id="51"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0"/>
      <w:bookmarkEnd w:id="51"/>
    </w:p>
    <w:p>
      <w:pPr>
        <w:spacing w:line="600" w:lineRule="exact"/>
        <w:jc w:val="left"/>
        <w:rPr>
          <w:rFonts w:ascii="宋体"/>
          <w:b/>
          <w:color w:val="000000"/>
          <w:sz w:val="44"/>
          <w:szCs w:val="44"/>
        </w:rPr>
      </w:pPr>
    </w:p>
    <w:p>
      <w:pPr>
        <w:pStyle w:val="22"/>
        <w:keepNext w:val="0"/>
        <w:keepLines w:val="0"/>
        <w:pageBreakBefore w:val="0"/>
        <w:widowControl w:val="0"/>
        <w:kinsoku/>
        <w:wordWrap/>
        <w:overflowPunct/>
        <w:topLinePunct w:val="0"/>
        <w:bidi w:val="0"/>
        <w:snapToGrid/>
        <w:spacing w:line="560" w:lineRule="exact"/>
        <w:ind w:firstLine="643" w:firstLineChars="200"/>
        <w:textAlignment w:val="auto"/>
        <w:rPr>
          <w:rFonts w:hAnsi="仿宋"/>
          <w:b/>
          <w:bCs/>
          <w:sz w:val="32"/>
          <w:szCs w:val="32"/>
        </w:rPr>
      </w:pPr>
      <w:r>
        <w:rPr>
          <w:rFonts w:hAnsi="仿宋"/>
          <w:b/>
          <w:bCs/>
          <w:sz w:val="32"/>
          <w:szCs w:val="32"/>
        </w:rPr>
        <w:t>1.</w:t>
      </w:r>
      <w:r>
        <w:rPr>
          <w:rFonts w:hint="eastAsia" w:hAnsi="仿宋"/>
          <w:b/>
          <w:bCs/>
          <w:sz w:val="32"/>
          <w:szCs w:val="32"/>
        </w:rPr>
        <w:t>财政拨款收入：指单位从同级财政部门取得的财政预算资金。</w:t>
      </w:r>
    </w:p>
    <w:p>
      <w:pPr>
        <w:pStyle w:val="22"/>
        <w:keepNext w:val="0"/>
        <w:keepLines w:val="0"/>
        <w:pageBreakBefore w:val="0"/>
        <w:widowControl w:val="0"/>
        <w:kinsoku/>
        <w:wordWrap/>
        <w:overflowPunct/>
        <w:topLinePunct w:val="0"/>
        <w:bidi w:val="0"/>
        <w:snapToGrid/>
        <w:spacing w:line="560" w:lineRule="exact"/>
        <w:ind w:firstLine="643" w:firstLineChars="200"/>
        <w:textAlignment w:val="auto"/>
        <w:rPr>
          <w:rFonts w:hAnsi="仿宋"/>
          <w:b/>
          <w:bCs/>
          <w:sz w:val="32"/>
          <w:szCs w:val="32"/>
        </w:rPr>
      </w:pPr>
      <w:r>
        <w:rPr>
          <w:rFonts w:hint="eastAsia" w:hAnsi="仿宋"/>
          <w:b/>
          <w:bCs/>
          <w:sz w:val="32"/>
          <w:szCs w:val="32"/>
        </w:rPr>
        <w:t>2.事业收入：指事业单位开展专业业务活动及辅助活动取得的收入。</w:t>
      </w:r>
    </w:p>
    <w:p>
      <w:pPr>
        <w:pStyle w:val="22"/>
        <w:keepNext w:val="0"/>
        <w:keepLines w:val="0"/>
        <w:pageBreakBefore w:val="0"/>
        <w:widowControl w:val="0"/>
        <w:kinsoku/>
        <w:wordWrap/>
        <w:overflowPunct/>
        <w:topLinePunct w:val="0"/>
        <w:bidi w:val="0"/>
        <w:snapToGrid/>
        <w:spacing w:line="560" w:lineRule="exact"/>
        <w:ind w:firstLine="643" w:firstLineChars="200"/>
        <w:textAlignment w:val="auto"/>
        <w:rPr>
          <w:rFonts w:hAnsi="仿宋"/>
          <w:b/>
          <w:bCs/>
          <w:sz w:val="32"/>
          <w:szCs w:val="32"/>
        </w:rPr>
      </w:pPr>
      <w:r>
        <w:rPr>
          <w:rFonts w:hAnsi="仿宋"/>
          <w:b/>
          <w:bCs/>
          <w:sz w:val="32"/>
          <w:szCs w:val="32"/>
        </w:rPr>
        <w:t>3</w:t>
      </w:r>
      <w:r>
        <w:rPr>
          <w:rFonts w:hint="eastAsia" w:hAnsi="仿宋"/>
          <w:b/>
          <w:bCs/>
          <w:sz w:val="32"/>
          <w:szCs w:val="32"/>
        </w:rPr>
        <w:t xml:space="preserve">.年初结转和结余：指以前年度尚未完成、结转到本年按有关规定继续使用的资金。 </w:t>
      </w:r>
    </w:p>
    <w:p>
      <w:pPr>
        <w:pStyle w:val="22"/>
        <w:keepNext w:val="0"/>
        <w:keepLines w:val="0"/>
        <w:pageBreakBefore w:val="0"/>
        <w:widowControl w:val="0"/>
        <w:kinsoku/>
        <w:wordWrap/>
        <w:overflowPunct/>
        <w:topLinePunct w:val="0"/>
        <w:bidi w:val="0"/>
        <w:snapToGrid/>
        <w:spacing w:line="560" w:lineRule="exact"/>
        <w:ind w:firstLine="643" w:firstLineChars="200"/>
        <w:textAlignment w:val="auto"/>
        <w:rPr>
          <w:rFonts w:hAnsi="仿宋"/>
          <w:b/>
          <w:bCs/>
          <w:sz w:val="32"/>
          <w:szCs w:val="32"/>
        </w:rPr>
      </w:pPr>
      <w:r>
        <w:rPr>
          <w:rFonts w:hAnsi="仿宋"/>
          <w:b/>
          <w:bCs/>
          <w:sz w:val="32"/>
          <w:szCs w:val="32"/>
        </w:rPr>
        <w:t>4</w:t>
      </w:r>
      <w:r>
        <w:rPr>
          <w:rFonts w:hint="eastAsia" w:hAnsi="仿宋"/>
          <w:b/>
          <w:bCs/>
          <w:sz w:val="32"/>
          <w:szCs w:val="32"/>
        </w:rPr>
        <w:t>、年末结转和结余：指单位按有关规定结转到下年或以后年度继续使用的资金。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 w:hAnsi="仿宋" w:eastAsia="仿宋"/>
          <w:b/>
          <w:bCs/>
          <w:color w:val="000000"/>
          <w:sz w:val="32"/>
          <w:szCs w:val="32"/>
        </w:rPr>
      </w:pPr>
      <w:r>
        <w:rPr>
          <w:rFonts w:ascii="仿宋" w:hAnsi="仿宋" w:eastAsia="仿宋"/>
          <w:b/>
          <w:bCs/>
          <w:color w:val="000000"/>
          <w:sz w:val="32"/>
          <w:szCs w:val="32"/>
        </w:rPr>
        <w:t>5.</w:t>
      </w:r>
      <w:r>
        <w:rPr>
          <w:rFonts w:hint="eastAsia" w:ascii="仿宋" w:hAnsi="仿宋" w:eastAsia="仿宋"/>
          <w:b/>
          <w:bCs/>
          <w:color w:val="000000"/>
          <w:sz w:val="32"/>
          <w:szCs w:val="32"/>
        </w:rPr>
        <w:t>教育支出（类）普通教育（款）高等教育（项）：指宣传部下属单位四川省干部函授学院（四川省文化产业学院）日常工作运转的支出。</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 w:hAnsi="仿宋" w:eastAsia="仿宋"/>
          <w:b/>
          <w:bCs/>
          <w:color w:val="000000"/>
          <w:sz w:val="32"/>
          <w:szCs w:val="32"/>
        </w:rPr>
      </w:pPr>
      <w:r>
        <w:rPr>
          <w:rFonts w:ascii="仿宋" w:hAnsi="仿宋" w:eastAsia="仿宋"/>
          <w:b/>
          <w:bCs/>
          <w:color w:val="000000"/>
          <w:sz w:val="32"/>
          <w:szCs w:val="32"/>
        </w:rPr>
        <w:t>6.</w:t>
      </w:r>
      <w:r>
        <w:rPr>
          <w:rFonts w:hint="eastAsia" w:ascii="仿宋" w:hAnsi="仿宋" w:eastAsia="仿宋"/>
          <w:b/>
          <w:bCs/>
          <w:color w:val="000000"/>
          <w:sz w:val="32"/>
          <w:szCs w:val="32"/>
        </w:rPr>
        <w:t>教育支出（类）职业教育（款）中等职业教育（项）：指宣传部下属单位四川省干部函授学院（四川省文化产业学院）日常工作运转的支出。</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 w:hAnsi="仿宋" w:eastAsia="仿宋"/>
          <w:b/>
          <w:bCs/>
          <w:color w:val="000000"/>
          <w:sz w:val="32"/>
          <w:szCs w:val="32"/>
        </w:rPr>
      </w:pPr>
      <w:r>
        <w:rPr>
          <w:rFonts w:ascii="仿宋" w:hAnsi="仿宋" w:eastAsia="仿宋"/>
          <w:b/>
          <w:bCs/>
          <w:color w:val="000000"/>
          <w:sz w:val="32"/>
          <w:szCs w:val="32"/>
        </w:rPr>
        <w:t>7.</w:t>
      </w:r>
      <w:r>
        <w:rPr>
          <w:rFonts w:hint="eastAsia" w:ascii="仿宋" w:hAnsi="仿宋" w:eastAsia="仿宋"/>
          <w:b/>
          <w:bCs/>
          <w:color w:val="000000"/>
          <w:sz w:val="32"/>
          <w:szCs w:val="32"/>
        </w:rPr>
        <w:t>教育支出（类）职业教育（款）高等职业教育（项）：指宣传部下属单位四川省干部函授学院（四川省文化产业学院）日常工作运转的支出。</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 w:hAnsi="仿宋" w:eastAsia="仿宋"/>
          <w:b/>
          <w:bCs/>
          <w:color w:val="000000"/>
          <w:sz w:val="32"/>
          <w:szCs w:val="32"/>
        </w:rPr>
      </w:pPr>
      <w:r>
        <w:rPr>
          <w:rFonts w:ascii="仿宋" w:hAnsi="仿宋" w:eastAsia="仿宋"/>
          <w:b/>
          <w:bCs/>
          <w:color w:val="000000"/>
          <w:sz w:val="32"/>
          <w:szCs w:val="32"/>
        </w:rPr>
        <w:t>8.</w:t>
      </w:r>
      <w:r>
        <w:rPr>
          <w:rFonts w:hint="eastAsia" w:ascii="仿宋" w:hAnsi="仿宋" w:eastAsia="仿宋"/>
          <w:b/>
          <w:bCs/>
          <w:color w:val="000000"/>
          <w:sz w:val="32"/>
          <w:szCs w:val="32"/>
        </w:rPr>
        <w:t>文化体育与传媒（类）其他文化旅游体育与传媒支出（款）宣传文化发展专项支出（项）：指宣传部按照国家有关政策支持宣传文化单位发展的专项支出。</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 w:hAnsi="仿宋" w:eastAsia="仿宋"/>
          <w:b/>
          <w:bCs/>
          <w:color w:val="000000"/>
          <w:sz w:val="32"/>
          <w:szCs w:val="32"/>
        </w:rPr>
      </w:pPr>
      <w:r>
        <w:rPr>
          <w:rFonts w:ascii="仿宋" w:hAnsi="仿宋" w:eastAsia="仿宋"/>
          <w:b/>
          <w:bCs/>
          <w:color w:val="000000"/>
          <w:sz w:val="32"/>
          <w:szCs w:val="32"/>
        </w:rPr>
        <w:t>9.</w:t>
      </w:r>
      <w:r>
        <w:rPr>
          <w:rFonts w:hint="eastAsia" w:ascii="仿宋" w:hAnsi="仿宋" w:eastAsia="仿宋"/>
          <w:b/>
          <w:bCs/>
          <w:color w:val="000000"/>
          <w:sz w:val="32"/>
          <w:szCs w:val="32"/>
        </w:rPr>
        <w:t>文化体育与传媒（类）其他文化旅游体育与传媒支出（款）文化产业发展专项支出（项）：指宣传部按照国家有关政策开展文化产业发展工作的专项支出。</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 w:hAnsi="仿宋" w:eastAsia="仿宋"/>
          <w:b/>
          <w:bCs/>
          <w:color w:val="000000"/>
          <w:sz w:val="32"/>
          <w:szCs w:val="32"/>
        </w:rPr>
      </w:pPr>
      <w:r>
        <w:rPr>
          <w:rFonts w:ascii="仿宋" w:hAnsi="仿宋" w:eastAsia="仿宋"/>
          <w:b/>
          <w:bCs/>
          <w:color w:val="000000"/>
          <w:sz w:val="32"/>
          <w:szCs w:val="32"/>
        </w:rPr>
        <w:t>10.</w:t>
      </w:r>
      <w:r>
        <w:rPr>
          <w:rFonts w:hint="eastAsia" w:ascii="仿宋" w:hAnsi="仿宋" w:eastAsia="仿宋"/>
          <w:b/>
          <w:bCs/>
          <w:color w:val="000000"/>
          <w:sz w:val="32"/>
          <w:szCs w:val="32"/>
        </w:rPr>
        <w:t>社会保障和就业（类）行政事业单位离退休（款）事业单位离退休（项）：指反映实行归口管理的事业单位开支的离退休经费。</w:t>
      </w:r>
    </w:p>
    <w:p>
      <w:pPr>
        <w:pStyle w:val="2"/>
        <w:keepNext w:val="0"/>
        <w:keepLines w:val="0"/>
        <w:pageBreakBefore w:val="0"/>
        <w:widowControl w:val="0"/>
        <w:kinsoku/>
        <w:wordWrap/>
        <w:overflowPunct/>
        <w:topLinePunct w:val="0"/>
        <w:bidi w:val="0"/>
        <w:snapToGrid/>
        <w:spacing w:beforeLines="0" w:line="560" w:lineRule="exact"/>
        <w:ind w:firstLine="643" w:firstLineChars="200"/>
        <w:textAlignment w:val="auto"/>
        <w:rPr>
          <w:rFonts w:ascii="仿宋" w:hAnsi="仿宋" w:eastAsia="仿宋"/>
          <w:b/>
          <w:bCs/>
        </w:rPr>
      </w:pPr>
      <w:r>
        <w:rPr>
          <w:rFonts w:ascii="仿宋" w:hAnsi="仿宋" w:eastAsia="仿宋"/>
          <w:b/>
          <w:bCs/>
          <w:color w:val="000000"/>
          <w:sz w:val="32"/>
          <w:szCs w:val="32"/>
        </w:rPr>
        <w:t>11.</w:t>
      </w:r>
      <w:r>
        <w:rPr>
          <w:rFonts w:hint="eastAsia" w:ascii="仿宋" w:hAnsi="仿宋" w:eastAsia="仿宋"/>
          <w:b/>
          <w:bCs/>
          <w:color w:val="000000"/>
          <w:sz w:val="32"/>
          <w:szCs w:val="32"/>
        </w:rPr>
        <w:t>社会保障和就业支出（类）其他社会保障和就业支出（款）其他社会保障和就业支出（项）：指其他用于社会保障和就业方面的支出。</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 w:hAnsi="仿宋" w:eastAsia="仿宋"/>
          <w:b/>
          <w:bCs/>
          <w:color w:val="000000"/>
          <w:sz w:val="32"/>
          <w:szCs w:val="32"/>
        </w:rPr>
      </w:pPr>
      <w:r>
        <w:rPr>
          <w:rFonts w:ascii="仿宋" w:hAnsi="仿宋" w:eastAsia="仿宋"/>
          <w:b/>
          <w:bCs/>
          <w:color w:val="000000"/>
          <w:sz w:val="32"/>
          <w:szCs w:val="32"/>
        </w:rPr>
        <w:t>12.</w:t>
      </w:r>
      <w:r>
        <w:rPr>
          <w:rFonts w:hint="eastAsia" w:ascii="仿宋" w:hAnsi="仿宋" w:eastAsia="仿宋"/>
          <w:b/>
          <w:bCs/>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 w:hAnsi="仿宋" w:eastAsia="仿宋"/>
          <w:b/>
          <w:bCs/>
          <w:color w:val="000000"/>
          <w:sz w:val="32"/>
          <w:szCs w:val="32"/>
        </w:rPr>
      </w:pPr>
      <w:r>
        <w:rPr>
          <w:rFonts w:ascii="仿宋" w:hAnsi="仿宋" w:eastAsia="仿宋"/>
          <w:b/>
          <w:bCs/>
          <w:color w:val="000000"/>
          <w:sz w:val="32"/>
          <w:szCs w:val="32"/>
        </w:rPr>
        <w:t>13.</w:t>
      </w:r>
      <w:r>
        <w:rPr>
          <w:rFonts w:hint="eastAsia" w:ascii="仿宋" w:hAnsi="仿宋" w:eastAsia="仿宋"/>
          <w:b/>
          <w:bCs/>
          <w:color w:val="000000"/>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 w:hAnsi="仿宋" w:eastAsia="仿宋"/>
          <w:b/>
          <w:bCs/>
          <w:color w:val="000000"/>
          <w:sz w:val="32"/>
          <w:szCs w:val="32"/>
        </w:rPr>
      </w:pPr>
      <w:r>
        <w:rPr>
          <w:rFonts w:ascii="仿宋" w:hAnsi="仿宋" w:eastAsia="仿宋"/>
          <w:b/>
          <w:bCs/>
          <w:color w:val="000000"/>
          <w:sz w:val="32"/>
          <w:szCs w:val="32"/>
        </w:rPr>
        <w:t>14.</w:t>
      </w:r>
      <w:r>
        <w:rPr>
          <w:rFonts w:hint="eastAsia" w:ascii="仿宋" w:hAnsi="仿宋" w:eastAsia="仿宋"/>
          <w:b/>
          <w:bCs/>
          <w:color w:val="000000"/>
          <w:sz w:val="32"/>
          <w:szCs w:val="32"/>
        </w:rPr>
        <w:t>经营支出：指事业单位在专业业务活动及其辅助活动之外开展非独立核算经营活动发生的支出。</w:t>
      </w:r>
    </w:p>
    <w:p>
      <w:pPr>
        <w:pStyle w:val="22"/>
        <w:keepNext w:val="0"/>
        <w:keepLines w:val="0"/>
        <w:pageBreakBefore w:val="0"/>
        <w:widowControl w:val="0"/>
        <w:kinsoku/>
        <w:wordWrap/>
        <w:overflowPunct/>
        <w:topLinePunct w:val="0"/>
        <w:bidi w:val="0"/>
        <w:snapToGrid/>
        <w:spacing w:line="560" w:lineRule="exact"/>
        <w:ind w:firstLine="643" w:firstLineChars="200"/>
        <w:textAlignment w:val="auto"/>
        <w:rPr>
          <w:rFonts w:hAnsi="仿宋"/>
          <w:b/>
          <w:bCs/>
          <w:sz w:val="32"/>
          <w:szCs w:val="32"/>
        </w:rPr>
      </w:pPr>
      <w:r>
        <w:rPr>
          <w:rFonts w:hAnsi="仿宋"/>
          <w:b/>
          <w:bCs/>
          <w:sz w:val="32"/>
          <w:szCs w:val="32"/>
        </w:rPr>
        <w:t>15.</w:t>
      </w:r>
      <w:r>
        <w:rPr>
          <w:rFonts w:hint="eastAsia" w:hAnsi="仿宋"/>
          <w:b/>
          <w:bCs/>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keepNext w:val="0"/>
        <w:keepLines w:val="0"/>
        <w:pageBreakBefore w:val="0"/>
        <w:widowControl w:val="0"/>
        <w:kinsoku/>
        <w:wordWrap/>
        <w:overflowPunct/>
        <w:topLinePunct w:val="0"/>
        <w:bidi w:val="0"/>
        <w:snapToGrid/>
        <w:spacing w:line="560" w:lineRule="exact"/>
        <w:ind w:firstLine="643" w:firstLineChars="200"/>
        <w:textAlignment w:val="auto"/>
        <w:rPr>
          <w:rFonts w:hAnsi="仿宋"/>
          <w:b/>
          <w:bCs/>
          <w:sz w:val="32"/>
          <w:szCs w:val="32"/>
        </w:rPr>
      </w:pPr>
      <w:r>
        <w:rPr>
          <w:rFonts w:hAnsi="仿宋"/>
          <w:b/>
          <w:bCs/>
          <w:sz w:val="32"/>
          <w:szCs w:val="32"/>
        </w:rPr>
        <w:t>16.</w:t>
      </w:r>
      <w:r>
        <w:rPr>
          <w:rFonts w:hint="eastAsia" w:hAnsi="仿宋"/>
          <w:b/>
          <w:bCs/>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keepNext w:val="0"/>
        <w:keepLines w:val="0"/>
        <w:pageBreakBefore w:val="0"/>
        <w:widowControl w:val="0"/>
        <w:kinsoku/>
        <w:wordWrap/>
        <w:overflowPunct/>
        <w:topLinePunct w:val="0"/>
        <w:bidi w:val="0"/>
        <w:snapToGrid/>
        <w:spacing w:line="560" w:lineRule="exact"/>
        <w:ind w:firstLine="643" w:firstLineChars="200"/>
        <w:textAlignment w:val="auto"/>
        <w:rPr>
          <w:rFonts w:ascii="仿宋_GB2312" w:eastAsia="仿宋_GB2312" w:cs="黑体"/>
          <w:b/>
          <w:bCs/>
          <w:sz w:val="32"/>
          <w:szCs w:val="32"/>
        </w:rPr>
      </w:pPr>
    </w:p>
    <w:p>
      <w:pPr>
        <w:ind w:left="0" w:leftChars="0" w:firstLine="0" w:firstLineChars="0"/>
        <w:jc w:val="center"/>
        <w:rPr>
          <w:rStyle w:val="24"/>
          <w:rFonts w:ascii="黑体" w:hAnsi="黑体" w:eastAsia="黑体"/>
          <w:b w:val="0"/>
        </w:rPr>
      </w:pPr>
      <w:bookmarkStart w:id="52" w:name="_Toc15377226"/>
      <w:r>
        <w:rPr>
          <w:rFonts w:ascii="宋体"/>
          <w:b/>
          <w:color w:val="000000"/>
          <w:sz w:val="44"/>
          <w:szCs w:val="44"/>
        </w:rPr>
        <w:br w:type="page"/>
      </w:r>
      <w:bookmarkStart w:id="53" w:name="_Toc15396614"/>
      <w:r>
        <w:rPr>
          <w:rFonts w:hint="eastAsia" w:ascii="黑体" w:hAnsi="黑体" w:eastAsia="黑体"/>
          <w:b/>
          <w:bCs/>
          <w:color w:val="000000"/>
          <w:sz w:val="44"/>
          <w:szCs w:val="44"/>
        </w:rPr>
        <w:t>第</w:t>
      </w:r>
      <w:r>
        <w:rPr>
          <w:rStyle w:val="24"/>
          <w:rFonts w:hint="eastAsia" w:ascii="黑体" w:hAnsi="黑体" w:eastAsia="黑体"/>
          <w:b/>
          <w:bCs/>
        </w:rPr>
        <w:t>四部分 附件</w:t>
      </w:r>
      <w:bookmarkEnd w:id="53"/>
    </w:p>
    <w:p>
      <w:pPr>
        <w:spacing w:line="580" w:lineRule="exact"/>
        <w:rPr>
          <w:rFonts w:ascii="仿宋_GB2312" w:hAnsi="仿宋_GB2312" w:eastAsia="仿宋_GB2312" w:cs="仿宋_GB2312"/>
          <w:sz w:val="32"/>
          <w:szCs w:val="32"/>
        </w:rPr>
      </w:pPr>
    </w:p>
    <w:p>
      <w:pPr>
        <w:spacing w:line="600" w:lineRule="exact"/>
        <w:jc w:val="center"/>
        <w:rPr>
          <w:rFonts w:ascii="方正小标宋简体" w:hAnsi="宋体" w:eastAsia="方正小标宋简体"/>
          <w:b/>
          <w:bCs/>
          <w:kern w:val="0"/>
          <w:sz w:val="44"/>
          <w:szCs w:val="44"/>
          <w:lang w:val="zh-CN"/>
        </w:rPr>
      </w:pPr>
      <w:bookmarkStart w:id="54" w:name="_Toc15396618"/>
      <w:r>
        <w:rPr>
          <w:rFonts w:hint="eastAsia" w:ascii="方正小标宋简体" w:hAnsi="宋体" w:eastAsia="方正小标宋简体"/>
          <w:b/>
          <w:bCs/>
          <w:color w:val="000000" w:themeColor="text1"/>
          <w:kern w:val="0"/>
          <w:sz w:val="44"/>
          <w:szCs w:val="44"/>
          <w:lang w:val="zh-CN"/>
          <w14:textFill>
            <w14:solidFill>
              <w14:schemeClr w14:val="tx1"/>
            </w14:solidFill>
          </w14:textFill>
        </w:rPr>
        <w:t>202</w:t>
      </w:r>
      <w:r>
        <w:rPr>
          <w:rFonts w:hint="eastAsia" w:ascii="方正小标宋简体" w:hAnsi="宋体" w:eastAsia="方正小标宋简体"/>
          <w:b/>
          <w:bCs/>
          <w:color w:val="000000" w:themeColor="text1"/>
          <w:kern w:val="0"/>
          <w:sz w:val="44"/>
          <w:szCs w:val="44"/>
          <w14:textFill>
            <w14:solidFill>
              <w14:schemeClr w14:val="tx1"/>
            </w14:solidFill>
          </w14:textFill>
        </w:rPr>
        <w:t>0</w:t>
      </w:r>
      <w:r>
        <w:rPr>
          <w:rFonts w:hint="eastAsia" w:ascii="方正小标宋简体" w:hAnsi="宋体" w:eastAsia="方正小标宋简体"/>
          <w:b/>
          <w:bCs/>
          <w:color w:val="000000" w:themeColor="text1"/>
          <w:kern w:val="0"/>
          <w:sz w:val="44"/>
          <w:szCs w:val="44"/>
          <w:lang w:val="zh-CN"/>
          <w14:textFill>
            <w14:solidFill>
              <w14:schemeClr w14:val="tx1"/>
            </w14:solidFill>
          </w14:textFill>
        </w:rPr>
        <w:t>年</w:t>
      </w:r>
      <w:r>
        <w:rPr>
          <w:rFonts w:hint="eastAsia" w:ascii="方正小标宋简体" w:hAnsi="宋体" w:eastAsia="方正小标宋简体"/>
          <w:b/>
          <w:bCs/>
          <w:kern w:val="0"/>
          <w:sz w:val="44"/>
          <w:szCs w:val="44"/>
          <w:lang w:val="zh-CN"/>
        </w:rPr>
        <w:t>对外交流与宣传经费项目支出绩效自评报告</w:t>
      </w:r>
    </w:p>
    <w:p>
      <w:pPr>
        <w:spacing w:line="600" w:lineRule="exact"/>
        <w:ind w:firstLine="640"/>
        <w:jc w:val="center"/>
        <w:rPr>
          <w:rFonts w:ascii="宋体" w:hAnsi="宋体"/>
          <w:b/>
          <w:bCs/>
          <w:sz w:val="32"/>
          <w:szCs w:val="32"/>
          <w:lang w:val="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bCs/>
          <w:sz w:val="32"/>
          <w:szCs w:val="32"/>
          <w:lang w:val="zh-CN"/>
        </w:rPr>
      </w:pPr>
      <w:r>
        <w:rPr>
          <w:rFonts w:hint="eastAsia" w:ascii="黑体" w:hAnsi="宋体" w:eastAsia="黑体"/>
          <w:b/>
          <w:bCs/>
          <w:sz w:val="32"/>
          <w:szCs w:val="32"/>
        </w:rPr>
        <w:t>一、</w:t>
      </w:r>
      <w:r>
        <w:rPr>
          <w:rFonts w:hint="eastAsia" w:ascii="黑体" w:hAnsi="宋体" w:eastAsia="黑体"/>
          <w:b/>
          <w:bCs/>
          <w:sz w:val="32"/>
          <w:szCs w:val="32"/>
          <w:lang w:val="zh-CN"/>
        </w:rPr>
        <w:t>项目概况</w:t>
      </w:r>
    </w:p>
    <w:p>
      <w:pPr>
        <w:keepNext w:val="0"/>
        <w:keepLines w:val="0"/>
        <w:pageBreakBefore w:val="0"/>
        <w:widowControl w:val="0"/>
        <w:tabs>
          <w:tab w:val="left" w:pos="3885"/>
        </w:tabs>
        <w:kinsoku/>
        <w:wordWrap/>
        <w:overflowPunct/>
        <w:topLinePunct w:val="0"/>
        <w:autoSpaceDE/>
        <w:autoSpaceDN/>
        <w:bidi w:val="0"/>
        <w:snapToGrid w:val="0"/>
        <w:spacing w:line="560" w:lineRule="exact"/>
        <w:ind w:firstLine="643" w:firstLineChars="200"/>
        <w:jc w:val="left"/>
        <w:textAlignment w:val="auto"/>
        <w:rPr>
          <w:rFonts w:ascii="仿宋" w:hAnsi="仿宋" w:eastAsia="仿宋"/>
          <w:b/>
          <w:bCs/>
          <w:color w:val="FF0000"/>
          <w:sz w:val="32"/>
          <w:szCs w:val="32"/>
          <w:lang w:val="zh-CN"/>
        </w:rPr>
      </w:pPr>
      <w:r>
        <w:rPr>
          <w:rFonts w:hint="eastAsia" w:ascii="楷体_GB2312" w:hAnsi="宋体" w:eastAsia="楷体_GB2312"/>
          <w:b/>
          <w:bCs/>
          <w:sz w:val="32"/>
          <w:szCs w:val="32"/>
          <w:lang w:val="zh-CN"/>
        </w:rPr>
        <w:t>（一）项目资金申报及批复情况。</w:t>
      </w:r>
      <w:r>
        <w:rPr>
          <w:rFonts w:ascii="仿宋" w:hAnsi="仿宋" w:eastAsia="仿宋"/>
          <w:b/>
          <w:bCs/>
          <w:sz w:val="32"/>
          <w:szCs w:val="32"/>
          <w:lang w:val="zh-CN"/>
        </w:rPr>
        <w:t>2020</w:t>
      </w:r>
      <w:r>
        <w:rPr>
          <w:rFonts w:hint="eastAsia" w:ascii="仿宋" w:hAnsi="仿宋" w:eastAsia="仿宋"/>
          <w:b/>
          <w:bCs/>
          <w:sz w:val="32"/>
          <w:szCs w:val="32"/>
          <w:lang w:val="zh-CN"/>
        </w:rPr>
        <w:t>年，我校根据《中共四川省委、四川省人民政府关于印发&lt;四川省中长期教育改革和发展规划纲要（2010—2020年）&gt;的通知》(川委发〔2010〕18号)《四川省教育厅关于实施四川省优质高等职业院校建设计划的通知》（川教函〔2017〕418号）文件要求，为扩大对外影响，增加对外交流合作机会，保证对外交流合作交流活动的宣传效果，建立初步合作意向和合作关系，对外交流项目做好铺垫，申报对外交流与宣传经费项目（以下简称“项目”）资金，</w:t>
      </w:r>
      <w:r>
        <w:rPr>
          <w:rFonts w:hint="eastAsia" w:ascii="仿宋" w:hAnsi="仿宋" w:eastAsia="仿宋"/>
          <w:b/>
          <w:bCs/>
          <w:color w:val="000000" w:themeColor="text1"/>
          <w:sz w:val="32"/>
          <w:szCs w:val="32"/>
          <w:lang w:val="zh-CN"/>
          <w14:textFill>
            <w14:solidFill>
              <w14:schemeClr w14:val="tx1"/>
            </w14:solidFill>
          </w14:textFill>
        </w:rPr>
        <w:t>经财政批复“项目”资金全年总投入694.8万元，其中，财政补助拨款180万元，自有资金514.8万元。</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 w:hAnsi="仿宋" w:eastAsia="仿宋"/>
          <w:b/>
          <w:bCs/>
          <w:sz w:val="32"/>
          <w:szCs w:val="32"/>
          <w:lang w:val="zh-CN"/>
        </w:rPr>
      </w:pPr>
      <w:r>
        <w:rPr>
          <w:rFonts w:hint="eastAsia" w:ascii="仿宋" w:hAnsi="仿宋" w:eastAsia="仿宋"/>
          <w:b/>
          <w:bCs/>
          <w:sz w:val="32"/>
          <w:szCs w:val="32"/>
          <w:lang w:val="zh-CN"/>
        </w:rPr>
        <w:t>项目主要内容为扩大对外影响，增加对外交流合作机会，保证对外交流合作交流活动的宣传效果，建立初步合作意向和合作关系，对外交流项目做好铺垫工作。计划实现的具体绩效目标为开展文化专题调研体验2次、开展宣传活动3次、校报设计制作并印刷6期、开展校企合作宣传活动2次、联络走访可合作企业6家。</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（三）项目资金申报相符性。</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 w:hAnsi="仿宋" w:eastAsia="仿宋"/>
          <w:b/>
          <w:bCs/>
          <w:color w:val="000000" w:themeColor="text1"/>
          <w:sz w:val="32"/>
          <w:szCs w:val="32"/>
          <w:lang w:val="zh-CN"/>
          <w14:textFill>
            <w14:solidFill>
              <w14:schemeClr w14:val="tx1"/>
            </w14:solidFill>
          </w14:textFill>
        </w:rPr>
      </w:pPr>
      <w:r>
        <w:rPr>
          <w:rFonts w:hint="eastAsia" w:ascii="仿宋" w:hAnsi="仿宋" w:eastAsia="仿宋"/>
          <w:b/>
          <w:bCs/>
          <w:color w:val="000000" w:themeColor="text1"/>
          <w:sz w:val="32"/>
          <w:szCs w:val="32"/>
          <w:lang w:val="zh-CN"/>
          <w14:textFill>
            <w14:solidFill>
              <w14:schemeClr w14:val="tx1"/>
            </w14:solidFill>
          </w14:textFill>
        </w:rPr>
        <w:t>学院按照《四川省省级项目支出绩效管理办法》申报并编制2020年度省级部门预算项目绩效目标表，项目绩效目标设置的政策依据充分、目标合理、明确，与项目预期目标相关。预算编制内容与项目内容匹配，预算确定的项目资金量与工作任务相匹配，符合资金管理办法等相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bCs/>
          <w:sz w:val="32"/>
          <w:szCs w:val="32"/>
        </w:rPr>
      </w:pPr>
      <w:r>
        <w:rPr>
          <w:rFonts w:hint="eastAsia" w:ascii="黑体" w:hAnsi="宋体" w:eastAsia="黑体"/>
          <w:b/>
          <w:bCs/>
          <w:sz w:val="32"/>
          <w:szCs w:val="32"/>
        </w:rPr>
        <w:t>二、项目实施及管理情况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bCs/>
          <w:sz w:val="32"/>
          <w:szCs w:val="32"/>
          <w:lang w:val="zh-CN"/>
        </w:rPr>
      </w:pPr>
      <w:r>
        <w:rPr>
          <w:rFonts w:hint="eastAsia" w:ascii="仿宋_GB2312" w:hAnsi="宋体" w:eastAsia="仿宋_GB2312"/>
          <w:b/>
          <w:bCs/>
          <w:sz w:val="32"/>
          <w:szCs w:val="32"/>
          <w:lang w:val="zh-CN"/>
        </w:rPr>
        <w:tab/>
      </w:r>
      <w:r>
        <w:rPr>
          <w:rFonts w:hint="eastAsia" w:ascii="楷体_GB2312" w:hAnsi="宋体" w:eastAsia="楷体_GB2312"/>
          <w:b/>
          <w:bCs/>
          <w:sz w:val="32"/>
          <w:szCs w:val="32"/>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1．资金计划及到位。</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eastAsia="仿宋_GB2312"/>
          <w:b/>
          <w:bCs/>
          <w:sz w:val="32"/>
          <w:szCs w:val="32"/>
          <w:lang w:val="zh-CN"/>
        </w:rPr>
      </w:pPr>
      <w:r>
        <w:rPr>
          <w:rFonts w:hint="eastAsia" w:ascii="仿宋" w:hAnsi="仿宋" w:eastAsia="仿宋"/>
          <w:b/>
          <w:bCs/>
          <w:sz w:val="32"/>
          <w:szCs w:val="32"/>
          <w:lang w:val="zh-CN"/>
        </w:rPr>
        <w:t>项目总预算</w:t>
      </w:r>
      <w:r>
        <w:rPr>
          <w:rFonts w:hint="eastAsia" w:ascii="仿宋" w:hAnsi="仿宋" w:eastAsia="仿宋"/>
          <w:b/>
          <w:bCs/>
          <w:color w:val="000000" w:themeColor="text1"/>
          <w:sz w:val="32"/>
          <w:szCs w:val="32"/>
          <w:lang w:val="zh-CN"/>
          <w14:textFill>
            <w14:solidFill>
              <w14:schemeClr w14:val="tx1"/>
            </w14:solidFill>
          </w14:textFill>
        </w:rPr>
        <w:t>694.80</w:t>
      </w:r>
      <w:r>
        <w:rPr>
          <w:rFonts w:hint="eastAsia" w:ascii="仿宋" w:hAnsi="仿宋" w:eastAsia="仿宋"/>
          <w:b/>
          <w:bCs/>
          <w:sz w:val="32"/>
          <w:szCs w:val="32"/>
          <w:lang w:val="zh-CN"/>
        </w:rPr>
        <w:t>万元，2020年度项目已批计划资金和可用资金合计694.80万元，项目资金的到位率为100%。</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2．资金使用。</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 w:hAnsi="仿宋" w:eastAsia="仿宋"/>
          <w:b/>
          <w:bCs/>
          <w:sz w:val="32"/>
          <w:szCs w:val="32"/>
          <w:lang w:val="zh-CN"/>
        </w:rPr>
      </w:pPr>
      <w:r>
        <w:rPr>
          <w:rFonts w:hint="eastAsia" w:ascii="仿宋" w:hAnsi="仿宋" w:eastAsia="仿宋"/>
          <w:b/>
          <w:bCs/>
          <w:sz w:val="32"/>
          <w:szCs w:val="32"/>
          <w:lang w:val="zh-CN"/>
        </w:rPr>
        <w:t>截止评价时点项目已支付金额</w:t>
      </w:r>
      <w:r>
        <w:rPr>
          <w:rFonts w:hint="eastAsia" w:ascii="仿宋" w:hAnsi="仿宋" w:eastAsia="仿宋"/>
          <w:b/>
          <w:bCs/>
          <w:color w:val="000000" w:themeColor="text1"/>
          <w:sz w:val="32"/>
          <w:szCs w:val="32"/>
          <w:lang w:val="zh-CN"/>
          <w14:textFill>
            <w14:solidFill>
              <w14:schemeClr w14:val="tx1"/>
            </w14:solidFill>
          </w14:textFill>
        </w:rPr>
        <w:t>471.64</w:t>
      </w:r>
      <w:r>
        <w:rPr>
          <w:rFonts w:hint="eastAsia" w:ascii="仿宋" w:hAnsi="仿宋" w:eastAsia="仿宋"/>
          <w:b/>
          <w:bCs/>
          <w:sz w:val="32"/>
          <w:szCs w:val="32"/>
          <w:lang w:val="zh-CN"/>
        </w:rPr>
        <w:t>万元，执行金额占项目总预算68%。资金使用中履行了规范的审批流程，资金拨付有完整的审批程序且资金使用符合项目预算批复，不存在截留、挤占、挪用、虚列支出等情况。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 w:hAnsi="仿宋" w:eastAsia="仿宋"/>
          <w:b/>
          <w:bCs/>
          <w:sz w:val="32"/>
          <w:szCs w:val="32"/>
          <w:lang w:val="zh-CN"/>
        </w:rPr>
      </w:pPr>
      <w:r>
        <w:rPr>
          <w:rFonts w:hint="eastAsia" w:ascii="仿宋" w:hAnsi="仿宋" w:eastAsia="仿宋"/>
          <w:b/>
          <w:bCs/>
          <w:sz w:val="32"/>
          <w:szCs w:val="32"/>
          <w:lang w:val="zh-CN"/>
        </w:rPr>
        <w:t>对外交流与宣传经费项目相关的资金管理办法主要有：《财务管理制度》（川文产办〔2013〕37号）、《四川文化产业职业学院预算管理办法》《四川文化产业职业学院招标采购管理系列制度》等，涵盖项目资金收支、预算、采购等管理措施，基本明确了项目资金使用管理、财务监管、责任主体等，制度健全、规范、有效。</w:t>
      </w:r>
      <w:bookmarkStart w:id="55" w:name="_Hlk81393636"/>
    </w:p>
    <w:bookmarkEnd w:id="55"/>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 w:hAnsi="仿宋" w:eastAsia="仿宋"/>
          <w:b/>
          <w:bCs/>
          <w:sz w:val="32"/>
          <w:szCs w:val="32"/>
          <w:lang w:val="zh-CN"/>
        </w:rPr>
      </w:pPr>
      <w:r>
        <w:rPr>
          <w:rFonts w:hint="eastAsia" w:ascii="仿宋" w:hAnsi="仿宋" w:eastAsia="仿宋"/>
          <w:b/>
          <w:bCs/>
          <w:sz w:val="32"/>
          <w:szCs w:val="32"/>
          <w:lang w:val="zh-CN"/>
        </w:rPr>
        <w:t>项目按照《财务管理制度》（川文产办〔2013〕37号）《四川省干部函授学院 四川文化 产业职业学院项目管理暂行办法》《四川省干部函授学院 四川文化 产业职业学院采购项目履约验收管理办法(试行）》《四川省干部函授学院 四川文化 产业职业学院办公设备及家具配置管理 办法（试行）》对项目的资金使用、过程监管、责任落实作出了相应规定。执行中，项目责任部门以职设岗、明确责任边界、完善人员分工及协调机制，保障了项目管理制度的有效执行。</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eastAsia="仿宋_GB2312"/>
          <w:b/>
          <w:bCs/>
          <w:sz w:val="32"/>
          <w:szCs w:val="32"/>
          <w:lang w:val="zh-CN"/>
        </w:rPr>
      </w:pPr>
      <w:r>
        <w:rPr>
          <w:rFonts w:hint="eastAsia" w:ascii="黑体" w:hAnsi="宋体" w:eastAsia="黑体"/>
          <w:b/>
          <w:bCs/>
          <w:sz w:val="32"/>
          <w:szCs w:val="32"/>
        </w:rPr>
        <w:t>三、项目绩效情况</w:t>
      </w:r>
      <w:r>
        <w:rPr>
          <w:rFonts w:hint="eastAsia" w:ascii="仿宋_GB2312" w:hAnsi="宋体" w:eastAsia="仿宋_GB2312"/>
          <w:b/>
          <w:bCs/>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bCs/>
          <w:sz w:val="32"/>
          <w:szCs w:val="32"/>
          <w:lang w:val="zh-CN"/>
        </w:rPr>
      </w:pPr>
      <w:r>
        <w:rPr>
          <w:rFonts w:hint="eastAsia" w:ascii="楷体_GB2312" w:hAnsi="宋体" w:eastAsia="楷体_GB2312"/>
          <w:b/>
          <w:bCs/>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 w:hAnsi="仿宋" w:eastAsia="仿宋"/>
          <w:b/>
          <w:bCs/>
          <w:sz w:val="32"/>
          <w:szCs w:val="32"/>
          <w:lang w:val="zh-CN"/>
        </w:rPr>
      </w:pPr>
      <w:r>
        <w:rPr>
          <w:rFonts w:hint="eastAsia" w:ascii="仿宋" w:hAnsi="仿宋" w:eastAsia="仿宋"/>
          <w:b/>
          <w:bCs/>
          <w:sz w:val="32"/>
          <w:szCs w:val="32"/>
          <w:lang w:val="zh-CN"/>
        </w:rPr>
        <w:t>1．开展校企合作宣传活动。拓展校企、校地合作形式和路径，融合发展格局初步形成。与自贡市大安区政府签订战略合作框架协议、与理县、营山等地方政府和大型企业达成开展文化资源、产品研发，打造教育实践基地的合作意向。与属地街道社区合作，开展各类公益项目，学院联合曲艺大师工作室大师和演艺学院师生一起走进社区开展“情浓金秋，温暖重阳”重阳节文艺演出活动，以学校的优势智力资源为地方经济社会服务，大力宣传职业教育，同时也为学生实践实训、成长成才提供一个更大的舞台。打造学校大师工作室品牌项目，其中有代表性的是罗大春曲艺大师工作室、皮影大师工作室。曲艺大师工作室联合四川曲艺研究院共同打造抗疫主题剧目《情洒荆楚》、《家庭总动员》，参与了2020年成都市文化走基层惠民活动，参与演出及志愿服务：新都区、双流区、温江区、郫都区、高新区中和街道等多个区、街道、社区共计130余场演出。皮影大师工作室打造的《老鼠嫁女》在2020年成都市网络视听评选中获得短视频优秀作品奖。</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 w:hAnsi="仿宋" w:eastAsia="仿宋"/>
          <w:b/>
          <w:bCs/>
          <w:sz w:val="32"/>
          <w:szCs w:val="32"/>
          <w:lang w:val="zh-CN"/>
        </w:rPr>
      </w:pPr>
      <w:r>
        <w:rPr>
          <w:rFonts w:hint="eastAsia" w:ascii="仿宋" w:hAnsi="仿宋" w:eastAsia="仿宋"/>
          <w:b/>
          <w:bCs/>
          <w:sz w:val="32"/>
          <w:szCs w:val="32"/>
          <w:lang w:val="zh-CN"/>
        </w:rPr>
        <w:t>2．联络走访合作企业情况。2020年在疫情进入常态化防控阶段，学院积极对接外部资源，加强与相关单位的联络合作，与成都城投职业教育集团、深圳腾讯科技有限公司、国华祯宝公司、成都魔力风暴科技有限公司、四川瑞升捷贸易有限公司等多家企业建立合作联系。接待企业来访7次，对接学校二级学院需求，深入沟通合作项目，其中深圳腾讯科技有限公司、国华祯宝公司2家企业已与我院大数据学院和文博学院在人才培养、建立校外实习实训基地、课程共建等方面达成初步合作共识。</w:t>
      </w:r>
    </w:p>
    <w:p>
      <w:pPr>
        <w:keepNext w:val="0"/>
        <w:keepLines w:val="0"/>
        <w:pageBreakBefore w:val="0"/>
        <w:widowControl w:val="0"/>
        <w:kinsoku/>
        <w:wordWrap/>
        <w:overflowPunct/>
        <w:topLinePunct w:val="0"/>
        <w:autoSpaceDE/>
        <w:autoSpaceDN/>
        <w:bidi w:val="0"/>
        <w:snapToGrid w:val="0"/>
        <w:spacing w:line="560" w:lineRule="exact"/>
        <w:ind w:firstLine="643" w:firstLineChars="200"/>
        <w:textAlignment w:val="auto"/>
        <w:rPr>
          <w:rFonts w:ascii="仿宋_GB2312" w:hAnsi="仿宋_GB2312" w:cs="仿宋_GB2312"/>
          <w:b/>
          <w:bCs/>
          <w:szCs w:val="21"/>
        </w:rPr>
      </w:pPr>
      <w:r>
        <w:rPr>
          <w:rFonts w:hint="eastAsia" w:ascii="楷体_GB2312" w:hAnsi="宋体" w:eastAsia="楷体_GB2312"/>
          <w:b/>
          <w:bCs/>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 w:hAnsi="仿宋" w:eastAsia="仿宋"/>
          <w:b/>
          <w:bCs/>
          <w:sz w:val="32"/>
          <w:szCs w:val="32"/>
          <w:lang w:val="zh-CN"/>
        </w:rPr>
      </w:pPr>
      <w:r>
        <w:rPr>
          <w:rFonts w:hint="eastAsia" w:ascii="仿宋" w:hAnsi="仿宋" w:eastAsia="仿宋"/>
          <w:b/>
          <w:bCs/>
          <w:sz w:val="32"/>
          <w:szCs w:val="32"/>
          <w:lang w:val="zh-CN"/>
        </w:rPr>
        <w:t>通过开展项目，提高我校对外宣传及社会影响力，展现我校良好精神风貌，师生满意度较高。</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b/>
          <w:bCs/>
          <w:sz w:val="32"/>
          <w:szCs w:val="32"/>
        </w:rPr>
      </w:pPr>
      <w:r>
        <w:rPr>
          <w:rFonts w:hint="eastAsia" w:ascii="黑体" w:hAnsi="宋体" w:eastAsia="黑体"/>
          <w:b/>
          <w:bCs/>
          <w:sz w:val="32"/>
          <w:szCs w:val="32"/>
        </w:rPr>
        <w:t>四、问题及建议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 w:hAnsi="仿宋" w:eastAsia="仿宋" w:cs="仿宋"/>
          <w:b/>
          <w:bCs/>
          <w:spacing w:val="-6"/>
          <w:sz w:val="32"/>
          <w:szCs w:val="32"/>
        </w:rPr>
      </w:pPr>
      <w:r>
        <w:rPr>
          <w:rFonts w:hint="eastAsia" w:ascii="楷体_GB2312" w:hAnsi="宋体" w:eastAsia="楷体_GB2312"/>
          <w:b/>
          <w:bCs/>
          <w:spacing w:val="-6"/>
          <w:sz w:val="32"/>
          <w:szCs w:val="32"/>
          <w:lang w:val="zh-CN"/>
        </w:rPr>
        <w:t>（一）存在的问题。</w:t>
      </w:r>
      <w:r>
        <w:rPr>
          <w:rFonts w:hint="eastAsia" w:ascii="仿宋" w:hAnsi="仿宋" w:eastAsia="仿宋" w:cs="仿宋"/>
          <w:b/>
          <w:bCs/>
          <w:spacing w:val="-6"/>
          <w:sz w:val="32"/>
          <w:szCs w:val="32"/>
        </w:rPr>
        <w:t>项目规划不尽合理，经费测算不够准确。</w:t>
      </w:r>
    </w:p>
    <w:p>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仿宋_GB2312" w:eastAsia="仿宋_GB2312" w:cs="仿宋_GB2312"/>
          <w:b/>
          <w:bCs/>
          <w:color w:val="FF0000"/>
          <w:sz w:val="32"/>
          <w:szCs w:val="32"/>
        </w:rPr>
      </w:pPr>
      <w:r>
        <w:rPr>
          <w:rFonts w:hint="eastAsia" w:ascii="楷体_GB2312" w:hAnsi="宋体" w:eastAsia="楷体_GB2312"/>
          <w:b/>
          <w:bCs/>
          <w:sz w:val="32"/>
          <w:szCs w:val="32"/>
          <w:lang w:val="zh-CN"/>
        </w:rPr>
        <w:t>（二）相关建议。</w:t>
      </w:r>
      <w:bookmarkStart w:id="56" w:name="_Hlk81393340"/>
      <w:r>
        <w:rPr>
          <w:rFonts w:hint="eastAsia" w:ascii="仿宋" w:hAnsi="仿宋" w:eastAsia="仿宋"/>
          <w:b/>
          <w:bCs/>
          <w:sz w:val="32"/>
          <w:szCs w:val="32"/>
          <w:lang w:val="zh-CN"/>
        </w:rPr>
        <w:t>进一步加强预算绩效管理、提高资金使用效益</w:t>
      </w:r>
      <w:bookmarkEnd w:id="56"/>
      <w:r>
        <w:rPr>
          <w:rFonts w:hint="eastAsia" w:ascii="仿宋" w:hAnsi="仿宋" w:eastAsia="仿宋"/>
          <w:b/>
          <w:bCs/>
          <w:sz w:val="32"/>
          <w:szCs w:val="32"/>
          <w:lang w:val="zh-CN"/>
        </w:rPr>
        <w:t>，在完成防疫工作的同时，对项目年度绩效目标和指标体系表进行优化调整，推动绩效评价工作做深做实。</w:t>
      </w:r>
    </w:p>
    <w:p>
      <w:pPr>
        <w:pStyle w:val="2"/>
        <w:spacing w:before="93"/>
        <w:rPr>
          <w:b/>
          <w:bCs/>
        </w:rPr>
      </w:pPr>
    </w:p>
    <w:p>
      <w:pPr>
        <w:spacing w:line="600" w:lineRule="exact"/>
        <w:jc w:val="center"/>
        <w:outlineLvl w:val="0"/>
        <w:rPr>
          <w:rFonts w:ascii="仿宋" w:hAnsi="仿宋" w:eastAsia="仿宋"/>
          <w:b/>
          <w:bCs/>
          <w:color w:val="000000"/>
        </w:rPr>
      </w:pPr>
      <w:r>
        <w:rPr>
          <w:rFonts w:hint="eastAsia" w:ascii="黑体" w:hAnsi="黑体" w:eastAsia="黑体"/>
          <w:b/>
          <w:bCs/>
          <w:color w:val="000000"/>
          <w:sz w:val="44"/>
          <w:szCs w:val="44"/>
        </w:rPr>
        <w:t>第</w:t>
      </w:r>
      <w:r>
        <w:rPr>
          <w:rStyle w:val="24"/>
          <w:rFonts w:hint="eastAsia" w:ascii="黑体" w:hAnsi="黑体" w:eastAsia="黑体"/>
          <w:b/>
          <w:bCs/>
        </w:rPr>
        <w:t>五部分 附表</w:t>
      </w:r>
      <w:bookmarkEnd w:id="52"/>
      <w:bookmarkEnd w:id="54"/>
      <w:bookmarkStart w:id="57" w:name="_Toc15396619"/>
    </w:p>
    <w:p>
      <w:pPr>
        <w:pStyle w:val="4"/>
        <w:pageBreakBefore w:val="0"/>
        <w:widowControl w:val="0"/>
        <w:kinsoku/>
        <w:wordWrap/>
        <w:overflowPunct/>
        <w:topLinePunct w:val="0"/>
        <w:autoSpaceDE/>
        <w:autoSpaceDN/>
        <w:bidi w:val="0"/>
        <w:adjustRightInd/>
        <w:snapToGrid/>
        <w:spacing w:before="0" w:after="0" w:line="560" w:lineRule="exact"/>
        <w:textAlignment w:val="auto"/>
        <w:rPr>
          <w:rFonts w:hint="eastAsia" w:ascii="仿宋" w:hAnsi="仿宋" w:eastAsia="仿宋"/>
          <w:b/>
          <w:bCs/>
          <w:color w:val="000000"/>
        </w:rPr>
      </w:pPr>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b/>
          <w:bCs/>
          <w:color w:val="000000"/>
        </w:rPr>
      </w:pPr>
      <w:r>
        <w:rPr>
          <w:rFonts w:hint="eastAsia" w:ascii="仿宋" w:hAnsi="仿宋" w:eastAsia="仿宋"/>
          <w:b/>
          <w:bCs/>
          <w:color w:val="000000"/>
        </w:rPr>
        <w:t>一、收</w:t>
      </w:r>
      <w:r>
        <w:rPr>
          <w:rStyle w:val="25"/>
          <w:rFonts w:hint="eastAsia" w:ascii="仿宋" w:hAnsi="仿宋" w:eastAsia="仿宋"/>
          <w:b/>
          <w:bCs/>
        </w:rPr>
        <w:t>入支出决算总表</w:t>
      </w:r>
      <w:bookmarkEnd w:id="57"/>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b/>
          <w:bCs/>
          <w:color w:val="000000"/>
        </w:rPr>
      </w:pPr>
      <w:bookmarkStart w:id="58" w:name="_Toc15396620"/>
      <w:r>
        <w:rPr>
          <w:rFonts w:hint="eastAsia" w:ascii="仿宋" w:hAnsi="仿宋" w:eastAsia="仿宋"/>
          <w:b/>
          <w:bCs/>
          <w:color w:val="000000"/>
        </w:rPr>
        <w:t>二、收</w:t>
      </w:r>
      <w:r>
        <w:rPr>
          <w:rStyle w:val="25"/>
          <w:rFonts w:hint="eastAsia" w:ascii="仿宋" w:hAnsi="仿宋" w:eastAsia="仿宋"/>
          <w:b/>
          <w:bCs/>
        </w:rPr>
        <w:t>入决算表</w:t>
      </w:r>
      <w:bookmarkEnd w:id="58"/>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b/>
          <w:bCs/>
          <w:color w:val="000000"/>
        </w:rPr>
      </w:pPr>
      <w:bookmarkStart w:id="59" w:name="_Toc15396621"/>
      <w:r>
        <w:rPr>
          <w:rStyle w:val="25"/>
          <w:rFonts w:hint="eastAsia" w:ascii="仿宋" w:hAnsi="仿宋" w:eastAsia="仿宋"/>
          <w:b/>
          <w:bCs/>
        </w:rPr>
        <w:t>三、</w:t>
      </w:r>
      <w:r>
        <w:rPr>
          <w:rFonts w:hint="eastAsia" w:ascii="仿宋" w:hAnsi="仿宋" w:eastAsia="仿宋"/>
          <w:b/>
          <w:bCs/>
          <w:color w:val="000000"/>
        </w:rPr>
        <w:t>支</w:t>
      </w:r>
      <w:r>
        <w:rPr>
          <w:rStyle w:val="25"/>
          <w:rFonts w:hint="eastAsia" w:ascii="仿宋" w:hAnsi="仿宋" w:eastAsia="仿宋"/>
          <w:b/>
          <w:bCs/>
        </w:rPr>
        <w:t>出决算表</w:t>
      </w:r>
      <w:bookmarkEnd w:id="59"/>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b/>
          <w:bCs/>
          <w:color w:val="000000"/>
        </w:rPr>
      </w:pPr>
      <w:bookmarkStart w:id="60" w:name="_Toc15396622"/>
      <w:r>
        <w:rPr>
          <w:rStyle w:val="25"/>
          <w:rFonts w:hint="eastAsia" w:ascii="仿宋" w:hAnsi="仿宋" w:eastAsia="仿宋"/>
          <w:b/>
          <w:bCs/>
        </w:rPr>
        <w:t>四、</w:t>
      </w:r>
      <w:r>
        <w:rPr>
          <w:rFonts w:hint="eastAsia" w:ascii="仿宋" w:hAnsi="仿宋" w:eastAsia="仿宋"/>
          <w:b/>
          <w:bCs/>
          <w:color w:val="000000"/>
        </w:rPr>
        <w:t>财</w:t>
      </w:r>
      <w:r>
        <w:rPr>
          <w:rStyle w:val="25"/>
          <w:rFonts w:hint="eastAsia" w:ascii="仿宋" w:hAnsi="仿宋" w:eastAsia="仿宋"/>
          <w:b/>
          <w:bCs/>
        </w:rPr>
        <w:t>政拨款收入支出决算总表</w:t>
      </w:r>
      <w:bookmarkEnd w:id="60"/>
    </w:p>
    <w:p>
      <w:pPr>
        <w:pStyle w:val="4"/>
        <w:pageBreakBefore w:val="0"/>
        <w:widowControl w:val="0"/>
        <w:kinsoku/>
        <w:wordWrap/>
        <w:overflowPunct/>
        <w:topLinePunct w:val="0"/>
        <w:autoSpaceDE/>
        <w:autoSpaceDN/>
        <w:bidi w:val="0"/>
        <w:adjustRightInd/>
        <w:snapToGrid/>
        <w:spacing w:before="0" w:after="0" w:line="560" w:lineRule="exact"/>
        <w:textAlignment w:val="auto"/>
        <w:rPr>
          <w:rStyle w:val="25"/>
          <w:rFonts w:ascii="仿宋" w:hAnsi="仿宋" w:eastAsia="仿宋"/>
          <w:b/>
          <w:bCs/>
        </w:rPr>
      </w:pPr>
      <w:bookmarkStart w:id="61" w:name="_Toc15396623"/>
      <w:r>
        <w:rPr>
          <w:rStyle w:val="25"/>
          <w:rFonts w:hint="eastAsia" w:ascii="仿宋" w:hAnsi="仿宋" w:eastAsia="仿宋"/>
          <w:b/>
          <w:bCs/>
        </w:rPr>
        <w:t>五、</w:t>
      </w:r>
      <w:r>
        <w:rPr>
          <w:rFonts w:hint="eastAsia" w:ascii="仿宋" w:hAnsi="仿宋" w:eastAsia="仿宋"/>
          <w:b/>
          <w:bCs/>
          <w:color w:val="000000"/>
        </w:rPr>
        <w:t>财</w:t>
      </w:r>
      <w:r>
        <w:rPr>
          <w:rStyle w:val="25"/>
          <w:rFonts w:hint="eastAsia" w:ascii="仿宋" w:hAnsi="仿宋" w:eastAsia="仿宋"/>
          <w:b/>
          <w:bCs/>
        </w:rPr>
        <w:t>政拨款支出决算明细表</w:t>
      </w:r>
      <w:bookmarkEnd w:id="61"/>
      <w:bookmarkStart w:id="62" w:name="_Toc15396624"/>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b/>
          <w:bCs/>
          <w:color w:val="000000"/>
        </w:rPr>
      </w:pPr>
      <w:r>
        <w:rPr>
          <w:rStyle w:val="25"/>
          <w:rFonts w:hint="eastAsia" w:ascii="仿宋" w:hAnsi="仿宋" w:eastAsia="仿宋"/>
          <w:b/>
          <w:bCs/>
        </w:rPr>
        <w:t>六、</w:t>
      </w:r>
      <w:r>
        <w:rPr>
          <w:rFonts w:hint="eastAsia" w:ascii="仿宋" w:hAnsi="仿宋" w:eastAsia="仿宋"/>
          <w:b/>
          <w:bCs/>
          <w:color w:val="000000"/>
        </w:rPr>
        <w:t>一</w:t>
      </w:r>
      <w:r>
        <w:rPr>
          <w:rStyle w:val="25"/>
          <w:rFonts w:hint="eastAsia" w:ascii="仿宋" w:hAnsi="仿宋" w:eastAsia="仿宋"/>
          <w:b/>
          <w:bCs/>
        </w:rPr>
        <w:t>般公共预算财政拨款支出决算表</w:t>
      </w:r>
      <w:bookmarkEnd w:id="62"/>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b/>
          <w:bCs/>
          <w:color w:val="000000"/>
        </w:rPr>
      </w:pPr>
      <w:bookmarkStart w:id="63" w:name="_Toc15396625"/>
      <w:r>
        <w:rPr>
          <w:rStyle w:val="25"/>
          <w:rFonts w:hint="eastAsia" w:ascii="仿宋" w:hAnsi="仿宋" w:eastAsia="仿宋"/>
          <w:b/>
          <w:bCs/>
        </w:rPr>
        <w:t>七、</w:t>
      </w:r>
      <w:r>
        <w:rPr>
          <w:rFonts w:hint="eastAsia" w:ascii="仿宋" w:hAnsi="仿宋" w:eastAsia="仿宋"/>
          <w:b/>
          <w:bCs/>
          <w:color w:val="000000"/>
        </w:rPr>
        <w:t>一</w:t>
      </w:r>
      <w:r>
        <w:rPr>
          <w:rStyle w:val="25"/>
          <w:rFonts w:hint="eastAsia" w:ascii="仿宋" w:hAnsi="仿宋" w:eastAsia="仿宋"/>
          <w:b/>
          <w:bCs/>
        </w:rPr>
        <w:t>般公共预算财政拨款支出决算明细表</w:t>
      </w:r>
      <w:bookmarkEnd w:id="63"/>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b/>
          <w:bCs/>
          <w:color w:val="000000"/>
        </w:rPr>
      </w:pPr>
      <w:bookmarkStart w:id="64" w:name="_Toc15396626"/>
      <w:r>
        <w:rPr>
          <w:rStyle w:val="25"/>
          <w:rFonts w:hint="eastAsia" w:ascii="仿宋" w:hAnsi="仿宋" w:eastAsia="仿宋"/>
          <w:b/>
          <w:bCs/>
        </w:rPr>
        <w:t>八、</w:t>
      </w:r>
      <w:r>
        <w:rPr>
          <w:rFonts w:hint="eastAsia" w:ascii="仿宋" w:hAnsi="仿宋" w:eastAsia="仿宋"/>
          <w:b/>
          <w:bCs/>
          <w:color w:val="000000"/>
        </w:rPr>
        <w:t>一</w:t>
      </w:r>
      <w:r>
        <w:rPr>
          <w:rStyle w:val="25"/>
          <w:rFonts w:hint="eastAsia" w:ascii="仿宋" w:hAnsi="仿宋" w:eastAsia="仿宋"/>
          <w:b/>
          <w:bCs/>
        </w:rPr>
        <w:t>般公共预算财政拨款基本支出决算表</w:t>
      </w:r>
      <w:bookmarkEnd w:id="64"/>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b/>
          <w:bCs/>
          <w:color w:val="000000"/>
        </w:rPr>
      </w:pPr>
      <w:bookmarkStart w:id="65" w:name="_Toc15396627"/>
      <w:r>
        <w:rPr>
          <w:rStyle w:val="25"/>
          <w:rFonts w:hint="eastAsia" w:ascii="仿宋" w:hAnsi="仿宋" w:eastAsia="仿宋"/>
          <w:b/>
          <w:bCs/>
        </w:rPr>
        <w:t>九、</w:t>
      </w:r>
      <w:r>
        <w:rPr>
          <w:rFonts w:hint="eastAsia" w:ascii="仿宋" w:hAnsi="仿宋" w:eastAsia="仿宋"/>
          <w:b/>
          <w:bCs/>
          <w:color w:val="000000"/>
        </w:rPr>
        <w:t>一</w:t>
      </w:r>
      <w:r>
        <w:rPr>
          <w:rStyle w:val="25"/>
          <w:rFonts w:hint="eastAsia" w:ascii="仿宋" w:hAnsi="仿宋" w:eastAsia="仿宋"/>
          <w:b/>
          <w:bCs/>
        </w:rPr>
        <w:t>般公共预算财政拨款项目支出决算表</w:t>
      </w:r>
      <w:bookmarkEnd w:id="65"/>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b/>
          <w:bCs/>
          <w:color w:val="000000"/>
        </w:rPr>
      </w:pPr>
      <w:bookmarkStart w:id="66" w:name="_Toc15396628"/>
      <w:r>
        <w:rPr>
          <w:rStyle w:val="25"/>
          <w:rFonts w:hint="eastAsia" w:ascii="仿宋" w:hAnsi="仿宋" w:eastAsia="仿宋"/>
          <w:b/>
          <w:bCs/>
        </w:rPr>
        <w:t>十、</w:t>
      </w:r>
      <w:r>
        <w:rPr>
          <w:rFonts w:hint="eastAsia" w:ascii="仿宋" w:hAnsi="仿宋" w:eastAsia="仿宋"/>
          <w:b/>
          <w:bCs/>
          <w:color w:val="000000"/>
        </w:rPr>
        <w:t>一</w:t>
      </w:r>
      <w:r>
        <w:rPr>
          <w:rStyle w:val="25"/>
          <w:rFonts w:hint="eastAsia" w:ascii="仿宋" w:hAnsi="仿宋" w:eastAsia="仿宋"/>
          <w:b/>
          <w:bCs/>
        </w:rPr>
        <w:t>般公共预算财政拨款“三公”经费支出决算表</w:t>
      </w:r>
      <w:bookmarkEnd w:id="66"/>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b/>
          <w:bCs/>
          <w:color w:val="000000"/>
        </w:rPr>
      </w:pPr>
      <w:bookmarkStart w:id="67" w:name="_Toc15396629"/>
      <w:r>
        <w:rPr>
          <w:rStyle w:val="25"/>
          <w:rFonts w:hint="eastAsia" w:ascii="仿宋" w:hAnsi="仿宋" w:eastAsia="仿宋"/>
          <w:b/>
          <w:bCs/>
        </w:rPr>
        <w:t>十一、</w:t>
      </w:r>
      <w:r>
        <w:rPr>
          <w:rFonts w:hint="eastAsia" w:ascii="仿宋" w:hAnsi="仿宋" w:eastAsia="仿宋"/>
          <w:b/>
          <w:bCs/>
          <w:color w:val="000000"/>
        </w:rPr>
        <w:t>政</w:t>
      </w:r>
      <w:r>
        <w:rPr>
          <w:rStyle w:val="25"/>
          <w:rFonts w:hint="eastAsia" w:ascii="仿宋" w:hAnsi="仿宋" w:eastAsia="仿宋"/>
          <w:b/>
          <w:bCs/>
        </w:rPr>
        <w:t>府性基金预算财政拨款收入支出决算表</w:t>
      </w:r>
      <w:bookmarkEnd w:id="67"/>
    </w:p>
    <w:p>
      <w:pPr>
        <w:pStyle w:val="4"/>
        <w:pageBreakBefore w:val="0"/>
        <w:widowControl w:val="0"/>
        <w:kinsoku/>
        <w:wordWrap/>
        <w:overflowPunct/>
        <w:topLinePunct w:val="0"/>
        <w:autoSpaceDE/>
        <w:autoSpaceDN/>
        <w:bidi w:val="0"/>
        <w:adjustRightInd/>
        <w:snapToGrid/>
        <w:spacing w:before="0" w:after="0" w:line="560" w:lineRule="exact"/>
        <w:textAlignment w:val="auto"/>
        <w:rPr>
          <w:rFonts w:ascii="仿宋" w:hAnsi="仿宋" w:eastAsia="仿宋"/>
          <w:b/>
          <w:bCs/>
          <w:color w:val="000000"/>
        </w:rPr>
      </w:pPr>
      <w:bookmarkStart w:id="68" w:name="_Toc15396630"/>
      <w:r>
        <w:rPr>
          <w:rStyle w:val="25"/>
          <w:rFonts w:hint="eastAsia" w:ascii="仿宋" w:hAnsi="仿宋" w:eastAsia="仿宋"/>
          <w:b/>
          <w:bCs/>
        </w:rPr>
        <w:t>十二、</w:t>
      </w:r>
      <w:r>
        <w:rPr>
          <w:rFonts w:hint="eastAsia" w:ascii="仿宋" w:hAnsi="仿宋" w:eastAsia="仿宋"/>
          <w:b/>
          <w:bCs/>
          <w:color w:val="000000"/>
        </w:rPr>
        <w:t>政</w:t>
      </w:r>
      <w:r>
        <w:rPr>
          <w:rStyle w:val="25"/>
          <w:rFonts w:hint="eastAsia" w:ascii="仿宋" w:hAnsi="仿宋" w:eastAsia="仿宋"/>
          <w:b/>
          <w:bCs/>
        </w:rPr>
        <w:t>府性基金预算财政拨款“三公”经费支出决算表</w:t>
      </w:r>
      <w:bookmarkEnd w:id="68"/>
    </w:p>
    <w:p>
      <w:pPr>
        <w:pStyle w:val="4"/>
        <w:pageBreakBefore w:val="0"/>
        <w:widowControl w:val="0"/>
        <w:kinsoku/>
        <w:wordWrap/>
        <w:overflowPunct/>
        <w:topLinePunct w:val="0"/>
        <w:autoSpaceDE/>
        <w:autoSpaceDN/>
        <w:bidi w:val="0"/>
        <w:adjustRightInd/>
        <w:snapToGrid/>
        <w:spacing w:before="0" w:after="0" w:line="560" w:lineRule="exact"/>
        <w:textAlignment w:val="auto"/>
        <w:rPr>
          <w:rStyle w:val="25"/>
          <w:rFonts w:ascii="仿宋" w:hAnsi="仿宋" w:eastAsia="仿宋"/>
          <w:b/>
          <w:bCs/>
        </w:rPr>
      </w:pPr>
      <w:bookmarkStart w:id="69" w:name="_Toc15396631"/>
      <w:r>
        <w:rPr>
          <w:rStyle w:val="25"/>
          <w:rFonts w:hint="eastAsia" w:ascii="仿宋" w:hAnsi="仿宋" w:eastAsia="仿宋"/>
          <w:b/>
          <w:bCs/>
        </w:rPr>
        <w:t>十三、</w:t>
      </w:r>
      <w:r>
        <w:rPr>
          <w:rFonts w:hint="eastAsia" w:ascii="仿宋" w:hAnsi="仿宋" w:eastAsia="仿宋"/>
          <w:b/>
          <w:bCs/>
          <w:color w:val="000000"/>
        </w:rPr>
        <w:t>国</w:t>
      </w:r>
      <w:r>
        <w:rPr>
          <w:rStyle w:val="25"/>
          <w:rFonts w:hint="eastAsia" w:ascii="仿宋" w:hAnsi="仿宋" w:eastAsia="仿宋"/>
          <w:b/>
          <w:bCs/>
        </w:rPr>
        <w:t>有资本经营预算财政拨款收入支出决算表</w:t>
      </w:r>
      <w:bookmarkEnd w:id="69"/>
    </w:p>
    <w:p>
      <w:pPr>
        <w:pageBreakBefore w:val="0"/>
        <w:widowControl w:val="0"/>
        <w:kinsoku/>
        <w:wordWrap/>
        <w:overflowPunct/>
        <w:topLinePunct w:val="0"/>
        <w:autoSpaceDE/>
        <w:autoSpaceDN/>
        <w:bidi w:val="0"/>
        <w:adjustRightInd/>
        <w:snapToGrid/>
        <w:spacing w:line="560" w:lineRule="exact"/>
        <w:textAlignment w:val="auto"/>
        <w:rPr>
          <w:rFonts w:eastAsia="仿宋"/>
          <w:b/>
          <w:bCs/>
        </w:rPr>
      </w:pPr>
      <w:r>
        <w:rPr>
          <w:rStyle w:val="25"/>
          <w:rFonts w:hint="eastAsia" w:ascii="仿宋" w:hAnsi="仿宋" w:eastAsia="仿宋"/>
          <w:b/>
          <w:bCs/>
        </w:rPr>
        <w:t>十四、国有资本经营预算财政拨款支出决算表</w:t>
      </w:r>
    </w:p>
    <w:sectPr>
      <w:headerReference r:id="rId3" w:type="default"/>
      <w:footerReference r:id="rId4" w:type="default"/>
      <w:pgSz w:w="11906" w:h="16838"/>
      <w:pgMar w:top="1984" w:right="1587" w:bottom="1814" w:left="1587"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EndPr>
      <w:rPr>
        <w:rFonts w:hint="default" w:ascii="Times New Roman" w:hAnsi="Times New Roman" w:cs="Times New Roman"/>
        <w:b/>
        <w:bCs/>
        <w:sz w:val="24"/>
        <w:szCs w:val="24"/>
      </w:rPr>
    </w:sdtEndPr>
    <w:sdtContent>
      <w:p>
        <w:pPr>
          <w:pStyle w:val="8"/>
          <w:jc w:val="center"/>
          <w:rPr>
            <w:rFonts w:hint="default" w:ascii="Times New Roman" w:hAnsi="Times New Roman" w:cs="Times New Roman"/>
            <w:b/>
            <w:bCs/>
            <w:sz w:val="24"/>
            <w:szCs w:val="24"/>
          </w:rPr>
        </w:pPr>
        <w:r>
          <w:rPr>
            <w:rFonts w:hint="default" w:ascii="Times New Roman" w:hAnsi="Times New Roman" w:cs="Times New Roman"/>
            <w:b/>
            <w:bCs/>
            <w:sz w:val="24"/>
            <w:szCs w:val="24"/>
            <w:lang w:val="zh-CN"/>
          </w:rPr>
          <w:fldChar w:fldCharType="begin"/>
        </w:r>
        <w:r>
          <w:rPr>
            <w:rFonts w:hint="default" w:ascii="Times New Roman" w:hAnsi="Times New Roman" w:cs="Times New Roman"/>
            <w:b/>
            <w:bCs/>
            <w:sz w:val="24"/>
            <w:szCs w:val="24"/>
            <w:lang w:val="zh-CN"/>
          </w:rPr>
          <w:instrText xml:space="preserve">PAGE   \* MERGEFORMAT</w:instrText>
        </w:r>
        <w:r>
          <w:rPr>
            <w:rFonts w:hint="default" w:ascii="Times New Roman" w:hAnsi="Times New Roman" w:cs="Times New Roman"/>
            <w:b/>
            <w:bCs/>
            <w:sz w:val="24"/>
            <w:szCs w:val="24"/>
            <w:lang w:val="zh-CN"/>
          </w:rPr>
          <w:fldChar w:fldCharType="separate"/>
        </w:r>
        <w:r>
          <w:rPr>
            <w:rFonts w:hint="default" w:ascii="Times New Roman" w:hAnsi="Times New Roman" w:cs="Times New Roman"/>
            <w:b/>
            <w:bCs/>
            <w:sz w:val="24"/>
            <w:szCs w:val="24"/>
            <w:lang w:val="zh-CN"/>
          </w:rPr>
          <w:t>2</w:t>
        </w:r>
        <w:r>
          <w:rPr>
            <w:rFonts w:hint="default" w:ascii="Times New Roman" w:hAnsi="Times New Roman" w:cs="Times New Roman"/>
            <w:b/>
            <w:bCs/>
            <w:sz w:val="24"/>
            <w:szCs w:val="24"/>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325F3"/>
    <w:rsid w:val="0003299B"/>
    <w:rsid w:val="000468DB"/>
    <w:rsid w:val="00050225"/>
    <w:rsid w:val="00055CD9"/>
    <w:rsid w:val="0006487A"/>
    <w:rsid w:val="00065F8F"/>
    <w:rsid w:val="000704D3"/>
    <w:rsid w:val="00070A43"/>
    <w:rsid w:val="000768F2"/>
    <w:rsid w:val="00077B7F"/>
    <w:rsid w:val="0009184B"/>
    <w:rsid w:val="00094236"/>
    <w:rsid w:val="0009593C"/>
    <w:rsid w:val="00097322"/>
    <w:rsid w:val="000A6A92"/>
    <w:rsid w:val="000B047F"/>
    <w:rsid w:val="000B0E49"/>
    <w:rsid w:val="000B5923"/>
    <w:rsid w:val="000B5A48"/>
    <w:rsid w:val="000B6828"/>
    <w:rsid w:val="000B6FF3"/>
    <w:rsid w:val="000C0122"/>
    <w:rsid w:val="000C19C6"/>
    <w:rsid w:val="000C3467"/>
    <w:rsid w:val="000C3CA6"/>
    <w:rsid w:val="000D1267"/>
    <w:rsid w:val="000D1D50"/>
    <w:rsid w:val="000D5782"/>
    <w:rsid w:val="000E6613"/>
    <w:rsid w:val="000E7119"/>
    <w:rsid w:val="00111697"/>
    <w:rsid w:val="00114E9B"/>
    <w:rsid w:val="0011599F"/>
    <w:rsid w:val="00131612"/>
    <w:rsid w:val="00136F60"/>
    <w:rsid w:val="00142216"/>
    <w:rsid w:val="00144D6A"/>
    <w:rsid w:val="0014729F"/>
    <w:rsid w:val="00157BAB"/>
    <w:rsid w:val="001654D1"/>
    <w:rsid w:val="00173B6C"/>
    <w:rsid w:val="00174518"/>
    <w:rsid w:val="00180937"/>
    <w:rsid w:val="0018106D"/>
    <w:rsid w:val="001877A7"/>
    <w:rsid w:val="00191536"/>
    <w:rsid w:val="00196687"/>
    <w:rsid w:val="001C0962"/>
    <w:rsid w:val="001C610F"/>
    <w:rsid w:val="001D7531"/>
    <w:rsid w:val="001E737D"/>
    <w:rsid w:val="001F0592"/>
    <w:rsid w:val="001F7506"/>
    <w:rsid w:val="002006CD"/>
    <w:rsid w:val="00202B36"/>
    <w:rsid w:val="00204B7A"/>
    <w:rsid w:val="00204CDE"/>
    <w:rsid w:val="0021101A"/>
    <w:rsid w:val="00220536"/>
    <w:rsid w:val="002326AD"/>
    <w:rsid w:val="00235629"/>
    <w:rsid w:val="002420A8"/>
    <w:rsid w:val="00247688"/>
    <w:rsid w:val="00256B08"/>
    <w:rsid w:val="00260C38"/>
    <w:rsid w:val="002616C0"/>
    <w:rsid w:val="00265372"/>
    <w:rsid w:val="0026551B"/>
    <w:rsid w:val="002662AA"/>
    <w:rsid w:val="00271784"/>
    <w:rsid w:val="0027238B"/>
    <w:rsid w:val="00280496"/>
    <w:rsid w:val="00282F70"/>
    <w:rsid w:val="00294DC9"/>
    <w:rsid w:val="00295495"/>
    <w:rsid w:val="002A31DE"/>
    <w:rsid w:val="002A5731"/>
    <w:rsid w:val="002B1DFF"/>
    <w:rsid w:val="002B2613"/>
    <w:rsid w:val="002D6D05"/>
    <w:rsid w:val="002D7CC4"/>
    <w:rsid w:val="002E7BD1"/>
    <w:rsid w:val="002F0513"/>
    <w:rsid w:val="002F1818"/>
    <w:rsid w:val="002F567B"/>
    <w:rsid w:val="003011A1"/>
    <w:rsid w:val="003216A9"/>
    <w:rsid w:val="00335A74"/>
    <w:rsid w:val="00346017"/>
    <w:rsid w:val="0036395A"/>
    <w:rsid w:val="0036561B"/>
    <w:rsid w:val="0037013F"/>
    <w:rsid w:val="00375324"/>
    <w:rsid w:val="00380C92"/>
    <w:rsid w:val="00397CD1"/>
    <w:rsid w:val="003A2546"/>
    <w:rsid w:val="003A484F"/>
    <w:rsid w:val="003A4883"/>
    <w:rsid w:val="003B0BE0"/>
    <w:rsid w:val="003B0C1B"/>
    <w:rsid w:val="003B688C"/>
    <w:rsid w:val="003C0291"/>
    <w:rsid w:val="003C39AE"/>
    <w:rsid w:val="003C7B60"/>
    <w:rsid w:val="003D0C0F"/>
    <w:rsid w:val="003D1FB2"/>
    <w:rsid w:val="003D66DA"/>
    <w:rsid w:val="003E1310"/>
    <w:rsid w:val="003E67CF"/>
    <w:rsid w:val="003E6F55"/>
    <w:rsid w:val="00406254"/>
    <w:rsid w:val="004223DE"/>
    <w:rsid w:val="00422C26"/>
    <w:rsid w:val="00434489"/>
    <w:rsid w:val="00437085"/>
    <w:rsid w:val="00441DFA"/>
    <w:rsid w:val="00443880"/>
    <w:rsid w:val="00444F72"/>
    <w:rsid w:val="0044647C"/>
    <w:rsid w:val="004464F4"/>
    <w:rsid w:val="004559F6"/>
    <w:rsid w:val="00471401"/>
    <w:rsid w:val="00473F31"/>
    <w:rsid w:val="0048263A"/>
    <w:rsid w:val="00487E5D"/>
    <w:rsid w:val="0049027D"/>
    <w:rsid w:val="00494A18"/>
    <w:rsid w:val="004A5E1B"/>
    <w:rsid w:val="004A711F"/>
    <w:rsid w:val="004B199D"/>
    <w:rsid w:val="004B4690"/>
    <w:rsid w:val="004B537C"/>
    <w:rsid w:val="004C51E7"/>
    <w:rsid w:val="004E0A2D"/>
    <w:rsid w:val="004E206B"/>
    <w:rsid w:val="004E6DF7"/>
    <w:rsid w:val="004F0FBD"/>
    <w:rsid w:val="004F73F2"/>
    <w:rsid w:val="00505A47"/>
    <w:rsid w:val="00512FDA"/>
    <w:rsid w:val="00520DA0"/>
    <w:rsid w:val="00526728"/>
    <w:rsid w:val="0053524A"/>
    <w:rsid w:val="00563EE7"/>
    <w:rsid w:val="005664BB"/>
    <w:rsid w:val="00566FFA"/>
    <w:rsid w:val="00574100"/>
    <w:rsid w:val="0057481D"/>
    <w:rsid w:val="00577D7A"/>
    <w:rsid w:val="0058486E"/>
    <w:rsid w:val="00585B33"/>
    <w:rsid w:val="00586CE7"/>
    <w:rsid w:val="0059014D"/>
    <w:rsid w:val="00595E52"/>
    <w:rsid w:val="005A2D8F"/>
    <w:rsid w:val="005A5451"/>
    <w:rsid w:val="005B5C64"/>
    <w:rsid w:val="005C5337"/>
    <w:rsid w:val="005C6BD0"/>
    <w:rsid w:val="005D1C8B"/>
    <w:rsid w:val="005D468D"/>
    <w:rsid w:val="005D5A29"/>
    <w:rsid w:val="005D5CED"/>
    <w:rsid w:val="005E4C70"/>
    <w:rsid w:val="005F1A4C"/>
    <w:rsid w:val="00605688"/>
    <w:rsid w:val="006070AF"/>
    <w:rsid w:val="00607D14"/>
    <w:rsid w:val="00607E6C"/>
    <w:rsid w:val="006101B1"/>
    <w:rsid w:val="00614E44"/>
    <w:rsid w:val="0062270A"/>
    <w:rsid w:val="00622830"/>
    <w:rsid w:val="00623DA0"/>
    <w:rsid w:val="00630AEF"/>
    <w:rsid w:val="006325F8"/>
    <w:rsid w:val="00633463"/>
    <w:rsid w:val="006335CF"/>
    <w:rsid w:val="00634C9A"/>
    <w:rsid w:val="006440E4"/>
    <w:rsid w:val="0065485A"/>
    <w:rsid w:val="0065580F"/>
    <w:rsid w:val="006566FE"/>
    <w:rsid w:val="0066343B"/>
    <w:rsid w:val="00664777"/>
    <w:rsid w:val="006748A4"/>
    <w:rsid w:val="00681A31"/>
    <w:rsid w:val="00683E73"/>
    <w:rsid w:val="00687D7E"/>
    <w:rsid w:val="006A3141"/>
    <w:rsid w:val="006A5E34"/>
    <w:rsid w:val="006B2422"/>
    <w:rsid w:val="006B2B9A"/>
    <w:rsid w:val="006C1937"/>
    <w:rsid w:val="006C35FD"/>
    <w:rsid w:val="006E2ECE"/>
    <w:rsid w:val="006E571B"/>
    <w:rsid w:val="006F020C"/>
    <w:rsid w:val="006F07DB"/>
    <w:rsid w:val="007127B7"/>
    <w:rsid w:val="0071798E"/>
    <w:rsid w:val="007237C5"/>
    <w:rsid w:val="007279F9"/>
    <w:rsid w:val="00727CFD"/>
    <w:rsid w:val="007416B6"/>
    <w:rsid w:val="00746F48"/>
    <w:rsid w:val="0075404D"/>
    <w:rsid w:val="007541CF"/>
    <w:rsid w:val="0076182A"/>
    <w:rsid w:val="00767B7E"/>
    <w:rsid w:val="007770C3"/>
    <w:rsid w:val="00784D24"/>
    <w:rsid w:val="00785FBA"/>
    <w:rsid w:val="00786E4A"/>
    <w:rsid w:val="007875EB"/>
    <w:rsid w:val="00793F64"/>
    <w:rsid w:val="0079426B"/>
    <w:rsid w:val="0079657F"/>
    <w:rsid w:val="007A031C"/>
    <w:rsid w:val="007B25E2"/>
    <w:rsid w:val="007D1682"/>
    <w:rsid w:val="007D312A"/>
    <w:rsid w:val="007D3F19"/>
    <w:rsid w:val="007E09DB"/>
    <w:rsid w:val="007E23B0"/>
    <w:rsid w:val="007E23E5"/>
    <w:rsid w:val="007E39F6"/>
    <w:rsid w:val="007F0E8A"/>
    <w:rsid w:val="007F1991"/>
    <w:rsid w:val="007F2C2F"/>
    <w:rsid w:val="007F55FC"/>
    <w:rsid w:val="007F5665"/>
    <w:rsid w:val="00800112"/>
    <w:rsid w:val="00813348"/>
    <w:rsid w:val="008243B2"/>
    <w:rsid w:val="008253BB"/>
    <w:rsid w:val="0083706E"/>
    <w:rsid w:val="008408F6"/>
    <w:rsid w:val="008423A5"/>
    <w:rsid w:val="00844EC4"/>
    <w:rsid w:val="00850625"/>
    <w:rsid w:val="00853718"/>
    <w:rsid w:val="00855221"/>
    <w:rsid w:val="00860645"/>
    <w:rsid w:val="00871F71"/>
    <w:rsid w:val="00872ED9"/>
    <w:rsid w:val="00872FD8"/>
    <w:rsid w:val="0088567B"/>
    <w:rsid w:val="00885AF4"/>
    <w:rsid w:val="008939CD"/>
    <w:rsid w:val="008B768C"/>
    <w:rsid w:val="008C4DB1"/>
    <w:rsid w:val="008C4EAF"/>
    <w:rsid w:val="008C5176"/>
    <w:rsid w:val="008C51A8"/>
    <w:rsid w:val="008C7FD0"/>
    <w:rsid w:val="008D34BC"/>
    <w:rsid w:val="008D6B32"/>
    <w:rsid w:val="008E1DE7"/>
    <w:rsid w:val="008E707C"/>
    <w:rsid w:val="008F508D"/>
    <w:rsid w:val="00900B08"/>
    <w:rsid w:val="00902155"/>
    <w:rsid w:val="00902FA3"/>
    <w:rsid w:val="0090525B"/>
    <w:rsid w:val="009079F2"/>
    <w:rsid w:val="0091018E"/>
    <w:rsid w:val="0091496D"/>
    <w:rsid w:val="00923564"/>
    <w:rsid w:val="0092392E"/>
    <w:rsid w:val="009315F9"/>
    <w:rsid w:val="00933499"/>
    <w:rsid w:val="00935C98"/>
    <w:rsid w:val="0093788A"/>
    <w:rsid w:val="00945F4E"/>
    <w:rsid w:val="00946945"/>
    <w:rsid w:val="00951248"/>
    <w:rsid w:val="0095152F"/>
    <w:rsid w:val="00954C49"/>
    <w:rsid w:val="00955E37"/>
    <w:rsid w:val="0097099F"/>
    <w:rsid w:val="00971997"/>
    <w:rsid w:val="00971FFC"/>
    <w:rsid w:val="0098000C"/>
    <w:rsid w:val="0098660A"/>
    <w:rsid w:val="009931C3"/>
    <w:rsid w:val="009936DB"/>
    <w:rsid w:val="009B05BD"/>
    <w:rsid w:val="009B2C43"/>
    <w:rsid w:val="009B4EAE"/>
    <w:rsid w:val="009B7573"/>
    <w:rsid w:val="009C22F4"/>
    <w:rsid w:val="009C2A4B"/>
    <w:rsid w:val="009C2E98"/>
    <w:rsid w:val="009D3447"/>
    <w:rsid w:val="009D4711"/>
    <w:rsid w:val="009F1185"/>
    <w:rsid w:val="009F18CD"/>
    <w:rsid w:val="009F2A13"/>
    <w:rsid w:val="009F7527"/>
    <w:rsid w:val="00A04EB0"/>
    <w:rsid w:val="00A10EC3"/>
    <w:rsid w:val="00A13CC1"/>
    <w:rsid w:val="00A16847"/>
    <w:rsid w:val="00A237D8"/>
    <w:rsid w:val="00A268C4"/>
    <w:rsid w:val="00A307CD"/>
    <w:rsid w:val="00A331C8"/>
    <w:rsid w:val="00A40A00"/>
    <w:rsid w:val="00A4142F"/>
    <w:rsid w:val="00A422EB"/>
    <w:rsid w:val="00A45BB7"/>
    <w:rsid w:val="00A51D19"/>
    <w:rsid w:val="00A56DF2"/>
    <w:rsid w:val="00A56E6E"/>
    <w:rsid w:val="00A67AB5"/>
    <w:rsid w:val="00A733B2"/>
    <w:rsid w:val="00A741C2"/>
    <w:rsid w:val="00A91760"/>
    <w:rsid w:val="00A93B00"/>
    <w:rsid w:val="00A93C21"/>
    <w:rsid w:val="00A9634E"/>
    <w:rsid w:val="00AA2CBE"/>
    <w:rsid w:val="00AB33C3"/>
    <w:rsid w:val="00AB64C9"/>
    <w:rsid w:val="00AC3C6A"/>
    <w:rsid w:val="00AD5620"/>
    <w:rsid w:val="00AD656B"/>
    <w:rsid w:val="00AD7C1B"/>
    <w:rsid w:val="00AE16BA"/>
    <w:rsid w:val="00AE1EBE"/>
    <w:rsid w:val="00B011ED"/>
    <w:rsid w:val="00B02D47"/>
    <w:rsid w:val="00B03C9D"/>
    <w:rsid w:val="00B03DEA"/>
    <w:rsid w:val="00B060AE"/>
    <w:rsid w:val="00B10517"/>
    <w:rsid w:val="00B14E76"/>
    <w:rsid w:val="00B15C39"/>
    <w:rsid w:val="00B161B8"/>
    <w:rsid w:val="00B2048C"/>
    <w:rsid w:val="00B25CFC"/>
    <w:rsid w:val="00B310B9"/>
    <w:rsid w:val="00B35F3F"/>
    <w:rsid w:val="00B36CBB"/>
    <w:rsid w:val="00B425E0"/>
    <w:rsid w:val="00B440AA"/>
    <w:rsid w:val="00B44B70"/>
    <w:rsid w:val="00B51A88"/>
    <w:rsid w:val="00B53C56"/>
    <w:rsid w:val="00B57DAF"/>
    <w:rsid w:val="00B63697"/>
    <w:rsid w:val="00B77EA6"/>
    <w:rsid w:val="00B803EC"/>
    <w:rsid w:val="00B81598"/>
    <w:rsid w:val="00B841F1"/>
    <w:rsid w:val="00B85040"/>
    <w:rsid w:val="00B944D6"/>
    <w:rsid w:val="00BA2099"/>
    <w:rsid w:val="00BB4DF0"/>
    <w:rsid w:val="00BC289F"/>
    <w:rsid w:val="00BC2D50"/>
    <w:rsid w:val="00BC5361"/>
    <w:rsid w:val="00BC5460"/>
    <w:rsid w:val="00BC6B50"/>
    <w:rsid w:val="00BD0E25"/>
    <w:rsid w:val="00BE7E29"/>
    <w:rsid w:val="00BF056A"/>
    <w:rsid w:val="00BF0A65"/>
    <w:rsid w:val="00BF5BD6"/>
    <w:rsid w:val="00C03E31"/>
    <w:rsid w:val="00C045D9"/>
    <w:rsid w:val="00C2237B"/>
    <w:rsid w:val="00C312D7"/>
    <w:rsid w:val="00C324D0"/>
    <w:rsid w:val="00C335AF"/>
    <w:rsid w:val="00C33E72"/>
    <w:rsid w:val="00C354B2"/>
    <w:rsid w:val="00C35554"/>
    <w:rsid w:val="00C42709"/>
    <w:rsid w:val="00C4745E"/>
    <w:rsid w:val="00C533CC"/>
    <w:rsid w:val="00C5751C"/>
    <w:rsid w:val="00C61BFC"/>
    <w:rsid w:val="00C62A2F"/>
    <w:rsid w:val="00C62B85"/>
    <w:rsid w:val="00C65438"/>
    <w:rsid w:val="00C65FE3"/>
    <w:rsid w:val="00C87FD8"/>
    <w:rsid w:val="00C91381"/>
    <w:rsid w:val="00C91CBB"/>
    <w:rsid w:val="00CB4E70"/>
    <w:rsid w:val="00CC09B6"/>
    <w:rsid w:val="00CC666F"/>
    <w:rsid w:val="00CD1E3F"/>
    <w:rsid w:val="00CE44F6"/>
    <w:rsid w:val="00CE49DA"/>
    <w:rsid w:val="00CE53CE"/>
    <w:rsid w:val="00CE58FD"/>
    <w:rsid w:val="00CE7B61"/>
    <w:rsid w:val="00CF1B4F"/>
    <w:rsid w:val="00D00095"/>
    <w:rsid w:val="00D114F0"/>
    <w:rsid w:val="00D20620"/>
    <w:rsid w:val="00D25281"/>
    <w:rsid w:val="00D254F7"/>
    <w:rsid w:val="00D26091"/>
    <w:rsid w:val="00D2685C"/>
    <w:rsid w:val="00D34E7C"/>
    <w:rsid w:val="00D35489"/>
    <w:rsid w:val="00D36AFE"/>
    <w:rsid w:val="00D43375"/>
    <w:rsid w:val="00D44F86"/>
    <w:rsid w:val="00D51276"/>
    <w:rsid w:val="00D7035F"/>
    <w:rsid w:val="00D832B2"/>
    <w:rsid w:val="00DA0F59"/>
    <w:rsid w:val="00DA634F"/>
    <w:rsid w:val="00DA65AC"/>
    <w:rsid w:val="00DB1913"/>
    <w:rsid w:val="00DC410D"/>
    <w:rsid w:val="00DC5A81"/>
    <w:rsid w:val="00DC68CA"/>
    <w:rsid w:val="00DC7CBA"/>
    <w:rsid w:val="00DD18E7"/>
    <w:rsid w:val="00DD73B7"/>
    <w:rsid w:val="00DF28BC"/>
    <w:rsid w:val="00DF34B9"/>
    <w:rsid w:val="00DF6A75"/>
    <w:rsid w:val="00E01053"/>
    <w:rsid w:val="00E07ACF"/>
    <w:rsid w:val="00E331A1"/>
    <w:rsid w:val="00E33202"/>
    <w:rsid w:val="00E336A9"/>
    <w:rsid w:val="00E472B1"/>
    <w:rsid w:val="00E50624"/>
    <w:rsid w:val="00E509EA"/>
    <w:rsid w:val="00E568DF"/>
    <w:rsid w:val="00E64269"/>
    <w:rsid w:val="00E67660"/>
    <w:rsid w:val="00E75E27"/>
    <w:rsid w:val="00E82267"/>
    <w:rsid w:val="00E84D51"/>
    <w:rsid w:val="00E853CE"/>
    <w:rsid w:val="00E867B6"/>
    <w:rsid w:val="00E86D59"/>
    <w:rsid w:val="00EA010F"/>
    <w:rsid w:val="00EA28E6"/>
    <w:rsid w:val="00ED1B63"/>
    <w:rsid w:val="00ED3C1F"/>
    <w:rsid w:val="00ED4085"/>
    <w:rsid w:val="00ED420E"/>
    <w:rsid w:val="00ED6FBE"/>
    <w:rsid w:val="00EE2F57"/>
    <w:rsid w:val="00EE339B"/>
    <w:rsid w:val="00EF4C34"/>
    <w:rsid w:val="00EF77C6"/>
    <w:rsid w:val="00F0170A"/>
    <w:rsid w:val="00F05438"/>
    <w:rsid w:val="00F1361C"/>
    <w:rsid w:val="00F156F0"/>
    <w:rsid w:val="00F160C7"/>
    <w:rsid w:val="00F2408F"/>
    <w:rsid w:val="00F240E9"/>
    <w:rsid w:val="00F30940"/>
    <w:rsid w:val="00F36D8F"/>
    <w:rsid w:val="00F417B1"/>
    <w:rsid w:val="00F45853"/>
    <w:rsid w:val="00F602DF"/>
    <w:rsid w:val="00F71A17"/>
    <w:rsid w:val="00F74BBE"/>
    <w:rsid w:val="00F754A1"/>
    <w:rsid w:val="00F81FD9"/>
    <w:rsid w:val="00F841AA"/>
    <w:rsid w:val="00F84A94"/>
    <w:rsid w:val="00F87E96"/>
    <w:rsid w:val="00F942A1"/>
    <w:rsid w:val="00FA23E8"/>
    <w:rsid w:val="00FD3CC1"/>
    <w:rsid w:val="00FF1E02"/>
    <w:rsid w:val="00FF30B4"/>
    <w:rsid w:val="026D47CA"/>
    <w:rsid w:val="02A0216D"/>
    <w:rsid w:val="0A2032A3"/>
    <w:rsid w:val="0F4D0505"/>
    <w:rsid w:val="10C055FF"/>
    <w:rsid w:val="118107EC"/>
    <w:rsid w:val="16BB723D"/>
    <w:rsid w:val="18015F3F"/>
    <w:rsid w:val="1BE8440E"/>
    <w:rsid w:val="1D155CEE"/>
    <w:rsid w:val="20F57F95"/>
    <w:rsid w:val="240371BF"/>
    <w:rsid w:val="27842671"/>
    <w:rsid w:val="29FD04D3"/>
    <w:rsid w:val="2ABE7A3E"/>
    <w:rsid w:val="2D9B2E6D"/>
    <w:rsid w:val="2E861823"/>
    <w:rsid w:val="312736C7"/>
    <w:rsid w:val="3135149D"/>
    <w:rsid w:val="319F7F4E"/>
    <w:rsid w:val="38C172DE"/>
    <w:rsid w:val="3C0C0783"/>
    <w:rsid w:val="42EB1BF1"/>
    <w:rsid w:val="493C27E9"/>
    <w:rsid w:val="496F39ED"/>
    <w:rsid w:val="49FF41D3"/>
    <w:rsid w:val="4BE068DB"/>
    <w:rsid w:val="4BF6002B"/>
    <w:rsid w:val="4ECE2238"/>
    <w:rsid w:val="50BA025D"/>
    <w:rsid w:val="5410644B"/>
    <w:rsid w:val="5CE471AF"/>
    <w:rsid w:val="64CA39A1"/>
    <w:rsid w:val="6C4A05C8"/>
    <w:rsid w:val="71DE2E3A"/>
    <w:rsid w:val="72734D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4.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H:\2020&#20915;&#20844;&#24320;\8.31\&#20915;&#31639;&#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H:\2020&#20915;&#20844;&#24320;\8.31\&#20915;&#31639;&#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H:\2020&#20915;&#20844;&#24320;\8.31\&#20915;&#31639;&#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收入支出决算总体情况</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Sheet3!$A$1:$A$4</c:f>
              <c:strCache>
                <c:ptCount val="4"/>
                <c:pt idx="0">
                  <c:v>2020年度收入15691.87</c:v>
                </c:pt>
                <c:pt idx="1">
                  <c:v>2019年度收入14836.33</c:v>
                </c:pt>
                <c:pt idx="2">
                  <c:v>2020年度支出15691.87</c:v>
                </c:pt>
                <c:pt idx="3">
                  <c:v>2019年度支出14836.33</c:v>
                </c:pt>
              </c:strCache>
            </c:strRef>
          </c:cat>
          <c:val>
            <c:numRef>
              <c:f>Sheet3!$B$1:$B$4</c:f>
              <c:numCache>
                <c:formatCode>General</c:formatCode>
                <c:ptCount val="4"/>
                <c:pt idx="0">
                  <c:v>15691.87</c:v>
                </c:pt>
                <c:pt idx="1">
                  <c:v>14836.33</c:v>
                </c:pt>
                <c:pt idx="2">
                  <c:v>15691.87</c:v>
                </c:pt>
                <c:pt idx="3">
                  <c:v>14836.33</c:v>
                </c:pt>
              </c:numCache>
            </c:numRef>
          </c:val>
        </c:ser>
        <c:dLbls>
          <c:showLegendKey val="0"/>
          <c:showVal val="0"/>
          <c:showCatName val="0"/>
          <c:showSerName val="0"/>
          <c:showPercent val="0"/>
          <c:showBubbleSize val="0"/>
        </c:dLbls>
        <c:gapWidth val="219"/>
        <c:overlap val="-27"/>
        <c:axId val="138711712"/>
        <c:axId val="138712272"/>
      </c:barChart>
      <c:catAx>
        <c:axId val="138711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712272"/>
        <c:crosses val="autoZero"/>
        <c:auto val="1"/>
        <c:lblAlgn val="ctr"/>
        <c:lblOffset val="100"/>
        <c:noMultiLvlLbl val="0"/>
      </c:catAx>
      <c:valAx>
        <c:axId val="1387122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7117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cap="all" baseline="0">
                <a:solidFill>
                  <a:schemeClr val="tx1">
                    <a:lumMod val="65000"/>
                    <a:lumOff val="35000"/>
                  </a:schemeClr>
                </a:solidFill>
                <a:latin typeface="+mn-lt"/>
                <a:ea typeface="+mn-ea"/>
                <a:cs typeface="+mn-cs"/>
              </a:defRPr>
            </a:pPr>
            <a:r>
              <a:rPr lang="zh-CN" altLang="en-US"/>
              <a:t>收入决算情况说明</a:t>
            </a:r>
            <a:endParaRPr 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Lbls>
            <c:dLbl>
              <c:idx val="0"/>
              <c:layout/>
              <c:numFmt formatCode="General" sourceLinked="1"/>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1"/>
                      </a:solidFill>
                      <a:effectLst/>
                      <a:latin typeface="+mn-lt"/>
                      <a:ea typeface="+mn-ea"/>
                      <a:cs typeface="+mn-cs"/>
                    </a:defRPr>
                  </a:pPr>
                </a:p>
              </c:txPr>
              <c:dLblPos val="inEnd"/>
              <c:showLegendKey val="0"/>
              <c:showVal val="0"/>
              <c:showCatName val="1"/>
              <c:showSerName val="0"/>
              <c:showPercent val="0"/>
              <c:showBubbleSize val="0"/>
              <c:extLst>
                <c:ext xmlns:c15="http://schemas.microsoft.com/office/drawing/2012/chart" uri="{CE6537A1-D6FC-4f65-9D91-7224C49458BB}"/>
              </c:extLst>
            </c:dLbl>
            <c:dLbl>
              <c:idx val="1"/>
              <c:layout/>
              <c:numFmt formatCode="General" sourceLinked="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2"/>
                      </a:solidFill>
                      <a:effectLst/>
                      <a:latin typeface="+mn-lt"/>
                      <a:ea typeface="+mn-ea"/>
                      <a:cs typeface="+mn-cs"/>
                    </a:defRPr>
                  </a:pPr>
                </a:p>
              </c:txPr>
              <c:dLblPos val="inEnd"/>
              <c:showLegendKey val="0"/>
              <c:showVal val="0"/>
              <c:showCatName val="1"/>
              <c:showSerName val="0"/>
              <c:showPercent val="0"/>
              <c:showBubbleSize val="0"/>
              <c:extLst>
                <c:ext xmlns:c15="http://schemas.microsoft.com/office/drawing/2012/chart" uri="{CE6537A1-D6FC-4f65-9D91-7224C49458BB}"/>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1"/>
                    </a:solidFill>
                    <a:effectLst/>
                    <a:latin typeface="+mn-lt"/>
                    <a:ea typeface="+mn-ea"/>
                    <a:cs typeface="+mn-cs"/>
                  </a:defRPr>
                </a:pPr>
              </a:p>
            </c:txPr>
            <c:dLblPos val="in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Sheet2!$A$6:$A$7</c:f>
              <c:strCache>
                <c:ptCount val="2"/>
                <c:pt idx="0">
                  <c:v>一般公共预算财政拨款收入12343.24万  78.66%</c:v>
                </c:pt>
                <c:pt idx="1">
                  <c:v>事业收入3348.63万元  21.34%</c:v>
                </c:pt>
              </c:strCache>
            </c:strRef>
          </c:cat>
          <c:val>
            <c:numRef>
              <c:f>Sheet2!$B$6:$B$7</c:f>
              <c:numCache>
                <c:formatCode>General</c:formatCode>
                <c:ptCount val="2"/>
                <c:pt idx="0">
                  <c:v>12343.25</c:v>
                </c:pt>
                <c:pt idx="1">
                  <c:v>3348.62</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cap="all" baseline="0">
                <a:solidFill>
                  <a:schemeClr val="tx1">
                    <a:lumMod val="65000"/>
                    <a:lumOff val="35000"/>
                  </a:schemeClr>
                </a:solidFill>
                <a:latin typeface="+mn-lt"/>
                <a:ea typeface="+mn-ea"/>
                <a:cs typeface="+mn-cs"/>
              </a:defRPr>
            </a:pPr>
            <a:r>
              <a:rPr lang="zh-CN"/>
              <a:t>支出决算情况说明</a:t>
            </a:r>
            <a:endParaRPr 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Lbls>
            <c:dLbl>
              <c:idx val="0"/>
              <c:layout/>
              <c:numFmt formatCode="General" sourceLinked="1"/>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1"/>
                      </a:solidFill>
                      <a:effectLst/>
                      <a:latin typeface="+mn-lt"/>
                      <a:ea typeface="+mn-ea"/>
                      <a:cs typeface="+mn-cs"/>
                    </a:defRPr>
                  </a:pPr>
                </a:p>
              </c:txPr>
              <c:dLblPos val="inEnd"/>
              <c:showLegendKey val="0"/>
              <c:showVal val="0"/>
              <c:showCatName val="1"/>
              <c:showSerName val="0"/>
              <c:showPercent val="0"/>
              <c:showBubbleSize val="0"/>
              <c:extLst>
                <c:ext xmlns:c15="http://schemas.microsoft.com/office/drawing/2012/chart" uri="{CE6537A1-D6FC-4f65-9D91-7224C49458BB}"/>
              </c:extLst>
            </c:dLbl>
            <c:dLbl>
              <c:idx val="1"/>
              <c:layout/>
              <c:numFmt formatCode="General" sourceLinked="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2"/>
                      </a:solidFill>
                      <a:effectLst/>
                      <a:latin typeface="+mn-lt"/>
                      <a:ea typeface="+mn-ea"/>
                      <a:cs typeface="+mn-cs"/>
                    </a:defRPr>
                  </a:pPr>
                </a:p>
              </c:txPr>
              <c:dLblPos val="inEnd"/>
              <c:showLegendKey val="0"/>
              <c:showVal val="0"/>
              <c:showCatName val="1"/>
              <c:showSerName val="0"/>
              <c:showPercent val="0"/>
              <c:showBubbleSize val="0"/>
              <c:extLst>
                <c:ext xmlns:c15="http://schemas.microsoft.com/office/drawing/2012/chart" uri="{CE6537A1-D6FC-4f65-9D91-7224C49458BB}"/>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1"/>
                    </a:solidFill>
                    <a:effectLst/>
                    <a:latin typeface="+mn-lt"/>
                    <a:ea typeface="+mn-ea"/>
                    <a:cs typeface="+mn-cs"/>
                  </a:defRPr>
                </a:pPr>
              </a:p>
            </c:txPr>
            <c:dLblPos val="in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Sheet2!$A$2:$A$3</c:f>
              <c:strCache>
                <c:ptCount val="2"/>
                <c:pt idx="0">
                  <c:v>基本支出9531.38万元 60.74%</c:v>
                </c:pt>
                <c:pt idx="1">
                  <c:v>项目支出6160.48万元 39.26%</c:v>
                </c:pt>
              </c:strCache>
            </c:strRef>
          </c:cat>
          <c:val>
            <c:numRef>
              <c:f>Sheet2!$B$2:$B$3</c:f>
              <c:numCache>
                <c:formatCode>General</c:formatCode>
                <c:ptCount val="2"/>
                <c:pt idx="0">
                  <c:v>9531.38</c:v>
                </c:pt>
                <c:pt idx="1">
                  <c:v>6160.48</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cap="all" baseline="0">
                <a:solidFill>
                  <a:schemeClr val="tx1">
                    <a:lumMod val="65000"/>
                    <a:lumOff val="35000"/>
                  </a:schemeClr>
                </a:solidFill>
                <a:latin typeface="+mn-lt"/>
                <a:ea typeface="+mn-ea"/>
                <a:cs typeface="+mn-cs"/>
              </a:defRPr>
            </a:pPr>
            <a:r>
              <a:rPr lang="zh-CN" altLang="zh-CN" sz="1800" b="1" i="0" u="none" strike="noStrike" cap="all" baseline="0">
                <a:effectLst/>
              </a:rPr>
              <a:t>“三公”经费财政拨款支出结构</a:t>
            </a:r>
            <a:endParaRPr 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dPt>
          <c:dLbls>
            <c:dLbl>
              <c:idx val="0"/>
              <c:layout>
                <c:manualLayout>
                  <c:x val="0.183823709536308"/>
                  <c:y val="-0.129177238261884"/>
                </c:manualLayout>
              </c:layout>
              <c:numFmt formatCode="General" sourceLinked="1"/>
              <c:spPr>
                <a:solidFill>
                  <a:schemeClr val="lt1">
                    <a:alpha val="90000"/>
                  </a:schemeClr>
                </a:solidFill>
                <a:ln w="12700" cap="flat" cmpd="sng" algn="ctr">
                  <a:solidFill>
                    <a:schemeClr val="accent1"/>
                  </a:solidFill>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1"/>
                      </a:solidFill>
                      <a:effectLst/>
                      <a:latin typeface="+mn-lt"/>
                      <a:ea typeface="+mn-ea"/>
                      <a:cs typeface="+mn-cs"/>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dLbl>
              <c:idx val="1"/>
              <c:layout>
                <c:manualLayout>
                  <c:x val="-0.184587489063867"/>
                  <c:y val="0.169779819189268"/>
                </c:manualLayout>
              </c:layout>
              <c:numFmt formatCode="General" sourceLinked="1"/>
              <c:spPr>
                <a:solidFill>
                  <a:schemeClr val="lt1">
                    <a:alpha val="90000"/>
                  </a:schemeClr>
                </a:solidFill>
                <a:ln w="12700" cap="flat" cmpd="sng" algn="ctr">
                  <a:solidFill>
                    <a:schemeClr val="accent2"/>
                  </a:solidFill>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2"/>
                      </a:solidFill>
                      <a:effectLst/>
                      <a:latin typeface="+mn-lt"/>
                      <a:ea typeface="+mn-ea"/>
                      <a:cs typeface="+mn-cs"/>
                    </a:defRPr>
                  </a:pPr>
                </a:p>
              </c:txPr>
              <c:dLblPos val="bestFit"/>
              <c:showLegendKey val="0"/>
              <c:showVal val="0"/>
              <c:showCatName val="1"/>
              <c:showSerName val="0"/>
              <c:showPercent val="0"/>
              <c:showBubbleSize val="0"/>
              <c:extLst>
                <c:ext xmlns:c15="http://schemas.microsoft.com/office/drawing/2012/chart" uri="{CE6537A1-D6FC-4f65-9D91-7224C49458BB}">
                  <c15:layout/>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txPr>
              <a:bodyPr rot="0" spcFirstLastPara="1" vertOverflow="clip" horzOverflow="clip" vert="horz" wrap="square" lIns="38100" tIns="19050" rIns="38100" bIns="19050" anchor="ctr" anchorCtr="1">
                <a:spAutoFit/>
              </a:bodyPr>
              <a:lstStyle/>
              <a:p>
                <a:pPr>
                  <a:defRPr lang="zh-CN" sz="1000" b="0" i="0" u="none" strike="noStrike" kern="1200" baseline="0">
                    <a:solidFill>
                      <a:schemeClr val="accent1"/>
                    </a:solidFill>
                    <a:effectLst/>
                    <a:latin typeface="+mn-lt"/>
                    <a:ea typeface="+mn-ea"/>
                    <a:cs typeface="+mn-cs"/>
                  </a:defRPr>
                </a:pPr>
              </a:p>
            </c:txPr>
            <c:dLblPos val="in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Sheet8!$A$1:$A$2</c:f>
              <c:strCache>
                <c:ptCount val="2"/>
                <c:pt idx="0">
                  <c:v>公务用车购置及运行维护费支出决算8万元  88.69%</c:v>
                </c:pt>
                <c:pt idx="1">
                  <c:v>公务接待费支出决算1.02万元 11.31%</c:v>
                </c:pt>
              </c:strCache>
            </c:strRef>
          </c:cat>
          <c:val>
            <c:numRef>
              <c:f>Sheet8!$B$1:$B$2</c:f>
              <c:numCache>
                <c:formatCode>General</c:formatCode>
                <c:ptCount val="2"/>
                <c:pt idx="0">
                  <c:v>8</c:v>
                </c:pt>
                <c:pt idx="1">
                  <c:v>1.02</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F196EF-EC27-4822-81D4-283A2E510C59}">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37</Pages>
  <Words>13993</Words>
  <Characters>1967</Characters>
  <Lines>16</Lines>
  <Paragraphs>31</Paragraphs>
  <TotalTime>8</TotalTime>
  <ScaleCrop>false</ScaleCrop>
  <LinksUpToDate>false</LinksUpToDate>
  <CharactersWithSpaces>15929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2021-09-08T07:26:00Z</dcterms:created>
  <dc:creator>曹颖</dc:creator>
  <cp:lastModifiedBy>Administrator</cp:lastModifiedBy>
  <cp:lastPrinted>2021-09-09T01:47:50Z</cp:lastPrinted>
  <dcterms:modified xsi:type="dcterms:W3CDTF">2021-09-09T01:47:58Z</dcterms:modified>
  <dc:title>四川省***</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BDA12CEFC54B4D67A21EF75C5E2CE49F</vt:lpwstr>
  </property>
  <property fmtid="{D5CDD505-2E9C-101B-9397-08002B2CF9AE}" pid="4" name="KSOSaveFontToCloudKey">
    <vt:lpwstr>0_btnclosed</vt:lpwstr>
  </property>
</Properties>
</file>