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highlight w:val="none"/>
        </w:rPr>
      </w:pPr>
      <w:bookmarkStart w:id="0" w:name="_Toc15306267"/>
    </w:p>
    <w:p>
      <w:pPr>
        <w:spacing w:line="600" w:lineRule="exact"/>
        <w:jc w:val="center"/>
        <w:outlineLvl w:val="0"/>
        <w:rPr>
          <w:rFonts w:ascii="方正小标宋简体" w:hAnsi="宋体" w:eastAsia="方正小标宋简体"/>
          <w:color w:val="000000"/>
          <w:sz w:val="72"/>
          <w:szCs w:val="72"/>
          <w:highlight w:val="none"/>
        </w:rPr>
      </w:pPr>
    </w:p>
    <w:p>
      <w:pPr>
        <w:spacing w:line="600" w:lineRule="exact"/>
        <w:jc w:val="center"/>
        <w:outlineLvl w:val="0"/>
        <w:rPr>
          <w:rFonts w:ascii="方正小标宋简体" w:hAnsi="宋体" w:eastAsia="方正小标宋简体"/>
          <w:color w:val="000000"/>
          <w:sz w:val="72"/>
          <w:szCs w:val="72"/>
          <w:highlight w:val="none"/>
        </w:rPr>
      </w:pPr>
    </w:p>
    <w:p>
      <w:pPr>
        <w:spacing w:line="600" w:lineRule="exact"/>
        <w:jc w:val="center"/>
        <w:outlineLvl w:val="0"/>
        <w:rPr>
          <w:rFonts w:ascii="方正小标宋简体" w:hAnsi="宋体" w:eastAsia="方正小标宋简体"/>
          <w:color w:val="000000"/>
          <w:sz w:val="72"/>
          <w:szCs w:val="72"/>
          <w:highlight w:val="none"/>
        </w:rPr>
      </w:pPr>
    </w:p>
    <w:bookmarkEnd w:id="0"/>
    <w:p>
      <w:pPr>
        <w:overflowPunct w:val="0"/>
        <w:adjustRightInd w:val="0"/>
        <w:snapToGrid w:val="0"/>
        <w:jc w:val="center"/>
        <w:rPr>
          <w:rFonts w:eastAsia="方正小标宋_GBK"/>
          <w:b/>
          <w:snapToGrid w:val="0"/>
          <w:color w:val="000000"/>
          <w:kern w:val="0"/>
          <w:sz w:val="60"/>
          <w:szCs w:val="60"/>
          <w:highlight w:val="none"/>
        </w:rPr>
      </w:pPr>
      <w:bookmarkStart w:id="1" w:name="_Toc15377193"/>
      <w:bookmarkStart w:id="2" w:name="_Toc15396475"/>
      <w:bookmarkStart w:id="3" w:name="_Toc15378441"/>
      <w:bookmarkStart w:id="4" w:name="_Toc15396597"/>
      <w:bookmarkStart w:id="5" w:name="_Toc15377425"/>
      <w:r>
        <w:rPr>
          <w:rFonts w:eastAsia="方正小标宋_GBK"/>
          <w:b/>
          <w:snapToGrid w:val="0"/>
          <w:color w:val="000000"/>
          <w:kern w:val="0"/>
          <w:sz w:val="60"/>
          <w:szCs w:val="60"/>
          <w:highlight w:val="none"/>
        </w:rPr>
        <w:t>20</w:t>
      </w:r>
      <w:r>
        <w:rPr>
          <w:rFonts w:hint="eastAsia" w:eastAsia="方正小标宋_GBK"/>
          <w:b/>
          <w:snapToGrid w:val="0"/>
          <w:color w:val="000000"/>
          <w:kern w:val="0"/>
          <w:sz w:val="60"/>
          <w:szCs w:val="60"/>
          <w:highlight w:val="none"/>
          <w:lang w:val="en-US" w:eastAsia="zh-CN"/>
        </w:rPr>
        <w:t>20</w:t>
      </w:r>
      <w:r>
        <w:rPr>
          <w:rFonts w:eastAsia="方正小标宋_GBK"/>
          <w:b/>
          <w:snapToGrid w:val="0"/>
          <w:color w:val="000000"/>
          <w:kern w:val="0"/>
          <w:sz w:val="60"/>
          <w:szCs w:val="60"/>
          <w:highlight w:val="none"/>
        </w:rPr>
        <w:t>年度</w:t>
      </w:r>
      <w:bookmarkEnd w:id="1"/>
      <w:bookmarkEnd w:id="2"/>
      <w:bookmarkEnd w:id="3"/>
      <w:bookmarkEnd w:id="4"/>
      <w:bookmarkEnd w:id="5"/>
      <w:bookmarkStart w:id="6" w:name="_Toc15396598"/>
      <w:bookmarkStart w:id="7" w:name="_Toc15377426"/>
      <w:bookmarkStart w:id="8" w:name="_Toc15396476"/>
      <w:bookmarkStart w:id="9" w:name="_Toc15377194"/>
      <w:bookmarkStart w:id="10" w:name="_Toc15378442"/>
    </w:p>
    <w:p>
      <w:pPr>
        <w:overflowPunct w:val="0"/>
        <w:adjustRightInd w:val="0"/>
        <w:snapToGrid w:val="0"/>
        <w:jc w:val="center"/>
        <w:rPr>
          <w:rFonts w:eastAsia="方正小标宋_GBK"/>
          <w:b/>
          <w:snapToGrid w:val="0"/>
          <w:color w:val="000000"/>
          <w:kern w:val="0"/>
          <w:sz w:val="60"/>
          <w:szCs w:val="60"/>
          <w:highlight w:val="none"/>
        </w:rPr>
      </w:pPr>
      <w:r>
        <w:rPr>
          <w:rFonts w:eastAsia="方正小标宋_GBK"/>
          <w:b/>
          <w:snapToGrid w:val="0"/>
          <w:color w:val="000000"/>
          <w:kern w:val="0"/>
          <w:sz w:val="60"/>
          <w:szCs w:val="60"/>
          <w:highlight w:val="none"/>
        </w:rPr>
        <w:t>中共四川省</w:t>
      </w:r>
      <w:bookmarkStart w:id="11" w:name="_Toc15306268"/>
      <w:r>
        <w:rPr>
          <w:rFonts w:eastAsia="方正小标宋_GBK"/>
          <w:b/>
          <w:snapToGrid w:val="0"/>
          <w:color w:val="000000"/>
          <w:kern w:val="0"/>
          <w:sz w:val="60"/>
          <w:szCs w:val="60"/>
          <w:highlight w:val="none"/>
        </w:rPr>
        <w:t>委宣传部</w:t>
      </w:r>
      <w:r>
        <w:rPr>
          <w:rFonts w:hint="eastAsia" w:eastAsia="方正小标宋_GBK"/>
          <w:b/>
          <w:snapToGrid w:val="0"/>
          <w:color w:val="000000"/>
          <w:kern w:val="0"/>
          <w:sz w:val="60"/>
          <w:szCs w:val="60"/>
          <w:highlight w:val="none"/>
          <w:lang w:eastAsia="zh-CN"/>
        </w:rPr>
        <w:t>机关</w:t>
      </w:r>
      <w:r>
        <w:rPr>
          <w:rFonts w:eastAsia="方正小标宋_GBK"/>
          <w:b/>
          <w:snapToGrid w:val="0"/>
          <w:color w:val="000000"/>
          <w:kern w:val="0"/>
          <w:sz w:val="60"/>
          <w:szCs w:val="60"/>
          <w:highlight w:val="none"/>
        </w:rPr>
        <w:t>决算</w:t>
      </w:r>
      <w:bookmarkEnd w:id="6"/>
      <w:bookmarkEnd w:id="7"/>
      <w:bookmarkEnd w:id="8"/>
      <w:bookmarkEnd w:id="9"/>
      <w:bookmarkEnd w:id="10"/>
      <w:bookmarkEnd w:id="11"/>
    </w:p>
    <w:p>
      <w:pPr>
        <w:widowControl/>
        <w:jc w:val="center"/>
        <w:rPr>
          <w:rFonts w:ascii="黑体" w:hAnsi="黑体" w:eastAsia="黑体"/>
          <w:color w:val="000000"/>
          <w:sz w:val="48"/>
          <w:szCs w:val="48"/>
          <w:highlight w:val="none"/>
        </w:rPr>
      </w:pPr>
      <w:r>
        <w:rPr>
          <w:rFonts w:ascii="方正小标宋简体" w:hAnsi="宋体" w:eastAsia="方正小标宋简体"/>
          <w:color w:val="000000"/>
          <w:sz w:val="36"/>
          <w:szCs w:val="36"/>
          <w:highlight w:val="none"/>
        </w:rPr>
        <w:br w:type="page"/>
      </w:r>
      <w:r>
        <w:rPr>
          <w:rFonts w:hint="eastAsia" w:ascii="黑体" w:hAnsi="黑体" w:eastAsia="黑体"/>
          <w:b/>
          <w:bCs/>
          <w:color w:val="000000"/>
          <w:sz w:val="48"/>
          <w:szCs w:val="48"/>
          <w:highlight w:val="none"/>
        </w:rPr>
        <w:t>目</w:t>
      </w:r>
      <w:r>
        <w:rPr>
          <w:rFonts w:hint="eastAsia" w:ascii="黑体" w:hAnsi="黑体" w:eastAsia="黑体"/>
          <w:b/>
          <w:bCs/>
          <w:color w:val="000000"/>
          <w:sz w:val="48"/>
          <w:szCs w:val="48"/>
          <w:highlight w:val="none"/>
          <w:lang w:val="en-US" w:eastAsia="zh-CN"/>
        </w:rPr>
        <w:t xml:space="preserve">  </w:t>
      </w:r>
      <w:r>
        <w:rPr>
          <w:rFonts w:hint="eastAsia" w:ascii="黑体" w:hAnsi="黑体" w:eastAsia="黑体"/>
          <w:b/>
          <w:bCs/>
          <w:color w:val="000000"/>
          <w:sz w:val="48"/>
          <w:szCs w:val="48"/>
          <w:highlight w:val="none"/>
        </w:rPr>
        <w:t>录</w:t>
      </w:r>
    </w:p>
    <w:p>
      <w:pPr>
        <w:widowControl/>
        <w:jc w:val="center"/>
        <w:rPr>
          <w:rFonts w:ascii="黑体" w:hAnsi="黑体" w:eastAsia="黑体" w:cstheme="minorBidi"/>
          <w:sz w:val="28"/>
          <w:szCs w:val="28"/>
          <w:highlight w:val="none"/>
        </w:rPr>
      </w:pPr>
    </w:p>
    <w:p>
      <w:pPr>
        <w:pStyle w:val="10"/>
        <w:rPr>
          <w:b/>
          <w:bCs/>
          <w:highlight w:val="none"/>
        </w:rPr>
      </w:pPr>
      <w:r>
        <w:rPr>
          <w:rFonts w:hint="eastAsia"/>
          <w:b/>
          <w:bCs/>
          <w:highlight w:val="none"/>
        </w:rPr>
        <w:t>公开时间：202</w:t>
      </w:r>
      <w:r>
        <w:rPr>
          <w:rFonts w:hint="eastAsia"/>
          <w:b/>
          <w:bCs/>
          <w:highlight w:val="none"/>
          <w:lang w:val="en-US" w:eastAsia="zh-CN"/>
        </w:rPr>
        <w:t>1</w:t>
      </w:r>
      <w:r>
        <w:rPr>
          <w:rFonts w:hint="eastAsia"/>
          <w:b/>
          <w:bCs/>
          <w:highlight w:val="none"/>
        </w:rPr>
        <w:t>年</w:t>
      </w:r>
      <w:r>
        <w:rPr>
          <w:rFonts w:hint="eastAsia"/>
          <w:b/>
          <w:bCs/>
          <w:highlight w:val="none"/>
          <w:lang w:val="en-US" w:eastAsia="zh-CN"/>
        </w:rPr>
        <w:t>9</w:t>
      </w:r>
      <w:r>
        <w:rPr>
          <w:rFonts w:hint="eastAsia"/>
          <w:b/>
          <w:bCs/>
          <w:highlight w:val="none"/>
        </w:rPr>
        <w:t>月</w:t>
      </w:r>
      <w:r>
        <w:rPr>
          <w:rFonts w:hint="eastAsia"/>
          <w:b/>
          <w:bCs/>
          <w:highlight w:val="none"/>
          <w:lang w:val="en-US" w:eastAsia="zh-CN"/>
        </w:rPr>
        <w:t>10</w:t>
      </w:r>
      <w:r>
        <w:rPr>
          <w:rFonts w:hint="eastAsia"/>
          <w:b/>
          <w:bCs/>
          <w:highlight w:val="none"/>
        </w:rPr>
        <w:t>日</w:t>
      </w:r>
    </w:p>
    <w:p>
      <w:pPr>
        <w:rPr>
          <w:highlight w:val="none"/>
        </w:rPr>
      </w:pPr>
    </w:p>
    <w:p>
      <w:pPr>
        <w:pStyle w:val="10"/>
        <w:tabs>
          <w:tab w:val="right" w:leader="dot" w:pos="8306"/>
          <w:tab w:val="clear" w:pos="8296"/>
        </w:tabs>
        <w:overflowPunct w:val="0"/>
        <w:adjustRightInd w:val="0"/>
        <w:snapToGrid w:val="0"/>
        <w:spacing w:before="0" w:line="600" w:lineRule="exact"/>
        <w:jc w:val="both"/>
        <w:rPr>
          <w:rFonts w:ascii="Times New Roman" w:hAnsi="Times New Roman" w:eastAsia="仿宋_GB2312"/>
          <w:b/>
          <w:snapToGrid w:val="0"/>
          <w:kern w:val="0"/>
          <w:sz w:val="32"/>
          <w:highlight w:val="none"/>
        </w:rPr>
      </w:pPr>
      <w:r>
        <w:rPr>
          <w:highlight w:val="none"/>
        </w:rPr>
        <w:fldChar w:fldCharType="begin"/>
      </w:r>
      <w:r>
        <w:rPr>
          <w:highlight w:val="none"/>
        </w:rPr>
        <w:instrText xml:space="preserve"> HYPERLINK \l "_Toc28343" </w:instrText>
      </w:r>
      <w:r>
        <w:rPr>
          <w:highlight w:val="none"/>
        </w:rPr>
        <w:fldChar w:fldCharType="separate"/>
      </w:r>
      <w:r>
        <w:rPr>
          <w:rFonts w:ascii="Times New Roman" w:hAnsi="Times New Roman" w:eastAsia="黑体"/>
          <w:b/>
          <w:snapToGrid w:val="0"/>
          <w:kern w:val="0"/>
          <w:sz w:val="32"/>
          <w:highlight w:val="none"/>
        </w:rPr>
        <w:t xml:space="preserve">第一部分  </w:t>
      </w:r>
      <w:r>
        <w:rPr>
          <w:rFonts w:hint="eastAsia" w:ascii="Times New Roman" w:hAnsi="Times New Roman" w:eastAsia="黑体"/>
          <w:b/>
          <w:snapToGrid w:val="0"/>
          <w:kern w:val="0"/>
          <w:sz w:val="32"/>
          <w:highlight w:val="none"/>
          <w:lang w:eastAsia="zh-CN"/>
        </w:rPr>
        <w:t>单位</w:t>
      </w:r>
      <w:r>
        <w:rPr>
          <w:rFonts w:ascii="Times New Roman" w:hAnsi="Times New Roman" w:eastAsia="黑体"/>
          <w:b/>
          <w:snapToGrid w:val="0"/>
          <w:kern w:val="0"/>
          <w:sz w:val="32"/>
          <w:highlight w:val="none"/>
        </w:rPr>
        <w:t>概况</w:t>
      </w:r>
      <w:r>
        <w:rPr>
          <w:rFonts w:ascii="Times New Roman" w:hAnsi="Times New Roman" w:eastAsia="仿宋_GB2312"/>
          <w:b/>
          <w:snapToGrid w:val="0"/>
          <w:kern w:val="0"/>
          <w:sz w:val="32"/>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一、职能</w:t>
      </w:r>
      <w:r>
        <w:rPr>
          <w:rFonts w:hint="eastAsia" w:ascii="仿宋_GB2312" w:hAnsi="仿宋_GB2312" w:eastAsia="仿宋_GB2312" w:cs="仿宋_GB2312"/>
          <w:b/>
          <w:bCs/>
          <w:sz w:val="32"/>
          <w:szCs w:val="32"/>
          <w:highlight w:val="none"/>
          <w:lang w:eastAsia="zh-CN"/>
        </w:rPr>
        <w:t>简介</w:t>
      </w:r>
    </w:p>
    <w:p>
      <w:pPr>
        <w:pStyle w:val="11"/>
        <w:tabs>
          <w:tab w:val="right" w:leader="dot" w:pos="8306"/>
          <w:tab w:val="clear" w:pos="8296"/>
        </w:tabs>
        <w:overflowPunct w:val="0"/>
        <w:adjustRightInd w:val="0"/>
        <w:snapToGrid w:val="0"/>
        <w:spacing w:line="600" w:lineRule="exact"/>
        <w:ind w:left="0" w:leftChars="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lang w:val="en-US" w:eastAsia="zh-CN"/>
        </w:rPr>
        <w:t>2020年重点</w:t>
      </w:r>
      <w:r>
        <w:rPr>
          <w:rFonts w:hint="eastAsia" w:ascii="仿宋_GB2312" w:hAnsi="仿宋_GB2312" w:eastAsia="仿宋_GB2312" w:cs="仿宋_GB2312"/>
          <w:b/>
          <w:bCs/>
          <w:sz w:val="32"/>
          <w:szCs w:val="32"/>
          <w:highlight w:val="none"/>
        </w:rPr>
        <w:t>工作</w:t>
      </w:r>
      <w:r>
        <w:rPr>
          <w:rFonts w:hint="eastAsia" w:ascii="仿宋_GB2312" w:hAnsi="仿宋_GB2312" w:eastAsia="仿宋_GB2312" w:cs="仿宋_GB2312"/>
          <w:b/>
          <w:bCs/>
          <w:sz w:val="32"/>
          <w:szCs w:val="32"/>
          <w:highlight w:val="none"/>
          <w:lang w:eastAsia="zh-CN"/>
        </w:rPr>
        <w:t>完成情况</w:t>
      </w:r>
    </w:p>
    <w:p>
      <w:pPr>
        <w:pStyle w:val="10"/>
        <w:tabs>
          <w:tab w:val="right" w:leader="dot" w:pos="8306"/>
          <w:tab w:val="clear" w:pos="8296"/>
        </w:tabs>
        <w:overflowPunct w:val="0"/>
        <w:adjustRightInd w:val="0"/>
        <w:snapToGrid w:val="0"/>
        <w:spacing w:before="0" w:line="600" w:lineRule="exact"/>
        <w:jc w:val="both"/>
        <w:rPr>
          <w:rFonts w:hint="eastAsia" w:ascii="Times New Roman" w:hAnsi="Times New Roman" w:eastAsia="仿宋_GB2312"/>
          <w:b/>
          <w:snapToGrid w:val="0"/>
          <w:kern w:val="0"/>
          <w:sz w:val="32"/>
          <w:highlight w:val="none"/>
          <w:lang w:val="en-US" w:eastAsia="zh-CN"/>
        </w:rPr>
      </w:pPr>
      <w:r>
        <w:rPr>
          <w:highlight w:val="none"/>
        </w:rPr>
        <w:fldChar w:fldCharType="begin"/>
      </w:r>
      <w:r>
        <w:rPr>
          <w:highlight w:val="none"/>
        </w:rPr>
        <w:instrText xml:space="preserve"> HYPERLINK \l "_Toc14757" </w:instrText>
      </w:r>
      <w:r>
        <w:rPr>
          <w:highlight w:val="none"/>
        </w:rPr>
        <w:fldChar w:fldCharType="separate"/>
      </w:r>
      <w:r>
        <w:rPr>
          <w:rFonts w:ascii="Times New Roman" w:hAnsi="Times New Roman" w:eastAsia="黑体"/>
          <w:b/>
          <w:snapToGrid w:val="0"/>
          <w:kern w:val="0"/>
          <w:sz w:val="32"/>
          <w:highlight w:val="none"/>
        </w:rPr>
        <w:t>第二部分  20</w:t>
      </w:r>
      <w:r>
        <w:rPr>
          <w:rFonts w:hint="eastAsia" w:ascii="Times New Roman" w:hAnsi="Times New Roman" w:eastAsia="黑体"/>
          <w:b/>
          <w:snapToGrid w:val="0"/>
          <w:kern w:val="0"/>
          <w:sz w:val="32"/>
          <w:highlight w:val="none"/>
          <w:lang w:val="en-US" w:eastAsia="zh-CN"/>
        </w:rPr>
        <w:t>20</w:t>
      </w:r>
      <w:r>
        <w:rPr>
          <w:rFonts w:ascii="Times New Roman" w:hAnsi="Times New Roman" w:eastAsia="黑体"/>
          <w:b/>
          <w:snapToGrid w:val="0"/>
          <w:kern w:val="0"/>
          <w:sz w:val="32"/>
          <w:highlight w:val="none"/>
        </w:rPr>
        <w:t>年度</w:t>
      </w:r>
      <w:r>
        <w:rPr>
          <w:rFonts w:hint="eastAsia" w:ascii="Times New Roman" w:hAnsi="Times New Roman" w:eastAsia="黑体"/>
          <w:b/>
          <w:snapToGrid w:val="0"/>
          <w:kern w:val="0"/>
          <w:sz w:val="32"/>
          <w:highlight w:val="none"/>
          <w:lang w:eastAsia="zh-CN"/>
        </w:rPr>
        <w:t>部机关</w:t>
      </w:r>
      <w:r>
        <w:rPr>
          <w:rFonts w:ascii="Times New Roman" w:hAnsi="Times New Roman" w:eastAsia="黑体"/>
          <w:b/>
          <w:snapToGrid w:val="0"/>
          <w:kern w:val="0"/>
          <w:sz w:val="32"/>
          <w:highlight w:val="none"/>
        </w:rPr>
        <w:t>决算情况说明</w:t>
      </w:r>
      <w:r>
        <w:rPr>
          <w:rFonts w:hint="eastAsia" w:ascii="Times New Roman" w:hAnsi="Times New Roman" w:eastAsia="仿宋_GB2312"/>
          <w:b/>
          <w:snapToGrid w:val="0"/>
          <w:kern w:val="0"/>
          <w:sz w:val="32"/>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rPr>
      </w:pPr>
      <w:r>
        <w:rPr>
          <w:highlight w:val="none"/>
        </w:rPr>
        <w:fldChar w:fldCharType="begin"/>
      </w:r>
      <w:r>
        <w:rPr>
          <w:highlight w:val="none"/>
        </w:rPr>
        <w:instrText xml:space="preserve"> HYPERLINK \l "_Toc16626" </w:instrText>
      </w:r>
      <w:r>
        <w:rPr>
          <w:highlight w:val="none"/>
        </w:rPr>
        <w:fldChar w:fldCharType="separate"/>
      </w:r>
      <w:r>
        <w:rPr>
          <w:rFonts w:eastAsia="仿宋_GB2312"/>
          <w:b/>
          <w:snapToGrid w:val="0"/>
          <w:kern w:val="0"/>
          <w:sz w:val="32"/>
          <w:szCs w:val="28"/>
          <w:highlight w:val="none"/>
        </w:rPr>
        <w:t>一、收入支出决算总体情况说明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"_Toc31396" </w:instrText>
      </w:r>
      <w:r>
        <w:rPr>
          <w:highlight w:val="none"/>
        </w:rPr>
        <w:fldChar w:fldCharType="separate"/>
      </w:r>
      <w:r>
        <w:rPr>
          <w:rFonts w:eastAsia="仿宋_GB2312"/>
          <w:b/>
          <w:snapToGrid w:val="0"/>
          <w:kern w:val="0"/>
          <w:sz w:val="32"/>
          <w:szCs w:val="28"/>
          <w:highlight w:val="none"/>
        </w:rPr>
        <w:t>二、收入决算情况说明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"_Toc26801" </w:instrText>
      </w:r>
      <w:r>
        <w:rPr>
          <w:highlight w:val="none"/>
        </w:rPr>
        <w:fldChar w:fldCharType="separate"/>
      </w:r>
      <w:r>
        <w:rPr>
          <w:rFonts w:eastAsia="仿宋_GB2312"/>
          <w:b/>
          <w:snapToGrid w:val="0"/>
          <w:kern w:val="0"/>
          <w:sz w:val="32"/>
          <w:szCs w:val="28"/>
          <w:highlight w:val="none"/>
        </w:rPr>
        <w:t>三、支出决算情况说明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"_Toc28497" </w:instrText>
      </w:r>
      <w:r>
        <w:rPr>
          <w:highlight w:val="none"/>
        </w:rPr>
        <w:fldChar w:fldCharType="separate"/>
      </w:r>
      <w:r>
        <w:rPr>
          <w:rFonts w:eastAsia="仿宋_GB2312"/>
          <w:b/>
          <w:snapToGrid w:val="0"/>
          <w:kern w:val="0"/>
          <w:sz w:val="32"/>
          <w:szCs w:val="28"/>
          <w:highlight w:val="none"/>
        </w:rPr>
        <w:t>四、财政拨款收入支出决算总体情况说明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"_Toc17032" </w:instrText>
      </w:r>
      <w:r>
        <w:rPr>
          <w:highlight w:val="none"/>
        </w:rPr>
        <w:fldChar w:fldCharType="separate"/>
      </w:r>
      <w:r>
        <w:rPr>
          <w:rFonts w:eastAsia="仿宋_GB2312"/>
          <w:b/>
          <w:snapToGrid w:val="0"/>
          <w:kern w:val="0"/>
          <w:sz w:val="32"/>
          <w:szCs w:val="28"/>
          <w:highlight w:val="none"/>
        </w:rPr>
        <w:t>五、一般公共预算财政拨款支出决算情况说明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"_Toc18248" </w:instrText>
      </w:r>
      <w:r>
        <w:rPr>
          <w:highlight w:val="none"/>
        </w:rPr>
        <w:fldChar w:fldCharType="separate"/>
      </w:r>
      <w:r>
        <w:rPr>
          <w:rFonts w:eastAsia="仿宋_GB2312"/>
          <w:b/>
          <w:snapToGrid w:val="0"/>
          <w:kern w:val="0"/>
          <w:sz w:val="32"/>
          <w:szCs w:val="28"/>
          <w:highlight w:val="none"/>
        </w:rPr>
        <w:t>六、一般公共预算财政拨款基本支出决算情况说明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"_Toc25292" </w:instrText>
      </w:r>
      <w:r>
        <w:rPr>
          <w:highlight w:val="none"/>
        </w:rPr>
        <w:fldChar w:fldCharType="separate"/>
      </w:r>
      <w:r>
        <w:rPr>
          <w:rFonts w:eastAsia="仿宋_GB2312"/>
          <w:b/>
          <w:snapToGrid w:val="0"/>
          <w:kern w:val="0"/>
          <w:sz w:val="32"/>
          <w:szCs w:val="28"/>
          <w:highlight w:val="none"/>
        </w:rPr>
        <w:t>七、“三公”经费财政拨款支出决算情况说明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"_Toc25641" </w:instrText>
      </w:r>
      <w:r>
        <w:rPr>
          <w:highlight w:val="none"/>
        </w:rPr>
        <w:fldChar w:fldCharType="separate"/>
      </w:r>
      <w:r>
        <w:rPr>
          <w:rFonts w:eastAsia="仿宋_GB2312"/>
          <w:b/>
          <w:snapToGrid w:val="0"/>
          <w:kern w:val="0"/>
          <w:sz w:val="32"/>
          <w:szCs w:val="28"/>
          <w:highlight w:val="none"/>
        </w:rPr>
        <w:t>八、政府性基金预算支出决算情况说明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"_Toc12489" </w:instrText>
      </w:r>
      <w:r>
        <w:rPr>
          <w:highlight w:val="none"/>
        </w:rPr>
        <w:fldChar w:fldCharType="separate"/>
      </w:r>
      <w:r>
        <w:rPr>
          <w:rFonts w:eastAsia="仿宋_GB2312"/>
          <w:b/>
          <w:snapToGrid w:val="0"/>
          <w:kern w:val="0"/>
          <w:sz w:val="32"/>
          <w:szCs w:val="28"/>
          <w:highlight w:val="none"/>
        </w:rPr>
        <w:t>九、国有资本经营预算支出决算情况说明</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"_Toc8639" </w:instrText>
      </w:r>
      <w:r>
        <w:rPr>
          <w:highlight w:val="none"/>
        </w:rPr>
        <w:fldChar w:fldCharType="separate"/>
      </w:r>
      <w:r>
        <w:rPr>
          <w:rFonts w:eastAsia="仿宋_GB2312"/>
          <w:b/>
          <w:snapToGrid w:val="0"/>
          <w:kern w:val="0"/>
          <w:sz w:val="32"/>
          <w:szCs w:val="28"/>
          <w:highlight w:val="none"/>
        </w:rPr>
        <w:t>十、其他重要事项的情况说明</w:t>
      </w:r>
      <w:r>
        <w:rPr>
          <w:rFonts w:hint="eastAsia" w:eastAsia="仿宋_GB2312"/>
          <w:b/>
          <w:snapToGrid w:val="0"/>
          <w:kern w:val="0"/>
          <w:sz w:val="32"/>
          <w:szCs w:val="28"/>
          <w:highlight w:val="none"/>
        </w:rPr>
        <w:fldChar w:fldCharType="end"/>
      </w:r>
    </w:p>
    <w:p>
      <w:pPr>
        <w:pStyle w:val="10"/>
        <w:tabs>
          <w:tab w:val="right" w:leader="dot" w:pos="8306"/>
          <w:tab w:val="clear" w:pos="8296"/>
        </w:tabs>
        <w:overflowPunct w:val="0"/>
        <w:adjustRightInd w:val="0"/>
        <w:snapToGrid w:val="0"/>
        <w:spacing w:before="0" w:line="600" w:lineRule="exact"/>
        <w:jc w:val="both"/>
        <w:rPr>
          <w:rFonts w:hint="eastAsia" w:eastAsia="仿宋_GB2312"/>
          <w:highlight w:val="none"/>
          <w:lang w:val="en-US" w:eastAsia="zh-CN"/>
        </w:rPr>
      </w:pPr>
      <w:r>
        <w:rPr>
          <w:highlight w:val="none"/>
        </w:rPr>
        <w:fldChar w:fldCharType="begin"/>
      </w:r>
      <w:r>
        <w:rPr>
          <w:highlight w:val="none"/>
        </w:rPr>
        <w:instrText xml:space="preserve"> HYPERLINK \l "_Toc9252" </w:instrText>
      </w:r>
      <w:r>
        <w:rPr>
          <w:highlight w:val="none"/>
        </w:rPr>
        <w:fldChar w:fldCharType="separate"/>
      </w:r>
      <w:r>
        <w:rPr>
          <w:rFonts w:ascii="Times New Roman" w:hAnsi="Times New Roman" w:eastAsia="黑体"/>
          <w:b/>
          <w:snapToGrid w:val="0"/>
          <w:kern w:val="0"/>
          <w:sz w:val="32"/>
          <w:highlight w:val="none"/>
        </w:rPr>
        <w:t>第三部分  名词解释</w:t>
      </w:r>
      <w:r>
        <w:rPr>
          <w:rFonts w:hint="eastAsia" w:ascii="Times New Roman" w:hAnsi="Times New Roman" w:eastAsia="仿宋_GB2312"/>
          <w:b/>
          <w:snapToGrid w:val="0"/>
          <w:kern w:val="0"/>
          <w:sz w:val="32"/>
          <w:highlight w:val="none"/>
        </w:rPr>
        <w:fldChar w:fldCharType="end"/>
      </w:r>
    </w:p>
    <w:p>
      <w:pPr>
        <w:pStyle w:val="10"/>
        <w:overflowPunct w:val="0"/>
        <w:adjustRightInd w:val="0"/>
        <w:snapToGrid w:val="0"/>
        <w:spacing w:before="0" w:line="600" w:lineRule="exact"/>
        <w:jc w:val="both"/>
        <w:rPr>
          <w:rFonts w:hint="eastAsia" w:ascii="Times New Roman" w:hAnsi="Times New Roman" w:eastAsia="仿宋_GB2312"/>
          <w:b/>
          <w:snapToGrid w:val="0"/>
          <w:kern w:val="0"/>
          <w:sz w:val="32"/>
          <w:highlight w:val="none"/>
        </w:rPr>
      </w:pPr>
      <w:r>
        <w:rPr>
          <w:highlight w:val="none"/>
        </w:rPr>
        <w:fldChar w:fldCharType="begin"/>
      </w:r>
      <w:r>
        <w:rPr>
          <w:highlight w:val="none"/>
        </w:rPr>
        <w:instrText xml:space="preserve"> HYPERLINK \l "_Toc25752" </w:instrText>
      </w:r>
      <w:r>
        <w:rPr>
          <w:highlight w:val="none"/>
        </w:rPr>
        <w:fldChar w:fldCharType="separate"/>
      </w:r>
      <w:r>
        <w:rPr>
          <w:rFonts w:ascii="Times New Roman" w:hAnsi="Times New Roman" w:eastAsia="黑体"/>
          <w:b/>
          <w:snapToGrid w:val="0"/>
          <w:kern w:val="0"/>
          <w:sz w:val="32"/>
          <w:highlight w:val="none"/>
        </w:rPr>
        <w:t>第四部分  附件</w:t>
      </w:r>
      <w:r>
        <w:rPr>
          <w:rFonts w:hint="eastAsia" w:ascii="Times New Roman" w:hAnsi="Times New Roman" w:eastAsia="仿宋_GB2312"/>
          <w:b/>
          <w:snapToGrid w:val="0"/>
          <w:kern w:val="0"/>
          <w:sz w:val="32"/>
          <w:highlight w:val="none"/>
        </w:rPr>
        <w:fldChar w:fldCharType="end"/>
      </w:r>
    </w:p>
    <w:p>
      <w:pPr>
        <w:rPr>
          <w:rFonts w:ascii="Times New Roman" w:hAnsi="Times New Roman" w:eastAsia="仿宋_GB2312"/>
          <w:b/>
          <w:snapToGrid w:val="0"/>
          <w:kern w:val="0"/>
          <w:sz w:val="32"/>
          <w:highlight w:val="none"/>
        </w:rPr>
      </w:pPr>
      <w:bookmarkStart w:id="12" w:name="_Toc15396599"/>
      <w:bookmarkStart w:id="13" w:name="_Toc15377196"/>
      <w:r>
        <w:rPr>
          <w:highlight w:val="none"/>
        </w:rPr>
        <w:fldChar w:fldCharType="begin"/>
      </w:r>
      <w:r>
        <w:rPr>
          <w:highlight w:val="none"/>
        </w:rPr>
        <w:instrText xml:space="preserve"> HYPERLINK \l "_Toc19514" </w:instrText>
      </w:r>
      <w:r>
        <w:rPr>
          <w:highlight w:val="none"/>
        </w:rPr>
        <w:fldChar w:fldCharType="separate"/>
      </w:r>
      <w:r>
        <w:rPr>
          <w:rFonts w:ascii="Times New Roman" w:hAnsi="Times New Roman" w:eastAsia="黑体"/>
          <w:b/>
          <w:snapToGrid w:val="0"/>
          <w:kern w:val="0"/>
          <w:sz w:val="32"/>
          <w:highlight w:val="none"/>
        </w:rPr>
        <w:t>第五部分  附表</w:t>
      </w:r>
      <w:r>
        <w:rPr>
          <w:rFonts w:hint="eastAsia" w:ascii="Times New Roman" w:hAnsi="Times New Roman" w:eastAsia="仿宋_GB2312"/>
          <w:b/>
          <w:snapToGrid w:val="0"/>
          <w:kern w:val="0"/>
          <w:sz w:val="32"/>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eastAsia="zh-CN"/>
        </w:rPr>
      </w:pPr>
      <w:r>
        <w:rPr>
          <w:highlight w:val="none"/>
        </w:rPr>
        <w:fldChar w:fldCharType="begin"/>
      </w:r>
      <w:r>
        <w:rPr>
          <w:highlight w:val="none"/>
        </w:rPr>
        <w:instrText xml:space="preserve"> HYPERLINK \l "_Toc20807" </w:instrText>
      </w:r>
      <w:r>
        <w:rPr>
          <w:highlight w:val="none"/>
        </w:rPr>
        <w:fldChar w:fldCharType="separate"/>
      </w:r>
      <w:r>
        <w:rPr>
          <w:rFonts w:eastAsia="仿宋_GB2312"/>
          <w:b/>
          <w:snapToGrid w:val="0"/>
          <w:kern w:val="0"/>
          <w:sz w:val="32"/>
          <w:szCs w:val="28"/>
          <w:highlight w:val="none"/>
        </w:rPr>
        <w:t>一、收入支出决算总表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"_Toc9814" </w:instrText>
      </w:r>
      <w:r>
        <w:rPr>
          <w:highlight w:val="none"/>
        </w:rPr>
        <w:fldChar w:fldCharType="separate"/>
      </w:r>
      <w:r>
        <w:rPr>
          <w:rFonts w:eastAsia="仿宋_GB2312"/>
          <w:b/>
          <w:snapToGrid w:val="0"/>
          <w:kern w:val="0"/>
          <w:sz w:val="32"/>
          <w:szCs w:val="28"/>
          <w:highlight w:val="none"/>
        </w:rPr>
        <w:t>三、支出总表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"_Toc20638" </w:instrText>
      </w:r>
      <w:r>
        <w:rPr>
          <w:highlight w:val="none"/>
        </w:rPr>
        <w:fldChar w:fldCharType="separate"/>
      </w:r>
      <w:r>
        <w:rPr>
          <w:rFonts w:eastAsia="仿宋_GB2312"/>
          <w:b/>
          <w:snapToGrid w:val="0"/>
          <w:kern w:val="0"/>
          <w:sz w:val="32"/>
          <w:szCs w:val="28"/>
          <w:highlight w:val="none"/>
        </w:rPr>
        <w:t>四、财政拨款收入支出决算总表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"_Toc7032" </w:instrText>
      </w:r>
      <w:r>
        <w:rPr>
          <w:highlight w:val="none"/>
        </w:rPr>
        <w:fldChar w:fldCharType="separate"/>
      </w:r>
      <w:r>
        <w:rPr>
          <w:rFonts w:eastAsia="仿宋_GB2312"/>
          <w:b/>
          <w:snapToGrid w:val="0"/>
          <w:kern w:val="0"/>
          <w:sz w:val="32"/>
          <w:szCs w:val="28"/>
          <w:highlight w:val="none"/>
        </w:rPr>
        <w:t>五、财政拨款支出决算明细表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"_Toc9027" </w:instrText>
      </w:r>
      <w:r>
        <w:rPr>
          <w:highlight w:val="none"/>
        </w:rPr>
        <w:fldChar w:fldCharType="separate"/>
      </w:r>
      <w:r>
        <w:rPr>
          <w:rFonts w:eastAsia="仿宋_GB2312"/>
          <w:b/>
          <w:snapToGrid w:val="0"/>
          <w:kern w:val="0"/>
          <w:sz w:val="32"/>
          <w:szCs w:val="28"/>
          <w:highlight w:val="none"/>
        </w:rPr>
        <w:t>六、一般公共预算财政拨款支出决算表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"_Toc17036" </w:instrText>
      </w:r>
      <w:r>
        <w:rPr>
          <w:highlight w:val="none"/>
        </w:rPr>
        <w:fldChar w:fldCharType="separate"/>
      </w:r>
      <w:r>
        <w:rPr>
          <w:rFonts w:eastAsia="仿宋_GB2312"/>
          <w:b/>
          <w:snapToGrid w:val="0"/>
          <w:kern w:val="0"/>
          <w:sz w:val="32"/>
          <w:szCs w:val="28"/>
          <w:highlight w:val="none"/>
        </w:rPr>
        <w:t>七、一般公共预算财政拨款支出决算明细表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highlight w:val="none"/>
        </w:rPr>
        <w:fldChar w:fldCharType="begin"/>
      </w:r>
      <w:r>
        <w:rPr>
          <w:highlight w:val="none"/>
        </w:rPr>
        <w:instrText xml:space="preserve"> HYPERLINK \l "_Toc12714" </w:instrText>
      </w:r>
      <w:r>
        <w:rPr>
          <w:highlight w:val="none"/>
        </w:rPr>
        <w:fldChar w:fldCharType="separate"/>
      </w:r>
      <w:r>
        <w:rPr>
          <w:rFonts w:eastAsia="仿宋_GB2312"/>
          <w:b/>
          <w:snapToGrid w:val="0"/>
          <w:kern w:val="0"/>
          <w:sz w:val="32"/>
          <w:szCs w:val="28"/>
          <w:highlight w:val="none"/>
        </w:rPr>
        <w:t>八、一般公共预算财政拨款基本支出决算表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"_Toc27282" </w:instrText>
      </w:r>
      <w:r>
        <w:rPr>
          <w:highlight w:val="none"/>
        </w:rPr>
        <w:fldChar w:fldCharType="separate"/>
      </w:r>
      <w:r>
        <w:rPr>
          <w:rFonts w:eastAsia="仿宋_GB2312"/>
          <w:b/>
          <w:snapToGrid w:val="0"/>
          <w:kern w:val="0"/>
          <w:sz w:val="32"/>
          <w:szCs w:val="28"/>
          <w:highlight w:val="none"/>
        </w:rPr>
        <w:t>九、一般公共预算财政拨款项目支出决算表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"_Toc9601" </w:instrText>
      </w:r>
      <w:r>
        <w:rPr>
          <w:highlight w:val="none"/>
        </w:rPr>
        <w:fldChar w:fldCharType="separate"/>
      </w:r>
      <w:r>
        <w:rPr>
          <w:rFonts w:eastAsia="仿宋_GB2312"/>
          <w:b/>
          <w:snapToGrid w:val="0"/>
          <w:kern w:val="0"/>
          <w:sz w:val="32"/>
          <w:szCs w:val="28"/>
          <w:highlight w:val="none"/>
        </w:rPr>
        <w:t>十、一般公共预算财政拨款“三公”经费支出决算表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"_Toc6769" </w:instrText>
      </w:r>
      <w:r>
        <w:rPr>
          <w:highlight w:val="none"/>
        </w:rPr>
        <w:fldChar w:fldCharType="separate"/>
      </w:r>
      <w:r>
        <w:rPr>
          <w:rFonts w:eastAsia="仿宋_GB2312"/>
          <w:b/>
          <w:snapToGrid w:val="0"/>
          <w:kern w:val="0"/>
          <w:sz w:val="32"/>
          <w:szCs w:val="28"/>
          <w:highlight w:val="none"/>
        </w:rPr>
        <w:t>十一、政府性基金预算财政拨款收入支出决算表</w:t>
      </w:r>
      <w:r>
        <w:rPr>
          <w:rFonts w:hint="eastAsia"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highlight w:val="none"/>
        </w:rPr>
        <w:fldChar w:fldCharType="begin"/>
      </w:r>
      <w:r>
        <w:rPr>
          <w:highlight w:val="none"/>
        </w:rPr>
        <w:instrText xml:space="preserve"> HYPERLINK \l "_Toc1623" </w:instrText>
      </w:r>
      <w:r>
        <w:rPr>
          <w:highlight w:val="none"/>
        </w:rPr>
        <w:fldChar w:fldCharType="separate"/>
      </w:r>
      <w:r>
        <w:rPr>
          <w:rFonts w:eastAsia="仿宋_GB2312"/>
          <w:b/>
          <w:snapToGrid w:val="0"/>
          <w:kern w:val="0"/>
          <w:sz w:val="32"/>
          <w:szCs w:val="28"/>
          <w:highlight w:val="none"/>
        </w:rPr>
        <w:t>十二、政府性基金预算财政拨款“三公”经费支出决算表</w:t>
      </w:r>
      <w:r>
        <w:rPr>
          <w:rFonts w:hint="eastAsia" w:eastAsia="仿宋_GB2312"/>
          <w:b/>
          <w:snapToGrid w:val="0"/>
          <w:kern w:val="0"/>
          <w:sz w:val="32"/>
          <w:szCs w:val="28"/>
          <w:highlight w:val="none"/>
        </w:rPr>
        <w:fldChar w:fldCharType="end"/>
      </w:r>
    </w:p>
    <w:p>
      <w:pPr>
        <w:pStyle w:val="11"/>
        <w:adjustRightInd w:val="0"/>
        <w:snapToGrid w:val="0"/>
        <w:spacing w:line="440" w:lineRule="exact"/>
        <w:ind w:left="0" w:leftChars="0"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十三、国有资本经营预算</w:t>
      </w:r>
      <w:r>
        <w:rPr>
          <w:rFonts w:hint="eastAsia" w:ascii="仿宋_GB2312" w:hAnsi="仿宋_GB2312" w:eastAsia="仿宋_GB2312" w:cs="仿宋_GB2312"/>
          <w:b/>
          <w:bCs/>
          <w:sz w:val="32"/>
          <w:szCs w:val="32"/>
          <w:lang w:eastAsia="zh-CN"/>
        </w:rPr>
        <w:t>财政拨款收入</w:t>
      </w:r>
      <w:r>
        <w:rPr>
          <w:rFonts w:hint="eastAsia" w:ascii="仿宋_GB2312" w:hAnsi="仿宋_GB2312" w:eastAsia="仿宋_GB2312" w:cs="仿宋_GB2312"/>
          <w:b/>
          <w:bCs/>
          <w:sz w:val="32"/>
          <w:szCs w:val="32"/>
        </w:rPr>
        <w:t>支出决算表</w:t>
      </w:r>
    </w:p>
    <w:p>
      <w:pPr>
        <w:widowControl/>
        <w:spacing w:line="440" w:lineRule="exact"/>
        <w:jc w:val="left"/>
        <w:rPr>
          <w:rFonts w:ascii="仿宋" w:hAnsi="仿宋" w:eastAsia="仿宋"/>
          <w:bCs/>
          <w:kern w:val="44"/>
          <w:sz w:val="24"/>
          <w:highlight w:val="none"/>
        </w:rPr>
      </w:pPr>
      <w:r>
        <w:rPr>
          <w:rFonts w:hint="eastAsia" w:ascii="仿宋_GB2312" w:hAnsi="仿宋_GB2312" w:eastAsia="仿宋_GB2312" w:cs="仿宋_GB2312"/>
          <w:b/>
          <w:bCs/>
          <w:sz w:val="32"/>
          <w:szCs w:val="32"/>
          <w:lang w:val="en-US" w:eastAsia="zh-CN"/>
        </w:rPr>
        <w:t>十四、国有资本经营预算财政拨款支出决算表</w:t>
      </w:r>
      <w:r>
        <w:rPr>
          <w:rFonts w:ascii="仿宋" w:hAnsi="仿宋" w:eastAsia="仿宋"/>
          <w:b/>
          <w:sz w:val="24"/>
          <w:highlight w:val="none"/>
        </w:rPr>
        <w:br w:type="page"/>
      </w:r>
    </w:p>
    <w:p>
      <w:pPr>
        <w:pStyle w:val="3"/>
        <w:jc w:val="center"/>
        <w:rPr>
          <w:rFonts w:ascii="黑体" w:eastAsia="黑体"/>
          <w:color w:val="000000"/>
          <w:sz w:val="32"/>
          <w:szCs w:val="32"/>
          <w:highlight w:val="none"/>
        </w:rPr>
      </w:pPr>
      <w:r>
        <w:rPr>
          <w:rFonts w:hint="eastAsia" w:ascii="黑体" w:hAnsi="黑体" w:eastAsia="黑体"/>
          <w:b w:val="0"/>
          <w:highlight w:val="none"/>
        </w:rPr>
        <w:t xml:space="preserve">第一部分 </w:t>
      </w:r>
      <w:r>
        <w:rPr>
          <w:rStyle w:val="24"/>
          <w:rFonts w:hint="eastAsia" w:ascii="黑体" w:hAnsi="黑体" w:eastAsia="黑体"/>
          <w:b w:val="0"/>
          <w:bCs w:val="0"/>
          <w:highlight w:val="none"/>
          <w:lang w:eastAsia="zh-CN"/>
        </w:rPr>
        <w:t>单位</w:t>
      </w:r>
      <w:r>
        <w:rPr>
          <w:rStyle w:val="24"/>
          <w:rFonts w:hint="eastAsia" w:ascii="黑体" w:hAnsi="黑体" w:eastAsia="黑体"/>
          <w:b w:val="0"/>
          <w:bCs w:val="0"/>
          <w:highlight w:val="none"/>
        </w:rPr>
        <w:t>概况</w:t>
      </w:r>
      <w:bookmarkEnd w:id="12"/>
      <w:bookmarkEnd w:id="13"/>
    </w:p>
    <w:p>
      <w:pPr>
        <w:snapToGrid w:val="0"/>
        <w:spacing w:line="520" w:lineRule="exact"/>
        <w:ind w:firstLine="643" w:firstLineChars="200"/>
        <w:rPr>
          <w:rFonts w:hint="eastAsia" w:ascii="楷体_GB2312" w:eastAsia="楷体_GB2312"/>
          <w:b/>
          <w:sz w:val="32"/>
          <w:szCs w:val="32"/>
          <w:highlight w:val="none"/>
        </w:rPr>
      </w:pPr>
      <w:bookmarkStart w:id="14" w:name="_Toc15377200"/>
      <w:bookmarkStart w:id="15" w:name="_Toc15396601"/>
      <w:r>
        <w:rPr>
          <w:rFonts w:hint="eastAsia" w:ascii="楷体_GB2312" w:eastAsia="楷体_GB2312"/>
          <w:b/>
          <w:sz w:val="32"/>
          <w:szCs w:val="32"/>
          <w:highlight w:val="none"/>
        </w:rPr>
        <w:t>一</w:t>
      </w:r>
      <w:r>
        <w:rPr>
          <w:rFonts w:hint="eastAsia" w:ascii="楷体_GB2312" w:eastAsia="楷体_GB2312"/>
          <w:b/>
          <w:sz w:val="32"/>
          <w:szCs w:val="32"/>
          <w:highlight w:val="none"/>
          <w:lang w:eastAsia="zh-CN"/>
        </w:rPr>
        <w:t>、职能简介</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1．主要职能</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中共四川省委宣传部是省委主管意识形态方面工作的职能部门，部机关性质为行政单位。</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主要职责是：拟定全省宣传思想文化工作重大政策和事业产业发展总体规划，统筹协调推进宣传思想文化领域法制建设，按照省委统一部署，协调宣传思想文化系统各部门（单位）之间的工作；统筹协调全省党的意识形态工作；统筹指导协调理论研究、理论学习、理论宣传工作；负责规划组织全局性思想政治工作，组织重大先进典型的学习和推广；统筹指导协调推动精神文化产品的创作和生产，协调组织中华优秀传统文化和巴蜀文化传承发展工作，指导协调推动群众文化建设；统筹组织协调精神文明建设工作；统筹分析研判和引导社会舆论；统筹协调对外宣传工作，组织指导重大对外宣传活动和对外文化交流工作；宏观上统筹指导协调互联网宣传和信息内容管理；统筹指导舆论信息工作；统筹协调组织开展新闻发布工作；统筹指导推进文化体制改革和文化事业、文化产业及旅游业发展，统筹省属国有文化资产监管工作；负责管理新闻出版行政事务和所涉及的行政审批工作，组织指导协调“扫黄打非”工作；负责管理电影行政事务和所涉及的行政审批工作，指导协调和参与重大电影活动和电影对外合作交流等；负责组织开展宣传思想文化战线干部教育培训和人才工作；完成省委交办的其他任务。</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2．机构情况</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省委宣传部机关为行政单位，执行政府会计制度。纳入2020年度部门决算汇编范围的独立核算单位共1个，与上年相比无变化。</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3．人员情况</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2020年末，中共四川省委宣传部机关实有人员152人，较上年增加7人，属当年新增人员。</w:t>
      </w:r>
    </w:p>
    <w:p>
      <w:pPr>
        <w:numPr>
          <w:ilvl w:val="0"/>
          <w:numId w:val="0"/>
        </w:numPr>
        <w:tabs>
          <w:tab w:val="left" w:pos="0"/>
        </w:tabs>
        <w:snapToGrid w:val="0"/>
        <w:spacing w:line="520" w:lineRule="exact"/>
        <w:ind w:firstLine="643" w:firstLineChars="200"/>
        <w:rPr>
          <w:rFonts w:hint="eastAsia" w:ascii="楷体_GB2312" w:eastAsia="楷体_GB2312"/>
          <w:b/>
          <w:sz w:val="32"/>
          <w:szCs w:val="32"/>
          <w:highlight w:val="none"/>
        </w:rPr>
      </w:pPr>
      <w:r>
        <w:rPr>
          <w:rFonts w:hint="eastAsia" w:ascii="楷体_GB2312" w:eastAsia="楷体_GB2312"/>
          <w:b/>
          <w:sz w:val="32"/>
          <w:szCs w:val="32"/>
          <w:highlight w:val="none"/>
          <w:lang w:val="en-US" w:eastAsia="zh-CN"/>
        </w:rPr>
        <w:t>二、2020年重点工作完成情况</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2020年全省宣传思想文化战线在省委坚强领导下，坚持以习近平新时代中国特色社会主义思想为指导，增强“四个意识”、坚定“四个自信”、做到“两个维护”，举旗帜、聚民心、育新人、兴文化、展形象，在决胜全面小康、决战脱贫攻坚中展现新作为，在抗击疫情和防汛救灾大战大考中焕发新气象，在夯实基层基础、积极践行“四力”中实现新突破，为夺取疫情防控和经济社会发展“双胜利”、推动治蜀兴川再上新台阶提供了坚强思想保证和强大精神力量。</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
        </w:rPr>
        <w:t>1</w:t>
      </w:r>
      <w:r>
        <w:rPr>
          <w:rFonts w:hint="eastAsia" w:ascii="仿宋_GB2312" w:eastAsia="仿宋_GB2312"/>
          <w:sz w:val="32"/>
          <w:szCs w:val="32"/>
          <w:highlight w:val="none"/>
        </w:rPr>
        <w:t>、高举思想旗帜，推动习近平新时代中国特色社会主义思想更加深入人心</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理论学习走深走实。习近平总书记发表重要讲话和作出指示批示后，省委常委会议第一时间传达贯彻，为各级党委（党组）作出示范。充分发挥党委（党组）理论学习中心组龙头作用，省委理论学习中心组围绕统筹疫情防控和经济社会发展、成渝地区双城经济圈建设等主题开展集体学习研讨10次，各市（州）党委理论学习中心组召开专题学习会180余次。制定理论学习中心组测评细则，提升党委（党组）理论学习中心组学习规范化水平。精心部署发行《习近平谈治国理政》第三卷220万册，广泛组织学习《论党的宣传思想工作》《中国制度面对面》等理论读物，建好用好“学习强国”学习平台，推动习近平新时代中国特色社会主义思想落地生根、入脑入心。</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理论宣讲创新开展。精心组织党的十九届五中全会精神宣讲活动，中央宣讲团成员、省委书记彭清华为全省4万多名干部群众进行首场集中宣讲，并与高校师生代表、企业职工代表等面对面座谈。省领导带头到联系市（州）和分管领域开展宣讲，组建14个省委宣讲分团赴各地开展集中宣讲活动130余场（次），首次组建新时代文明实践青年宣讲分团面向青少年群体开展“面对面”“键对键”宣讲。各地各部门开展宣讲活动6.6万场次，直接受众570万人次。大力开辟理论宣讲新平台新阵地，创办《思想周刊》理论学习报，开设“藏地阳光”汉藏双语理论学习平台、“学习强国”四川学习平台《理论之声》专栏，以“宣讲+文艺”等方式将党的创新理论送进田间地头，积极构建多层次、多渠道、多样式的立体化理论宣传格局，推动全会精神家喻户晓。4个基层理论宣讲项目获中宣部表彰。</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理论研究深入浅出。紧扣习近平新时代中国特色社会主义思想，深入开展重大理论和现实问题研究，省委书记彭清华带头撰写《坚持系统观念谋划推动“十四五”经济社会发展》等4篇理论文章在《人民日报》《求是》等刊发。持续加强马克思主义学院建设，做好“马工程”重大项目研究工作。成立全省哲学社会科学工作办公室进一步强化工作统筹，组织全省社科理论工作者科学谋划一批重点课题，推出一批重大社科理论研究成果。召开学习宣传《习近平谈治国理政》第三卷座谈会，举办学习贯彻党的十九届五中全会精神理论研讨会、首届成渝地区双城经济圈发展论坛，理论研究不断深化。</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
        </w:rPr>
        <w:t>2</w:t>
      </w:r>
      <w:r>
        <w:rPr>
          <w:rFonts w:hint="eastAsia" w:ascii="仿宋_GB2312" w:eastAsia="仿宋_GB2312"/>
          <w:sz w:val="32"/>
          <w:szCs w:val="32"/>
          <w:highlight w:val="none"/>
        </w:rPr>
        <w:t>、奏响时代强音，全省人民砥砺奋进坚决打赢两场硬仗、奋力夺取双胜利的信心力量极大凝聚</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抗击疫情重大宣传卓有成效。紧紧围绕打赢疫情防控人民战争、总体战、阻击战，第一时间启动突发事件应急新闻宣传工作机制，统筹各类媒体、各条战线、各个平台同频共振、同向发力，凝聚起全省干部群众克难攻坚、砥砺前行的磅礴力量。中央主要媒体聚焦打赢两场硬仗推出涉川报道1万余篇（条），其中《人民日报》等推出89篇头版稿件，央视《新闻联播》推出63个单条消息。省直媒体推出报道40余万篇（条），一批新媒体产品在全网形成刷屏效应。紧扣社会关注热点，各级举办疫情防控新闻发布活动400余场，县级融媒体中心日均发稿1万余条，创新运用四川手机报、村村响广播等平台全覆盖推送疫情信息、普及抗疫知识。弘扬伟大抗疫精神，举办战“疫”专题展览和大型“亮灯”活动，大力宣传抗疫防汛先进典型，广泛传播“汶川女孩”佘莎、“雨衣妹妹”刘仙等先进事迹，书写了中国抗“疫”故事四川篇章。</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脱贫奔康主题宣传浓墨重彩。精心组织“决胜全面小康  决战脱贫攻坚”重大主题宣传。聚焦我省藏区脱贫摘帽、凉山最大易地扶贫搬迁安置点分房、“最后的通村公路贯通”、我省贫困县全部脱贫摘帽等脱贫攻坚重大胜利，国务院新闻办在川举办首场脱贫攻坚新闻发布会，省委、省政府主要领导围绕“牢记总书记关怀嘱托  打好四川脱贫攻坚战”介绍四川脱贫攻坚情况并回答记者提问。协调中宣部在川举办“督战未摘帽贫困县”“走向我们的小康生活”启动仪式，18家中央媒体专题专栏报道均以四川开篇。组织中外媒体赴川集中采访，推出“悬崖村搬家”等易地扶贫搬迁重头报道，开展脱贫美丽新村全媒体集中宣传展示“晒”村活动，对外展示四川全面小康伟大成就。举办“向祖国汇报”脱贫攻坚主题大型文艺特别节目，建设凉山脱贫攻坚全域实景博物馆，集中宣传报道106位脱贫攻坚先进典型，讲好四川脱贫奔康故事，彰显中国特色社会主义制度巨大优越性。</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经济社会成就宣传有声有色。大力唱响经济光明论，深入解读扎实做好“六稳”工作、全面落实“六保”任务和加快形成以国内大循环为主体、国内国际双循环相互促进的新发展格局等战略决策，充分报道我省“一干多支、五区协同”“四向拓展、全域开放”“农业多贡献、工业挑大梁、投资唱主角、消费促升级”等重大部署，全面反映治蜀兴川新进展新成效。深入开展推动成渝地区双城经济圈建设宣传，与重庆市联合策划“双城记”系列宣传活动。扎实做好凉山西昌森林火灾、防汛救灾、乡镇行政区划和村级建制调整宣传引导，持续做好森林草原防灭火专项整治宣传报道工作，积极有效应对四川信托风险处置等敏感事件引发的舆情，有力维护社会稳定。</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
        </w:rPr>
        <w:t>3</w:t>
      </w:r>
      <w:r>
        <w:rPr>
          <w:rFonts w:hint="eastAsia" w:ascii="仿宋_GB2312" w:eastAsia="仿宋_GB2312"/>
          <w:sz w:val="32"/>
          <w:szCs w:val="32"/>
          <w:highlight w:val="none"/>
        </w:rPr>
        <w:t>、弘扬主流价值，全社会文明程度和全省人民文明素养持续提升</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社会主义核心价值观广泛弘扬。坚持德法相济，推动社会主义核心价值观内化于心、外化于行，推进理想信念教育常态化制度化。印发《新时代公民道德建设实施纲要》《新时代爱国主义教育实施纲要》分工方案，开展“倡导国庆新民俗、打造爱国活动周”、社会主义核心价值观微电影（微视频）征集展播等主题活动，新命名9个省级爱国主义教育基地，培养爱国之情、砥砺强国之志。深入学习宣传习近平总书记在纪念中国人民抗日战争暨世界反法西斯战争胜利75周年大会、纪念中国人民志愿军抗美援朝出国作战70周年大会上的重要讲话精神，学习贯彻习近平总书记给省革命伤残军人休养院伤残军人回信重要精神，在巴中川陕革命根据地红军烈士陵园举办向人民英雄敬献花篮仪式。复排大型民族歌剧《同心结》等主题文艺作品。广泛宣传民法典等法律法规，大力弘扬社会主义法治精神。</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群众性精神文明创建成效显著。坚持为民利民惠民，以文明城市创建为龙头，推动群众性精神文明创建活动取得丰硕成果。4个地级市和4个县级城市获评第六届全国文明城市，获评数量超过前五届总和、县级全国文明城市实现零的突破。新创全国文明村镇103个、全国文明单位84个、全国文明家庭23个、全国文明校园27个、未成年人思想道德建设工作先进17个。评选表彰第五届四川省文明城市38个、文明村镇200个、文明单位350个，第二届文明家庭100户、文明校园122所，新一届未成年人思想道德建设工作先进230个。隆重召开全省精神文明建设表彰大会，传达学习省委书记彭清华对我省精神文明建设工作重要批示精神，集中展示全省精神文明建设新进展新成效，表彰一批先进集体和个人代表。</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全社会崇德向善风尚日益浓厚。树立德者受尊、好人好报的鲜明导向，出台《四川省礼遇帮扶道德模范和身边好人实施办法（试行）》，选树“四川好人”和“新时代好少年”220名，其中21人入选“中国好人”。深入宣传全国优秀共产党员周永开、“时代楷模”其美多吉等先进事迹，广泛开展“诚信社区”“诚信之星”评选宣传活动，形成见贤思齐、争当先进的浓厚氛围。加强青少年思想道德教育，深化“扣好人生第一粒扣子”主题教育实践活动，厚植广大青少年爱党爱国情怀。坚持扶贫同扶志扶智相结合，制定《精准扶志扶智决胜脱贫攻坚专项行动实施方案》，深入开展新时代乡风文明建设十大行动和移风易俗主题教育活动，着力破除等靠要思想、陈规陋习和不良风气。广泛开展“厉行节约、反对铺张浪费”光盘行动和“倡导社交文明、加强公共卫生”行动。扎实推进新时代文明实践中心建设，20个全国试点任务顺利完成，全省建成文明实践中心（所、站）8147个。推动志愿服务制度化常态化，全省注册志愿者超过1400万人。</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
        </w:rPr>
        <w:t>4</w:t>
      </w:r>
      <w:r>
        <w:rPr>
          <w:rFonts w:hint="eastAsia" w:ascii="仿宋_GB2312" w:eastAsia="仿宋_GB2312"/>
          <w:sz w:val="32"/>
          <w:szCs w:val="32"/>
          <w:highlight w:val="none"/>
        </w:rPr>
        <w:t>、着力培根铸魂，中华优秀传统文化创造性转化创新性发展迈出新步伐</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坚持项目化推动。深入学习贯彻习近平总书记关于考古工作重要论述，三星堆遗址等考古发掘取得重大进展。创建三星堆国家文物保护利用示范区，启动四川名人馆、江口沉银博物馆建设。深入实施历史名人文化传承创新工程和古籍保护研究利用工程，发布第二批10位四川历史名人，9部古籍入选第六批《国家珍贵古籍名录》。保护传承农村生产生活遗产，羌绣等165项传统技艺纳入传承名录。持续推动历史文化名城名镇名村建设，成功创建国家历史文化名城8个、名镇31个、名村6个。</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坚持体系化传承。构建中华优秀传统文化传承发展体系，大力建设重点中华文化研究院，新成立西南民族大学藏羌彝文化研究院、成都体育学院中华国术院、四川音乐学院中华传统音乐研究院，评选四川大学中华文化研究院等6所第一批全省重点中华文化研究院。发布“中华文化基本问题研究”等重大社科规划单列项目15个。编制《长征国家文化公园四川段建设保护规划（建议稿）》《四川省川陕片区红军文化公园保护利用规划（2020—2030年）》，与陕西省、重庆市签署《加强文物保护利用战略合作协议》，加快推进巴中川陕革命根据地红军烈士陵园整体提升工程。</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坚持社会化普及。有序推进中华文化经典读本编纂工作，出版发行《四川历史名人读本》，推出首批四川历史名人丛书41种，举办名人大讲堂8期，组织开展全省中华文化优秀校本课程读本评选推广活动。整理《天回医简》研究成果，推动中医药文化宣传普及。深化“我们的节日”主题活动，举办全省2020年经典诵写讲演和青少年中华优秀传统文化传习系列活动。制作播出大型人文纪录片《蜀道风流》，成功举办“金熊猫”国际传播高峰论坛、“巴蜀文化的现代表达与国际传播”研讨会，推动“李子柒”“丁真”等地域文化符号广泛传播，展现巴蜀文化独特魅力。</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
        </w:rPr>
        <w:t>5</w:t>
      </w:r>
      <w:r>
        <w:rPr>
          <w:rFonts w:hint="eastAsia" w:ascii="仿宋_GB2312" w:eastAsia="仿宋_GB2312"/>
          <w:sz w:val="32"/>
          <w:szCs w:val="32"/>
          <w:highlight w:val="none"/>
        </w:rPr>
        <w:t>、聚焦人民期待，文化精品创作生产和文化高质量发展扎实推进</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深化文化体制改革纵深推进。启动编制“十四五”文化发展和改革规划，加强全省文化改革发展顶层设计。深化文化领域行政审批“放管服”改革，加强文化综合执法体系建设，构建省属国有文化资产监督管理框架体系，调整广电系统事业单位管理关系。印发《深化省属国有文化企业（单位）改革方案》，加快推进国有文化资产重组和资源整合，完成四川文化产业投资集团改组组建和四川新华出版发行集团更名，省广电网络公司如期完成参与“全国一网”整合股权出资实缴，四川新闻网（传媒）集团发行上市已获通过进入注册环节，峨眉电影集团改革取得重大进展，四川新华发行集团稳居全国文化企业30强。</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促进公共文化服务提质增效。增强公共文化服务供给力，深入实施公共博物馆、图书馆、文化馆效能提升行动，加快推进天府新区省级文化中心等重大设施、“高清四川、智慧广电”等重点工程建设，创新开展天府书展、乡村阅读季等重点阅读活动，建好用好农家（社区）书屋。制定《四川省乡村文化振兴“百千万”工程实施方案》，在全省25个乡镇创新开展公共文化服务效能提升试点工作。广泛开展“我们的中国梦”——文化进万家系列文化惠民活动，组织红色文艺轻骑兵送文艺下乡2000余场，放映农村公益电影58万余场次。全面完成文化扶贫任务，11501个贫困村全覆盖建成综合文化服务中心（文化院坝）、应急广播系统、文化室，贫困地区文化设施“短板”明显改善。15家单位获评第八届全国服务农民、服务基层文化建设先进集体。</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加快优质文化产品创作生产。围绕全面建成小康社会、建党100周年和全民战“疫”开展主题文艺精品创作生产，制定《四川省主题文艺精品创作生产推进方案（2020—2025年）》。报告文学《悬崖村》、散文集《檐上的月亮》荣获第十二届全国少数民族文学创作骏马奖，舞剧《努力餐》荣获第十二届中国舞蹈“荷花奖”，长篇小说《桑田日暖》、舞剧《英雄》等8部作品入选庆祝中国共产党成立100周年重点扶持作品，电影《随风飘散》入围2020年韩国釜山国际A类电影节，电视剧《金色索玛花》登陆央视一套黄金档、《四川省优秀战疫歌曲集》入选第十届中国数字出版博览会出版战“疫”数字内容精品展。振兴四川出版再上新台阶，召开振兴四川出版工作推进会，省委办公厅、省政府办公厅印发《关于加强和改进出版工作推动四川出版高质量发展的指导意见》，组织出版《小康中国》《大道兴川》等主题出版物50种，《古路之路》入选中宣部主题出版重点出版物选题，56个项目入选2020年各类国家出版资助项目和推荐计划，编纂四川战“疫”丛书和脱贫攻坚书系。开展“版权社会服务质量提升年”活动，完成作品著作权登记近16万件。</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推动文化旅游产业逆势发展。加快文化强省旅游强省建设步伐，召开全省文化和旅游发展大会，命名第二批天府旅游名县。积极应对疫情影响，安排专项资金对影院、书店、景区、文旅企业等给予纾困支持，开展“惠文化·乐生活”文化消费提振行动。推动文化和科技、金融深度融合，试点“天府文产贷”。优化文旅经济布局，成都大熊猫国际旅游度假区、德阳三星堆文化产业园、自贡中华彩灯大世界等项目稳步推进，绵阳方特东方神画、都江堰融创文旅城投入运营。举办第八届中国网络视听大会、第六届中国（四川）国际旅游投资大会。国庆中秋假期，全省共接待各类游客5969.36万人次，同口径相比恢复77%，接待规模位居全国第二，实现国内旅游收入479.54亿元，同口径相比恢复79.1%。制定全省文化旅游发展重点项目清单，启动推进文旅重点项目803个，累计完成投资约3000亿元。</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
        </w:rPr>
        <w:t>6</w:t>
      </w:r>
      <w:r>
        <w:rPr>
          <w:rFonts w:hint="eastAsia" w:ascii="仿宋_GB2312" w:eastAsia="仿宋_GB2312"/>
          <w:sz w:val="32"/>
          <w:szCs w:val="32"/>
          <w:highlight w:val="none"/>
        </w:rPr>
        <w:t>、推进从严治党，全省宣传思想文化战线党的建设和自身建设全面加强</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加强党的领导落实有力。旗帜鲜明坚持党管宣传、党管意识形态、党管媒体，把政治家办报、办刊、办台、办新媒体的要求不折不扣落实到工作全过程和各方面。以贯彻《中国共产党宣传工作条例》《党委（党组）意识形态工作责任制实施办法》为重要抓手，推动各级各部门党委（党组）抓宣传思想工作主体责任意识不断增强。统筹推进四川新华出版发行集团、峨眉电影集团、省干部函授学院（四川文化产业职业学院）党委换届工作。</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加强队伍建设积极有为。突出政治标准，鲜明用人导向，强化归口领导管理，大力推进宣传文化系统领导班子和干部队伍建设，修订省直宣传文化单位重要宣传舆论阵地和重要岗位领导干部职务名称。统筹推进宣传思想文化领域人才队伍建设，培养选拔优秀青年人才，加强对非公领域文化人才的政治引领、教育引导和联系服务，11人获评“天府万人计划”天府文化领军人才称号。加快建设四川宣传干部学院，建好用好网信人才培养基地。以乡镇行政区划调整改革为契机，配齐配强宣传委员队伍，夯实基层宣传工作力量。深入开展增强“四力”教育实践，突出实用性操作性，不断提升干部教育培训工作正规化专业化精品化水平，培训各类干部人才1.2万余人次，努力打造政治过硬、本领高强、求实创新、能打胜仗的宣传思想工作队伍。</w:t>
      </w:r>
    </w:p>
    <w:bookmarkEnd w:id="14"/>
    <w:bookmarkEnd w:id="15"/>
    <w:p>
      <w:pPr>
        <w:pStyle w:val="3"/>
        <w:ind w:right="440"/>
        <w:jc w:val="right"/>
        <w:rPr>
          <w:rFonts w:hint="eastAsia" w:ascii="黑体" w:hAnsi="黑体" w:eastAsia="黑体"/>
          <w:b w:val="0"/>
          <w:color w:val="000000"/>
          <w:highlight w:val="none"/>
        </w:rPr>
      </w:pPr>
      <w:bookmarkStart w:id="16" w:name="_Toc15396602"/>
      <w:bookmarkStart w:id="17" w:name="_Toc15377204"/>
    </w:p>
    <w:p>
      <w:pPr>
        <w:pStyle w:val="3"/>
        <w:ind w:right="440"/>
        <w:jc w:val="right"/>
        <w:rPr>
          <w:rStyle w:val="24"/>
          <w:rFonts w:ascii="黑体" w:hAnsi="黑体" w:eastAsia="黑体"/>
          <w:b w:val="0"/>
          <w:bCs w:val="0"/>
          <w:highlight w:val="none"/>
        </w:rPr>
      </w:pPr>
      <w:r>
        <w:rPr>
          <w:rFonts w:hint="eastAsia" w:ascii="黑体" w:hAnsi="黑体" w:eastAsia="黑体"/>
          <w:b w:val="0"/>
          <w:color w:val="000000"/>
          <w:highlight w:val="none"/>
        </w:rPr>
        <w:t>第二部分</w:t>
      </w:r>
      <w:r>
        <w:rPr>
          <w:rFonts w:hint="eastAsia" w:ascii="黑体" w:hAnsi="黑体" w:eastAsia="黑体"/>
          <w:color w:val="000000"/>
          <w:highlight w:val="none"/>
        </w:rPr>
        <w:t xml:space="preserve"> </w:t>
      </w:r>
      <w:r>
        <w:rPr>
          <w:rStyle w:val="24"/>
          <w:rFonts w:hint="eastAsia" w:ascii="黑体" w:hAnsi="黑体" w:eastAsia="黑体"/>
          <w:b w:val="0"/>
          <w:bCs w:val="0"/>
          <w:highlight w:val="none"/>
        </w:rPr>
        <w:t>20</w:t>
      </w:r>
      <w:r>
        <w:rPr>
          <w:rStyle w:val="24"/>
          <w:rFonts w:hint="eastAsia" w:ascii="黑体" w:hAnsi="黑体" w:eastAsia="黑体"/>
          <w:b w:val="0"/>
          <w:bCs w:val="0"/>
          <w:highlight w:val="none"/>
          <w:lang w:val="en-US" w:eastAsia="zh-CN"/>
        </w:rPr>
        <w:t>20</w:t>
      </w:r>
      <w:r>
        <w:rPr>
          <w:rStyle w:val="24"/>
          <w:rFonts w:hint="eastAsia" w:ascii="黑体" w:hAnsi="黑体" w:eastAsia="黑体"/>
          <w:b w:val="0"/>
          <w:bCs w:val="0"/>
          <w:highlight w:val="none"/>
        </w:rPr>
        <w:t>年度部</w:t>
      </w:r>
      <w:r>
        <w:rPr>
          <w:rStyle w:val="24"/>
          <w:rFonts w:hint="eastAsia" w:ascii="黑体" w:hAnsi="黑体" w:eastAsia="黑体"/>
          <w:b w:val="0"/>
          <w:bCs w:val="0"/>
          <w:highlight w:val="none"/>
          <w:lang w:eastAsia="zh-CN"/>
        </w:rPr>
        <w:t>机关</w:t>
      </w:r>
      <w:r>
        <w:rPr>
          <w:rStyle w:val="24"/>
          <w:rFonts w:hint="eastAsia" w:ascii="黑体" w:hAnsi="黑体" w:eastAsia="黑体"/>
          <w:b w:val="0"/>
          <w:bCs w:val="0"/>
          <w:highlight w:val="none"/>
        </w:rPr>
        <w:t>决算情况说明</w:t>
      </w:r>
      <w:bookmarkEnd w:id="16"/>
      <w:bookmarkEnd w:id="17"/>
    </w:p>
    <w:p>
      <w:pPr>
        <w:rPr>
          <w:highlight w:val="none"/>
        </w:rPr>
      </w:pPr>
    </w:p>
    <w:p>
      <w:pPr>
        <w:pStyle w:val="23"/>
        <w:numPr>
          <w:ilvl w:val="0"/>
          <w:numId w:val="1"/>
        </w:numPr>
        <w:spacing w:line="600" w:lineRule="exact"/>
        <w:ind w:firstLineChars="0"/>
        <w:outlineLvl w:val="1"/>
        <w:rPr>
          <w:rStyle w:val="25"/>
          <w:rFonts w:ascii="黑体" w:hAnsi="黑体" w:eastAsia="黑体"/>
          <w:b w:val="0"/>
          <w:highlight w:val="none"/>
        </w:rPr>
      </w:pPr>
      <w:bookmarkStart w:id="18" w:name="_Toc15396603"/>
      <w:bookmarkStart w:id="19" w:name="_Toc15377205"/>
      <w:r>
        <w:rPr>
          <w:rFonts w:hint="eastAsia" w:ascii="黑体" w:hAnsi="黑体" w:eastAsia="黑体"/>
          <w:color w:val="000000"/>
          <w:sz w:val="32"/>
          <w:szCs w:val="32"/>
          <w:highlight w:val="none"/>
        </w:rPr>
        <w:t>收</w:t>
      </w:r>
      <w:r>
        <w:rPr>
          <w:rStyle w:val="25"/>
          <w:rFonts w:hint="eastAsia" w:ascii="黑体" w:hAnsi="黑体" w:eastAsia="黑体"/>
          <w:b w:val="0"/>
          <w:highlight w:val="none"/>
        </w:rPr>
        <w:t>入支出决算总体情况说明</w:t>
      </w:r>
      <w:bookmarkEnd w:id="18"/>
      <w:bookmarkEnd w:id="19"/>
    </w:p>
    <w:p>
      <w:pPr>
        <w:overflowPunct w:val="0"/>
        <w:adjustRightInd w:val="0"/>
        <w:snapToGrid w:val="0"/>
        <w:spacing w:line="600" w:lineRule="exact"/>
        <w:ind w:firstLine="643" w:firstLineChars="200"/>
        <w:rPr>
          <w:rFonts w:eastAsia="仿宋_GB2312"/>
          <w:b/>
          <w:snapToGrid w:val="0"/>
          <w:color w:val="auto"/>
          <w:kern w:val="0"/>
          <w:sz w:val="32"/>
          <w:szCs w:val="32"/>
          <w:highlight w:val="none"/>
        </w:rPr>
      </w:pPr>
      <w:r>
        <w:rPr>
          <w:rFonts w:eastAsia="仿宋_GB2312"/>
          <w:b/>
          <w:snapToGrid w:val="0"/>
          <w:color w:val="000000"/>
          <w:kern w:val="0"/>
          <w:sz w:val="32"/>
          <w:szCs w:val="32"/>
          <w:highlight w:val="none"/>
        </w:rPr>
        <w:t>20</w:t>
      </w:r>
      <w:r>
        <w:rPr>
          <w:rFonts w:hint="eastAsia" w:eastAsia="仿宋_GB2312"/>
          <w:b/>
          <w:snapToGrid w:val="0"/>
          <w:color w:val="000000"/>
          <w:kern w:val="0"/>
          <w:sz w:val="32"/>
          <w:szCs w:val="32"/>
          <w:highlight w:val="none"/>
          <w:lang w:val="en-US" w:eastAsia="zh-CN"/>
        </w:rPr>
        <w:t>20</w:t>
      </w:r>
      <w:r>
        <w:rPr>
          <w:rFonts w:eastAsia="仿宋_GB2312"/>
          <w:b/>
          <w:snapToGrid w:val="0"/>
          <w:color w:val="000000"/>
          <w:kern w:val="0"/>
          <w:sz w:val="32"/>
          <w:szCs w:val="32"/>
          <w:highlight w:val="none"/>
        </w:rPr>
        <w:t>年度收、支总计</w:t>
      </w:r>
      <w:r>
        <w:rPr>
          <w:rFonts w:hint="eastAsia" w:eastAsia="仿宋_GB2312"/>
          <w:b/>
          <w:snapToGrid w:val="0"/>
          <w:color w:val="000000"/>
          <w:kern w:val="0"/>
          <w:sz w:val="32"/>
          <w:szCs w:val="32"/>
          <w:highlight w:val="none"/>
          <w:lang w:val="en-US" w:eastAsia="zh-CN"/>
        </w:rPr>
        <w:t>15914.42</w:t>
      </w:r>
      <w:r>
        <w:rPr>
          <w:rFonts w:eastAsia="仿宋_GB2312"/>
          <w:b/>
          <w:snapToGrid w:val="0"/>
          <w:color w:val="000000"/>
          <w:kern w:val="0"/>
          <w:sz w:val="32"/>
          <w:szCs w:val="32"/>
          <w:highlight w:val="none"/>
        </w:rPr>
        <w:t>万元。与201</w:t>
      </w:r>
      <w:r>
        <w:rPr>
          <w:rFonts w:hint="eastAsia" w:eastAsia="仿宋_GB2312"/>
          <w:b/>
          <w:snapToGrid w:val="0"/>
          <w:color w:val="000000"/>
          <w:kern w:val="0"/>
          <w:sz w:val="32"/>
          <w:szCs w:val="32"/>
          <w:highlight w:val="none"/>
          <w:lang w:val="en-US" w:eastAsia="zh-CN"/>
        </w:rPr>
        <w:t>9</w:t>
      </w:r>
      <w:r>
        <w:rPr>
          <w:rFonts w:eastAsia="仿宋_GB2312"/>
          <w:b/>
          <w:snapToGrid w:val="0"/>
          <w:color w:val="000000"/>
          <w:kern w:val="0"/>
          <w:sz w:val="32"/>
          <w:szCs w:val="32"/>
          <w:highlight w:val="none"/>
        </w:rPr>
        <w:t>年相比，收、支总计各</w:t>
      </w:r>
      <w:r>
        <w:rPr>
          <w:rFonts w:hint="eastAsia" w:eastAsia="仿宋_GB2312"/>
          <w:b/>
          <w:snapToGrid w:val="0"/>
          <w:color w:val="000000"/>
          <w:kern w:val="0"/>
          <w:sz w:val="32"/>
          <w:szCs w:val="32"/>
          <w:highlight w:val="none"/>
          <w:lang w:eastAsia="zh-CN"/>
        </w:rPr>
        <w:t>增加</w:t>
      </w:r>
      <w:r>
        <w:rPr>
          <w:rFonts w:hint="eastAsia" w:eastAsia="仿宋_GB2312"/>
          <w:b/>
          <w:snapToGrid w:val="0"/>
          <w:color w:val="000000"/>
          <w:kern w:val="0"/>
          <w:sz w:val="32"/>
          <w:szCs w:val="32"/>
          <w:highlight w:val="none"/>
          <w:lang w:val="en-US" w:eastAsia="zh-CN"/>
        </w:rPr>
        <w:t>1069.65</w:t>
      </w:r>
      <w:r>
        <w:rPr>
          <w:rFonts w:eastAsia="仿宋_GB2312"/>
          <w:b/>
          <w:snapToGrid w:val="0"/>
          <w:color w:val="000000"/>
          <w:kern w:val="0"/>
          <w:sz w:val="32"/>
          <w:szCs w:val="32"/>
          <w:highlight w:val="none"/>
        </w:rPr>
        <w:t>万元，</w:t>
      </w:r>
      <w:r>
        <w:rPr>
          <w:rFonts w:hint="eastAsia" w:eastAsia="仿宋_GB2312"/>
          <w:b/>
          <w:snapToGrid w:val="0"/>
          <w:color w:val="000000"/>
          <w:kern w:val="0"/>
          <w:sz w:val="32"/>
          <w:szCs w:val="32"/>
          <w:highlight w:val="none"/>
          <w:lang w:eastAsia="zh-CN"/>
        </w:rPr>
        <w:t>增长</w:t>
      </w:r>
      <w:r>
        <w:rPr>
          <w:rFonts w:hint="eastAsia" w:eastAsia="仿宋_GB2312"/>
          <w:b/>
          <w:snapToGrid w:val="0"/>
          <w:color w:val="000000"/>
          <w:kern w:val="0"/>
          <w:sz w:val="32"/>
          <w:szCs w:val="32"/>
          <w:highlight w:val="none"/>
          <w:lang w:val="en-US" w:eastAsia="zh-CN"/>
        </w:rPr>
        <w:t>7.21</w:t>
      </w:r>
      <w:r>
        <w:rPr>
          <w:rFonts w:eastAsia="仿宋_GB2312"/>
          <w:b/>
          <w:snapToGrid w:val="0"/>
          <w:color w:val="000000"/>
          <w:kern w:val="0"/>
          <w:sz w:val="32"/>
          <w:szCs w:val="32"/>
          <w:highlight w:val="none"/>
        </w:rPr>
        <w:t>%。</w:t>
      </w:r>
      <w:r>
        <w:rPr>
          <w:rFonts w:eastAsia="仿宋_GB2312"/>
          <w:b/>
          <w:snapToGrid w:val="0"/>
          <w:color w:val="auto"/>
          <w:kern w:val="0"/>
          <w:sz w:val="32"/>
          <w:szCs w:val="32"/>
          <w:highlight w:val="none"/>
        </w:rPr>
        <w:t>主要变动原因是</w:t>
      </w:r>
      <w:r>
        <w:rPr>
          <w:rFonts w:hint="eastAsia" w:eastAsia="仿宋_GB2312"/>
          <w:b/>
          <w:snapToGrid w:val="0"/>
          <w:color w:val="auto"/>
          <w:kern w:val="0"/>
          <w:sz w:val="32"/>
          <w:szCs w:val="32"/>
          <w:highlight w:val="none"/>
          <w:lang w:eastAsia="zh-CN"/>
        </w:rPr>
        <w:t>新增国家电影事业发展专项资金。</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：收、支决算总计变动情况图）（柱状图）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仿宋_GB2312" w:eastAsia="仿宋_GB2312"/>
          <w:color w:val="000000"/>
          <w:sz w:val="32"/>
          <w:szCs w:val="32"/>
          <w:highlight w:val="none"/>
        </w:rPr>
      </w:pPr>
      <w:r>
        <w:rPr>
          <w:highlight w:val="none"/>
        </w:rPr>
        <w:drawing>
          <wp:inline distT="0" distB="0" distL="114300" distR="114300">
            <wp:extent cx="4572000" cy="25717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1"/>
        </w:numPr>
        <w:spacing w:line="600" w:lineRule="exact"/>
        <w:ind w:firstLineChars="0"/>
        <w:outlineLvl w:val="1"/>
        <w:rPr>
          <w:rStyle w:val="25"/>
          <w:rFonts w:ascii="黑体" w:hAnsi="黑体" w:eastAsia="黑体"/>
          <w:b w:val="0"/>
          <w:highlight w:val="none"/>
        </w:rPr>
      </w:pPr>
      <w:bookmarkStart w:id="20" w:name="_Toc15377206"/>
      <w:bookmarkStart w:id="21" w:name="_Toc15396604"/>
      <w:r>
        <w:rPr>
          <w:rFonts w:hint="eastAsia" w:ascii="黑体" w:hAnsi="黑体" w:eastAsia="黑体"/>
          <w:color w:val="000000"/>
          <w:sz w:val="32"/>
          <w:szCs w:val="32"/>
          <w:highlight w:val="none"/>
        </w:rPr>
        <w:t>收</w:t>
      </w:r>
      <w:r>
        <w:rPr>
          <w:rStyle w:val="25"/>
          <w:rFonts w:hint="eastAsia" w:ascii="黑体" w:hAnsi="黑体" w:eastAsia="黑体"/>
          <w:b w:val="0"/>
          <w:highlight w:val="none"/>
        </w:rPr>
        <w:t>入决算情况说明</w:t>
      </w:r>
      <w:bookmarkEnd w:id="20"/>
      <w:bookmarkEnd w:id="21"/>
    </w:p>
    <w:p>
      <w:pPr>
        <w:overflowPunct w:val="0"/>
        <w:adjustRightInd w:val="0"/>
        <w:snapToGrid w:val="0"/>
        <w:spacing w:line="600" w:lineRule="exact"/>
        <w:ind w:firstLine="643" w:firstLineChars="200"/>
        <w:rPr>
          <w:rFonts w:ascii="仿宋" w:hAnsi="仿宋" w:eastAsia="仿宋"/>
          <w:color w:val="000000"/>
          <w:sz w:val="32"/>
          <w:szCs w:val="32"/>
          <w:highlight w:val="none"/>
        </w:rPr>
      </w:pPr>
      <w:r>
        <w:rPr>
          <w:rFonts w:eastAsia="仿宋_GB2312"/>
          <w:b/>
          <w:snapToGrid w:val="0"/>
          <w:color w:val="000000"/>
          <w:kern w:val="0"/>
          <w:sz w:val="32"/>
          <w:szCs w:val="32"/>
          <w:highlight w:val="none"/>
        </w:rPr>
        <w:t>20</w:t>
      </w:r>
      <w:r>
        <w:rPr>
          <w:rFonts w:hint="eastAsia" w:eastAsia="仿宋_GB2312"/>
          <w:b/>
          <w:snapToGrid w:val="0"/>
          <w:color w:val="000000"/>
          <w:kern w:val="0"/>
          <w:sz w:val="32"/>
          <w:szCs w:val="32"/>
          <w:highlight w:val="none"/>
          <w:lang w:val="en-US" w:eastAsia="zh-CN"/>
        </w:rPr>
        <w:t>20</w:t>
      </w:r>
      <w:r>
        <w:rPr>
          <w:rFonts w:eastAsia="仿宋_GB2312"/>
          <w:b/>
          <w:snapToGrid w:val="0"/>
          <w:color w:val="000000"/>
          <w:kern w:val="0"/>
          <w:sz w:val="32"/>
          <w:szCs w:val="32"/>
          <w:highlight w:val="none"/>
        </w:rPr>
        <w:t>年本年收入</w:t>
      </w:r>
      <w:r>
        <w:rPr>
          <w:rFonts w:hint="eastAsia" w:eastAsia="仿宋_GB2312"/>
          <w:b/>
          <w:snapToGrid w:val="0"/>
          <w:color w:val="000000"/>
          <w:kern w:val="0"/>
          <w:sz w:val="32"/>
          <w:szCs w:val="32"/>
          <w:highlight w:val="none"/>
          <w:lang w:val="en-US" w:eastAsia="zh-CN"/>
        </w:rPr>
        <w:t>15914.42万元</w:t>
      </w:r>
      <w:r>
        <w:rPr>
          <w:rFonts w:eastAsia="仿宋_GB2312"/>
          <w:b/>
          <w:snapToGrid w:val="0"/>
          <w:color w:val="000000"/>
          <w:kern w:val="0"/>
          <w:sz w:val="32"/>
          <w:szCs w:val="32"/>
          <w:highlight w:val="none"/>
        </w:rPr>
        <w:t>，其中：一般公共预算财政拨款收入</w:t>
      </w:r>
      <w:r>
        <w:rPr>
          <w:rFonts w:hint="eastAsia" w:eastAsia="仿宋_GB2312"/>
          <w:b/>
          <w:snapToGrid w:val="0"/>
          <w:color w:val="000000"/>
          <w:kern w:val="0"/>
          <w:sz w:val="32"/>
          <w:szCs w:val="32"/>
          <w:highlight w:val="none"/>
          <w:lang w:val="en-US" w:eastAsia="zh-CN"/>
        </w:rPr>
        <w:t>15060.47</w:t>
      </w:r>
      <w:r>
        <w:rPr>
          <w:rFonts w:eastAsia="仿宋_GB2312"/>
          <w:b/>
          <w:snapToGrid w:val="0"/>
          <w:color w:val="000000"/>
          <w:kern w:val="0"/>
          <w:sz w:val="32"/>
          <w:szCs w:val="32"/>
          <w:highlight w:val="none"/>
        </w:rPr>
        <w:t>万元，占</w:t>
      </w:r>
      <w:r>
        <w:rPr>
          <w:rFonts w:hint="eastAsia" w:eastAsia="仿宋_GB2312"/>
          <w:b/>
          <w:snapToGrid w:val="0"/>
          <w:color w:val="000000"/>
          <w:kern w:val="0"/>
          <w:sz w:val="32"/>
          <w:szCs w:val="32"/>
          <w:highlight w:val="none"/>
          <w:lang w:val="en-US" w:eastAsia="zh-CN"/>
        </w:rPr>
        <w:t>94.63</w:t>
      </w:r>
      <w:r>
        <w:rPr>
          <w:rFonts w:eastAsia="仿宋_GB2312"/>
          <w:b/>
          <w:snapToGrid w:val="0"/>
          <w:color w:val="000000"/>
          <w:kern w:val="0"/>
          <w:sz w:val="32"/>
          <w:szCs w:val="32"/>
          <w:highlight w:val="none"/>
        </w:rPr>
        <w:t>%；政府性基金预算财政拨款收入</w:t>
      </w:r>
      <w:r>
        <w:rPr>
          <w:rFonts w:hint="eastAsia" w:eastAsia="仿宋_GB2312"/>
          <w:b/>
          <w:snapToGrid w:val="0"/>
          <w:color w:val="000000"/>
          <w:kern w:val="0"/>
          <w:sz w:val="32"/>
          <w:szCs w:val="32"/>
          <w:highlight w:val="none"/>
          <w:lang w:val="en-US" w:eastAsia="zh-CN"/>
        </w:rPr>
        <w:t>853.95万元，占5.37%</w:t>
      </w:r>
      <w:r>
        <w:rPr>
          <w:rFonts w:eastAsia="仿宋_GB2312"/>
          <w:b/>
          <w:snapToGrid w:val="0"/>
          <w:color w:val="000000"/>
          <w:kern w:val="0"/>
          <w:sz w:val="32"/>
          <w:szCs w:val="32"/>
          <w:highlight w:val="none"/>
        </w:rPr>
        <w:t>。</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（图2：收入决算结构图）（饼状图）</w:t>
      </w:r>
    </w:p>
    <w:p>
      <w:pPr>
        <w:spacing w:line="600" w:lineRule="exact"/>
        <w:ind w:firstLine="640" w:firstLineChars="200"/>
        <w:rPr>
          <w:rFonts w:ascii="仿宋_GB2312" w:eastAsia="仿宋_GB2312"/>
          <w:color w:val="FF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highlight w:val="none"/>
        </w:rPr>
      </w:pPr>
      <w:r>
        <w:rPr>
          <w:highlight w:val="none"/>
        </w:rPr>
        <w:drawing>
          <wp:inline distT="0" distB="0" distL="114300" distR="114300">
            <wp:extent cx="4572000" cy="2743200"/>
            <wp:effectExtent l="4445" t="4445" r="14605" b="717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highlight w:val="none"/>
        </w:rPr>
      </w:pPr>
    </w:p>
    <w:p>
      <w:pPr>
        <w:pStyle w:val="23"/>
        <w:numPr>
          <w:ilvl w:val="0"/>
          <w:numId w:val="1"/>
        </w:numPr>
        <w:spacing w:line="600" w:lineRule="exact"/>
        <w:ind w:firstLineChars="0"/>
        <w:outlineLvl w:val="1"/>
        <w:rPr>
          <w:rStyle w:val="25"/>
          <w:rFonts w:ascii="黑体" w:hAnsi="黑体" w:eastAsia="黑体"/>
          <w:b w:val="0"/>
          <w:highlight w:val="none"/>
        </w:rPr>
      </w:pPr>
      <w:bookmarkStart w:id="22" w:name="_Toc15396605"/>
      <w:bookmarkStart w:id="23" w:name="_Toc15377207"/>
      <w:r>
        <w:rPr>
          <w:rFonts w:hint="eastAsia" w:ascii="黑体" w:hAnsi="黑体" w:eastAsia="黑体"/>
          <w:color w:val="000000"/>
          <w:sz w:val="32"/>
          <w:szCs w:val="32"/>
          <w:highlight w:val="none"/>
        </w:rPr>
        <w:t>支</w:t>
      </w:r>
      <w:r>
        <w:rPr>
          <w:rStyle w:val="25"/>
          <w:rFonts w:hint="eastAsia" w:ascii="黑体" w:hAnsi="黑体" w:eastAsia="黑体"/>
          <w:b w:val="0"/>
          <w:highlight w:val="none"/>
        </w:rPr>
        <w:t>出决算情况说明</w:t>
      </w:r>
      <w:bookmarkEnd w:id="22"/>
      <w:bookmarkEnd w:id="23"/>
    </w:p>
    <w:p>
      <w:pPr>
        <w:overflowPunct w:val="0"/>
        <w:adjustRightInd w:val="0"/>
        <w:snapToGrid w:val="0"/>
        <w:spacing w:line="600" w:lineRule="exact"/>
        <w:ind w:firstLine="640" w:firstLineChars="200"/>
        <w:rPr>
          <w:rFonts w:hint="eastAsia" w:ascii="仿宋" w:hAnsi="仿宋" w:eastAsia="仿宋"/>
          <w:color w:val="000000"/>
          <w:sz w:val="32"/>
          <w:szCs w:val="32"/>
          <w:highlight w:val="none"/>
        </w:rPr>
      </w:pP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20</w:t>
      </w:r>
      <w:r>
        <w:rPr>
          <w:rFonts w:hint="eastAsia" w:ascii="仿宋" w:hAnsi="仿宋" w:eastAsia="仿宋"/>
          <w:color w:val="000000"/>
          <w:sz w:val="32"/>
          <w:szCs w:val="32"/>
          <w:highlight w:val="none"/>
        </w:rPr>
        <w:t>年本年支出合计</w:t>
      </w:r>
      <w:r>
        <w:rPr>
          <w:rFonts w:hint="eastAsia" w:ascii="仿宋" w:hAnsi="仿宋" w:eastAsia="仿宋"/>
          <w:color w:val="000000"/>
          <w:sz w:val="32"/>
          <w:szCs w:val="32"/>
          <w:highlight w:val="none"/>
          <w:lang w:val="en-US" w:eastAsia="zh-CN"/>
        </w:rPr>
        <w:t>15914.42</w:t>
      </w:r>
      <w:r>
        <w:rPr>
          <w:rFonts w:hint="eastAsia" w:ascii="仿宋" w:hAnsi="仿宋" w:eastAsia="仿宋"/>
          <w:color w:val="000000"/>
          <w:sz w:val="32"/>
          <w:szCs w:val="32"/>
          <w:highlight w:val="none"/>
        </w:rPr>
        <w:t>万元，其中：基本支出</w:t>
      </w:r>
      <w:r>
        <w:rPr>
          <w:rFonts w:hint="eastAsia" w:ascii="仿宋" w:hAnsi="仿宋" w:eastAsia="仿宋"/>
          <w:color w:val="000000"/>
          <w:sz w:val="32"/>
          <w:szCs w:val="32"/>
          <w:highlight w:val="none"/>
          <w:lang w:val="en-US" w:eastAsia="zh-CN"/>
        </w:rPr>
        <w:t>5395.27</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33.9</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；项目支出</w:t>
      </w:r>
      <w:r>
        <w:rPr>
          <w:rFonts w:hint="eastAsia" w:ascii="仿宋" w:hAnsi="仿宋" w:eastAsia="仿宋"/>
          <w:color w:val="000000"/>
          <w:sz w:val="32"/>
          <w:szCs w:val="32"/>
          <w:highlight w:val="none"/>
          <w:lang w:val="en-US" w:eastAsia="zh-CN"/>
        </w:rPr>
        <w:t>10519.16</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66.1</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；无上缴上级支出；无经营支出；无对附属单位补助支出。</w:t>
      </w:r>
    </w:p>
    <w:p>
      <w:pPr>
        <w:spacing w:line="600" w:lineRule="exact"/>
        <w:ind w:firstLine="960" w:firstLineChars="3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（图3：支出决算结构图）（饼状图）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eastAsia="仿宋_GB2312"/>
          <w:color w:val="FF0000"/>
          <w:sz w:val="32"/>
          <w:szCs w:val="32"/>
          <w:highlight w:val="none"/>
        </w:rPr>
      </w:pPr>
      <w:r>
        <w:rPr>
          <w:highlight w:val="none"/>
        </w:rPr>
        <w:drawing>
          <wp:inline distT="0" distB="0" distL="114300" distR="114300">
            <wp:extent cx="4572000" cy="2743200"/>
            <wp:effectExtent l="4445" t="4445" r="14605" b="52705"/>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highlight w:val="none"/>
        </w:rPr>
      </w:pPr>
      <w:bookmarkStart w:id="24" w:name="_Toc15396606"/>
      <w:bookmarkStart w:id="25" w:name="_Toc15377208"/>
      <w:r>
        <w:rPr>
          <w:rFonts w:hint="eastAsia" w:ascii="黑体" w:hAnsi="黑体" w:eastAsia="黑体"/>
          <w:color w:val="000000"/>
          <w:sz w:val="32"/>
          <w:szCs w:val="32"/>
          <w:highlight w:val="none"/>
        </w:rPr>
        <w:t>四、财</w:t>
      </w:r>
      <w:r>
        <w:rPr>
          <w:rStyle w:val="25"/>
          <w:rFonts w:hint="eastAsia" w:ascii="黑体" w:hAnsi="黑体" w:eastAsia="黑体"/>
          <w:b w:val="0"/>
          <w:highlight w:val="none"/>
        </w:rPr>
        <w:t>政拨款收入支出决算总体情况说明</w:t>
      </w:r>
      <w:bookmarkEnd w:id="24"/>
      <w:bookmarkEnd w:id="25"/>
    </w:p>
    <w:p>
      <w:pPr>
        <w:spacing w:line="600" w:lineRule="exact"/>
        <w:ind w:firstLine="640" w:firstLineChars="200"/>
        <w:rPr>
          <w:rFonts w:hint="eastAsia" w:eastAsia="仿宋_GB2312"/>
          <w:b/>
          <w:snapToGrid w:val="0"/>
          <w:color w:val="auto"/>
          <w:kern w:val="0"/>
          <w:sz w:val="32"/>
          <w:szCs w:val="32"/>
          <w:highlight w:val="none"/>
          <w:lang w:eastAsia="zh-CN"/>
        </w:rPr>
      </w:pPr>
      <w:r>
        <w:rPr>
          <w:rFonts w:hint="eastAsia"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20</w:t>
      </w:r>
      <w:r>
        <w:rPr>
          <w:rFonts w:hint="eastAsia" w:ascii="仿宋" w:hAnsi="仿宋" w:eastAsia="仿宋"/>
          <w:color w:val="000000"/>
          <w:sz w:val="32"/>
          <w:szCs w:val="32"/>
          <w:highlight w:val="none"/>
        </w:rPr>
        <w:t>年省委宣传部财政拨款收、支总计</w:t>
      </w:r>
      <w:r>
        <w:rPr>
          <w:rFonts w:hint="eastAsia" w:ascii="仿宋" w:hAnsi="仿宋" w:eastAsia="仿宋"/>
          <w:color w:val="000000"/>
          <w:sz w:val="32"/>
          <w:szCs w:val="32"/>
          <w:highlight w:val="none"/>
          <w:lang w:val="en-US" w:eastAsia="zh-CN"/>
        </w:rPr>
        <w:t>15914.42</w:t>
      </w:r>
      <w:r>
        <w:rPr>
          <w:rFonts w:hint="eastAsia" w:ascii="仿宋" w:hAnsi="仿宋" w:eastAsia="仿宋"/>
          <w:color w:val="000000"/>
          <w:sz w:val="32"/>
          <w:szCs w:val="32"/>
          <w:highlight w:val="none"/>
        </w:rPr>
        <w:t>万元。与20</w:t>
      </w:r>
      <w:r>
        <w:rPr>
          <w:rFonts w:hint="eastAsia" w:ascii="仿宋" w:hAnsi="仿宋" w:eastAsia="仿宋"/>
          <w:color w:val="000000"/>
          <w:sz w:val="32"/>
          <w:szCs w:val="32"/>
          <w:highlight w:val="none"/>
          <w:lang w:val="en-US" w:eastAsia="zh-CN"/>
        </w:rPr>
        <w:t>19</w:t>
      </w:r>
      <w:r>
        <w:rPr>
          <w:rFonts w:hint="eastAsia" w:ascii="仿宋" w:hAnsi="仿宋" w:eastAsia="仿宋"/>
          <w:color w:val="000000"/>
          <w:sz w:val="32"/>
          <w:szCs w:val="32"/>
          <w:highlight w:val="none"/>
        </w:rPr>
        <w:t>年相比，</w:t>
      </w:r>
      <w:r>
        <w:rPr>
          <w:rFonts w:eastAsia="仿宋_GB2312"/>
          <w:b w:val="0"/>
          <w:bCs/>
          <w:snapToGrid w:val="0"/>
          <w:color w:val="000000"/>
          <w:kern w:val="0"/>
          <w:sz w:val="32"/>
          <w:szCs w:val="32"/>
          <w:highlight w:val="none"/>
        </w:rPr>
        <w:t>收、支总计各</w:t>
      </w:r>
      <w:r>
        <w:rPr>
          <w:rFonts w:hint="eastAsia" w:eastAsia="仿宋_GB2312"/>
          <w:b w:val="0"/>
          <w:bCs/>
          <w:snapToGrid w:val="0"/>
          <w:color w:val="000000"/>
          <w:kern w:val="0"/>
          <w:sz w:val="32"/>
          <w:szCs w:val="32"/>
          <w:highlight w:val="none"/>
          <w:lang w:eastAsia="zh-CN"/>
        </w:rPr>
        <w:t>增加</w:t>
      </w:r>
      <w:r>
        <w:rPr>
          <w:rFonts w:hint="eastAsia" w:eastAsia="仿宋_GB2312"/>
          <w:b w:val="0"/>
          <w:bCs/>
          <w:snapToGrid w:val="0"/>
          <w:color w:val="000000"/>
          <w:kern w:val="0"/>
          <w:sz w:val="32"/>
          <w:szCs w:val="32"/>
          <w:highlight w:val="none"/>
          <w:lang w:val="en-US" w:eastAsia="zh-CN"/>
        </w:rPr>
        <w:t>1069.65</w:t>
      </w:r>
      <w:r>
        <w:rPr>
          <w:rFonts w:eastAsia="仿宋_GB2312"/>
          <w:b w:val="0"/>
          <w:bCs/>
          <w:snapToGrid w:val="0"/>
          <w:color w:val="000000"/>
          <w:kern w:val="0"/>
          <w:sz w:val="32"/>
          <w:szCs w:val="32"/>
          <w:highlight w:val="none"/>
        </w:rPr>
        <w:t>万元，</w:t>
      </w:r>
      <w:r>
        <w:rPr>
          <w:rFonts w:hint="eastAsia" w:eastAsia="仿宋_GB2312"/>
          <w:b w:val="0"/>
          <w:bCs/>
          <w:snapToGrid w:val="0"/>
          <w:color w:val="000000"/>
          <w:kern w:val="0"/>
          <w:sz w:val="32"/>
          <w:szCs w:val="32"/>
          <w:highlight w:val="none"/>
          <w:lang w:eastAsia="zh-CN"/>
        </w:rPr>
        <w:t>增长</w:t>
      </w:r>
      <w:r>
        <w:rPr>
          <w:rFonts w:hint="eastAsia" w:eastAsia="仿宋_GB2312"/>
          <w:b w:val="0"/>
          <w:bCs/>
          <w:snapToGrid w:val="0"/>
          <w:color w:val="000000"/>
          <w:kern w:val="0"/>
          <w:sz w:val="32"/>
          <w:szCs w:val="32"/>
          <w:highlight w:val="none"/>
          <w:lang w:val="en-US" w:eastAsia="zh-CN"/>
        </w:rPr>
        <w:t>7.21</w:t>
      </w:r>
      <w:r>
        <w:rPr>
          <w:rFonts w:eastAsia="仿宋_GB2312"/>
          <w:b w:val="0"/>
          <w:bCs/>
          <w:snapToGrid w:val="0"/>
          <w:color w:val="000000"/>
          <w:kern w:val="0"/>
          <w:sz w:val="32"/>
          <w:szCs w:val="32"/>
          <w:highlight w:val="none"/>
        </w:rPr>
        <w:t>%。</w:t>
      </w:r>
      <w:r>
        <w:rPr>
          <w:rFonts w:eastAsia="仿宋_GB2312"/>
          <w:b/>
          <w:snapToGrid w:val="0"/>
          <w:color w:val="auto"/>
          <w:kern w:val="0"/>
          <w:sz w:val="32"/>
          <w:szCs w:val="32"/>
          <w:highlight w:val="none"/>
        </w:rPr>
        <w:t>主要变动原因是</w:t>
      </w:r>
      <w:r>
        <w:rPr>
          <w:rFonts w:hint="eastAsia" w:eastAsia="仿宋_GB2312"/>
          <w:b/>
          <w:snapToGrid w:val="0"/>
          <w:color w:val="auto"/>
          <w:kern w:val="0"/>
          <w:sz w:val="32"/>
          <w:szCs w:val="32"/>
          <w:highlight w:val="none"/>
          <w:lang w:eastAsia="zh-CN"/>
        </w:rPr>
        <w:t>新增国家电影事业发展专项资金。</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hAnsi="仿宋" w:eastAsia="仿宋"/>
          <w:b/>
          <w:color w:val="00B050"/>
          <w:sz w:val="32"/>
          <w:szCs w:val="32"/>
          <w:highlight w:val="none"/>
        </w:rPr>
      </w:pPr>
      <w:r>
        <w:rPr>
          <w:highlight w:val="none"/>
        </w:rPr>
        <w:drawing>
          <wp:inline distT="0" distB="0" distL="114300" distR="114300">
            <wp:extent cx="4572000" cy="2571750"/>
            <wp:effectExtent l="4445" t="4445" r="1460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highlight w:val="none"/>
        </w:rPr>
      </w:pPr>
      <w:bookmarkStart w:id="26" w:name="_Toc15396607"/>
      <w:bookmarkStart w:id="27" w:name="_Toc15377209"/>
      <w:r>
        <w:rPr>
          <w:rFonts w:hint="eastAsia" w:ascii="黑体" w:hAnsi="黑体" w:eastAsia="黑体"/>
          <w:color w:val="000000"/>
          <w:sz w:val="32"/>
          <w:szCs w:val="32"/>
          <w:highlight w:val="none"/>
        </w:rPr>
        <w:t>五、</w:t>
      </w:r>
      <w:r>
        <w:rPr>
          <w:rFonts w:hint="eastAsia" w:ascii="黑体" w:hAnsi="黑体" w:eastAsia="黑体"/>
          <w:b/>
          <w:color w:val="000000"/>
          <w:sz w:val="32"/>
          <w:szCs w:val="32"/>
          <w:highlight w:val="none"/>
        </w:rPr>
        <w:t>一</w:t>
      </w:r>
      <w:r>
        <w:rPr>
          <w:rStyle w:val="25"/>
          <w:rFonts w:hint="eastAsia" w:ascii="黑体" w:hAnsi="黑体" w:eastAsia="黑体"/>
          <w:b w:val="0"/>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000000"/>
          <w:sz w:val="32"/>
          <w:szCs w:val="32"/>
          <w:highlight w:val="none"/>
        </w:rPr>
      </w:pPr>
      <w:bookmarkStart w:id="28" w:name="_Toc15377210"/>
      <w:r>
        <w:rPr>
          <w:rFonts w:hint="eastAsia" w:ascii="仿宋" w:hAnsi="仿宋" w:eastAsia="仿宋"/>
          <w:b/>
          <w:color w:val="000000"/>
          <w:sz w:val="32"/>
          <w:szCs w:val="32"/>
          <w:highlight w:val="none"/>
        </w:rPr>
        <w:t>（一）一般公共预算财政拨款支出决算总体情况</w:t>
      </w:r>
      <w:bookmarkEnd w:id="28"/>
    </w:p>
    <w:p>
      <w:pPr>
        <w:overflowPunct w:val="0"/>
        <w:adjustRightInd w:val="0"/>
        <w:snapToGrid w:val="0"/>
        <w:spacing w:line="600" w:lineRule="exact"/>
        <w:ind w:firstLine="643" w:firstLineChars="200"/>
        <w:rPr>
          <w:rFonts w:ascii="仿宋" w:hAnsi="仿宋" w:eastAsia="仿宋"/>
          <w:color w:val="auto"/>
          <w:sz w:val="32"/>
          <w:szCs w:val="32"/>
          <w:highlight w:val="none"/>
        </w:rPr>
      </w:pPr>
      <w:r>
        <w:rPr>
          <w:rFonts w:eastAsia="仿宋_GB2312"/>
          <w:b/>
          <w:snapToGrid w:val="0"/>
          <w:color w:val="000000"/>
          <w:kern w:val="0"/>
          <w:sz w:val="32"/>
          <w:szCs w:val="32"/>
          <w:highlight w:val="none"/>
        </w:rPr>
        <w:t>20</w:t>
      </w:r>
      <w:r>
        <w:rPr>
          <w:rFonts w:hint="eastAsia" w:eastAsia="仿宋_GB2312"/>
          <w:b/>
          <w:snapToGrid w:val="0"/>
          <w:color w:val="000000"/>
          <w:kern w:val="0"/>
          <w:sz w:val="32"/>
          <w:szCs w:val="32"/>
          <w:highlight w:val="none"/>
          <w:lang w:val="en-US" w:eastAsia="zh-CN"/>
        </w:rPr>
        <w:t>20</w:t>
      </w:r>
      <w:r>
        <w:rPr>
          <w:rFonts w:eastAsia="仿宋_GB2312"/>
          <w:b/>
          <w:snapToGrid w:val="0"/>
          <w:color w:val="000000"/>
          <w:kern w:val="0"/>
          <w:sz w:val="32"/>
          <w:szCs w:val="32"/>
          <w:highlight w:val="none"/>
        </w:rPr>
        <w:t>年一般公共预算财政拨款支出</w:t>
      </w:r>
      <w:r>
        <w:rPr>
          <w:rFonts w:hint="eastAsia" w:eastAsia="仿宋_GB2312"/>
          <w:b/>
          <w:snapToGrid w:val="0"/>
          <w:color w:val="000000"/>
          <w:kern w:val="0"/>
          <w:sz w:val="32"/>
          <w:szCs w:val="32"/>
          <w:highlight w:val="none"/>
          <w:lang w:val="en-US" w:eastAsia="zh-CN"/>
        </w:rPr>
        <w:t>15060.47</w:t>
      </w:r>
      <w:r>
        <w:rPr>
          <w:rFonts w:eastAsia="仿宋_GB2312"/>
          <w:b/>
          <w:snapToGrid w:val="0"/>
          <w:color w:val="000000"/>
          <w:kern w:val="0"/>
          <w:sz w:val="32"/>
          <w:szCs w:val="32"/>
          <w:highlight w:val="none"/>
        </w:rPr>
        <w:t>万元，占本年支出合计的</w:t>
      </w:r>
      <w:r>
        <w:rPr>
          <w:rFonts w:hint="eastAsia" w:eastAsia="仿宋_GB2312"/>
          <w:b/>
          <w:snapToGrid w:val="0"/>
          <w:color w:val="000000"/>
          <w:kern w:val="0"/>
          <w:sz w:val="32"/>
          <w:szCs w:val="32"/>
          <w:highlight w:val="none"/>
          <w:lang w:val="en-US" w:eastAsia="zh-CN"/>
        </w:rPr>
        <w:t>94.63</w:t>
      </w:r>
      <w:r>
        <w:rPr>
          <w:rFonts w:eastAsia="仿宋_GB2312"/>
          <w:b/>
          <w:snapToGrid w:val="0"/>
          <w:color w:val="000000"/>
          <w:kern w:val="0"/>
          <w:sz w:val="32"/>
          <w:szCs w:val="32"/>
          <w:highlight w:val="none"/>
        </w:rPr>
        <w:t>%。与201</w:t>
      </w:r>
      <w:r>
        <w:rPr>
          <w:rFonts w:hint="eastAsia" w:eastAsia="仿宋_GB2312"/>
          <w:b/>
          <w:snapToGrid w:val="0"/>
          <w:color w:val="000000"/>
          <w:kern w:val="0"/>
          <w:sz w:val="32"/>
          <w:szCs w:val="32"/>
          <w:highlight w:val="none"/>
          <w:lang w:val="en-US" w:eastAsia="zh-CN"/>
        </w:rPr>
        <w:t>9</w:t>
      </w:r>
      <w:r>
        <w:rPr>
          <w:rFonts w:eastAsia="仿宋_GB2312"/>
          <w:b/>
          <w:snapToGrid w:val="0"/>
          <w:color w:val="000000"/>
          <w:kern w:val="0"/>
          <w:sz w:val="32"/>
          <w:szCs w:val="32"/>
          <w:highlight w:val="none"/>
        </w:rPr>
        <w:t>年相比，一般公共预算财政拨款</w:t>
      </w:r>
      <w:r>
        <w:rPr>
          <w:rFonts w:hint="eastAsia" w:eastAsia="仿宋_GB2312"/>
          <w:b/>
          <w:snapToGrid w:val="0"/>
          <w:color w:val="000000"/>
          <w:kern w:val="0"/>
          <w:sz w:val="32"/>
          <w:szCs w:val="32"/>
          <w:highlight w:val="none"/>
          <w:lang w:eastAsia="zh-CN"/>
        </w:rPr>
        <w:t>增加</w:t>
      </w:r>
      <w:r>
        <w:rPr>
          <w:rFonts w:hint="eastAsia" w:eastAsia="仿宋_GB2312"/>
          <w:b/>
          <w:snapToGrid w:val="0"/>
          <w:color w:val="000000"/>
          <w:kern w:val="0"/>
          <w:sz w:val="32"/>
          <w:szCs w:val="32"/>
          <w:highlight w:val="none"/>
          <w:lang w:val="en-US" w:eastAsia="zh-CN"/>
        </w:rPr>
        <w:t>297.87</w:t>
      </w:r>
      <w:r>
        <w:rPr>
          <w:rFonts w:eastAsia="仿宋_GB2312"/>
          <w:b/>
          <w:snapToGrid w:val="0"/>
          <w:color w:val="000000"/>
          <w:kern w:val="0"/>
          <w:sz w:val="32"/>
          <w:szCs w:val="32"/>
          <w:highlight w:val="none"/>
        </w:rPr>
        <w:t>万元，</w:t>
      </w:r>
      <w:r>
        <w:rPr>
          <w:rFonts w:hint="eastAsia" w:eastAsia="仿宋_GB2312"/>
          <w:b/>
          <w:snapToGrid w:val="0"/>
          <w:color w:val="000000"/>
          <w:kern w:val="0"/>
          <w:sz w:val="32"/>
          <w:szCs w:val="32"/>
          <w:highlight w:val="none"/>
          <w:lang w:eastAsia="zh-CN"/>
        </w:rPr>
        <w:t>增长</w:t>
      </w:r>
      <w:r>
        <w:rPr>
          <w:rFonts w:hint="eastAsia" w:eastAsia="仿宋_GB2312"/>
          <w:b/>
          <w:snapToGrid w:val="0"/>
          <w:color w:val="000000"/>
          <w:kern w:val="0"/>
          <w:sz w:val="32"/>
          <w:szCs w:val="32"/>
          <w:highlight w:val="none"/>
          <w:lang w:val="en-US" w:eastAsia="zh-CN"/>
        </w:rPr>
        <w:t>2.02</w:t>
      </w:r>
      <w:r>
        <w:rPr>
          <w:rFonts w:eastAsia="仿宋_GB2312"/>
          <w:b/>
          <w:snapToGrid w:val="0"/>
          <w:color w:val="000000"/>
          <w:kern w:val="0"/>
          <w:sz w:val="32"/>
          <w:szCs w:val="32"/>
          <w:highlight w:val="none"/>
        </w:rPr>
        <w:t>%。</w:t>
      </w:r>
      <w:r>
        <w:rPr>
          <w:rFonts w:eastAsia="仿宋_GB2312"/>
          <w:b/>
          <w:snapToGrid w:val="0"/>
          <w:color w:val="auto"/>
          <w:kern w:val="0"/>
          <w:sz w:val="32"/>
          <w:szCs w:val="32"/>
          <w:highlight w:val="none"/>
        </w:rPr>
        <w:t>主要变动原因是</w:t>
      </w:r>
      <w:r>
        <w:rPr>
          <w:rFonts w:hint="eastAsia" w:eastAsia="仿宋_GB2312"/>
          <w:b/>
          <w:snapToGrid w:val="0"/>
          <w:color w:val="auto"/>
          <w:kern w:val="0"/>
          <w:sz w:val="32"/>
          <w:szCs w:val="32"/>
          <w:highlight w:val="none"/>
          <w:lang w:eastAsia="zh-CN"/>
        </w:rPr>
        <w:t>项目支出增加。</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olor w:val="000000" w:themeColor="text1"/>
          <w:sz w:val="32"/>
          <w:szCs w:val="32"/>
          <w:highlight w:val="none"/>
          <w14:textFill>
            <w14:solidFill>
              <w14:schemeClr w14:val="tx1"/>
            </w14:solidFill>
          </w14:textFill>
        </w:rPr>
      </w:pPr>
      <w:r>
        <w:rPr>
          <w:highlight w:val="none"/>
        </w:rP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sz w:val="32"/>
          <w:szCs w:val="32"/>
          <w:highlight w:val="none"/>
        </w:rPr>
      </w:pPr>
      <w:bookmarkStart w:id="29" w:name="_Toc15377211"/>
      <w:r>
        <w:rPr>
          <w:rFonts w:hint="eastAsia" w:ascii="仿宋" w:hAnsi="仿宋" w:eastAsia="仿宋"/>
          <w:b/>
          <w:color w:val="000000"/>
          <w:sz w:val="32"/>
          <w:szCs w:val="32"/>
          <w:highlight w:val="none"/>
        </w:rPr>
        <w:t>（二）一般公共预算财政拨款支出决算结构情况</w:t>
      </w:r>
      <w:bookmarkEnd w:id="29"/>
    </w:p>
    <w:p>
      <w:pPr>
        <w:spacing w:line="600" w:lineRule="exact"/>
        <w:ind w:firstLine="64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sz w:val="32"/>
          <w:szCs w:val="32"/>
          <w:highlight w:val="none"/>
        </w:rPr>
        <w:t>201</w:t>
      </w:r>
      <w:r>
        <w:rPr>
          <w:rFonts w:hint="eastAsia" w:ascii="仿宋" w:hAnsi="仿宋" w:eastAsia="仿宋"/>
          <w:color w:val="000000"/>
          <w:sz w:val="32"/>
          <w:szCs w:val="32"/>
          <w:highlight w:val="none"/>
        </w:rPr>
        <w:t>9年一般公共预算财</w:t>
      </w:r>
      <w:r>
        <w:rPr>
          <w:rFonts w:hint="eastAsia" w:ascii="仿宋" w:hAnsi="仿宋" w:eastAsia="仿宋"/>
          <w:color w:val="000000" w:themeColor="text1"/>
          <w:sz w:val="32"/>
          <w:szCs w:val="32"/>
          <w:highlight w:val="none"/>
          <w14:textFill>
            <w14:solidFill>
              <w14:schemeClr w14:val="tx1"/>
            </w14:solidFill>
          </w14:textFill>
        </w:rPr>
        <w:t>政拨款支出</w:t>
      </w:r>
      <w:r>
        <w:rPr>
          <w:rFonts w:hint="eastAsia" w:ascii="仿宋" w:hAnsi="仿宋" w:eastAsia="仿宋"/>
          <w:color w:val="000000" w:themeColor="text1"/>
          <w:sz w:val="32"/>
          <w:szCs w:val="32"/>
          <w:highlight w:val="none"/>
          <w:lang w:val="en-US" w:eastAsia="zh-CN"/>
          <w14:textFill>
            <w14:solidFill>
              <w14:schemeClr w14:val="tx1"/>
            </w14:solidFill>
          </w14:textFill>
        </w:rPr>
        <w:t>15060.47</w:t>
      </w:r>
      <w:r>
        <w:rPr>
          <w:rFonts w:hint="eastAsia" w:ascii="仿宋" w:hAnsi="仿宋" w:eastAsia="仿宋"/>
          <w:color w:val="000000" w:themeColor="text1"/>
          <w:sz w:val="32"/>
          <w:szCs w:val="32"/>
          <w:highlight w:val="none"/>
          <w14:textFill>
            <w14:solidFill>
              <w14:schemeClr w14:val="tx1"/>
            </w14:solidFill>
          </w14:textFill>
        </w:rPr>
        <w:t>万元，主要用于以下方面</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一般公共服务（类）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4208.01</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27.94</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文化旅游体育与传媒（类）支出</w:t>
      </w:r>
      <w:r>
        <w:rPr>
          <w:rFonts w:hint="eastAsia" w:ascii="仿宋" w:hAnsi="仿宋" w:eastAsia="仿宋"/>
          <w:b/>
          <w:bCs/>
          <w:color w:val="000000" w:themeColor="text1"/>
          <w:sz w:val="32"/>
          <w:szCs w:val="32"/>
          <w:highlight w:val="none"/>
          <w:lang w:val="en-US" w:eastAsia="zh-CN"/>
          <w14:textFill>
            <w14:solidFill>
              <w14:schemeClr w14:val="tx1"/>
            </w14:solidFill>
          </w14:textFill>
        </w:rPr>
        <w:t>9131.11</w:t>
      </w:r>
      <w:r>
        <w:rPr>
          <w:rFonts w:hint="eastAsia" w:ascii="仿宋" w:hAnsi="仿宋" w:eastAsia="仿宋"/>
          <w:b/>
          <w:bCs/>
          <w:color w:val="000000" w:themeColor="text1"/>
          <w:sz w:val="32"/>
          <w:szCs w:val="32"/>
          <w:highlight w:val="none"/>
          <w14:textFill>
            <w14:solidFill>
              <w14:schemeClr w14:val="tx1"/>
            </w14:solidFill>
          </w14:textFill>
        </w:rPr>
        <w:t>万元，占</w:t>
      </w:r>
      <w:r>
        <w:rPr>
          <w:rFonts w:hint="eastAsia" w:ascii="仿宋" w:hAnsi="仿宋" w:eastAsia="仿宋"/>
          <w:b/>
          <w:bCs/>
          <w:color w:val="000000" w:themeColor="text1"/>
          <w:sz w:val="32"/>
          <w:szCs w:val="32"/>
          <w:highlight w:val="none"/>
          <w:lang w:val="en-US" w:eastAsia="zh-CN"/>
          <w14:textFill>
            <w14:solidFill>
              <w14:schemeClr w14:val="tx1"/>
            </w14:solidFill>
          </w14:textFill>
        </w:rPr>
        <w:t>60.63%</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社会保障和就业（类）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val="en-US" w:eastAsia="zh-CN"/>
          <w14:textFill>
            <w14:solidFill>
              <w14:schemeClr w14:val="tx1"/>
            </w14:solidFill>
          </w14:textFill>
        </w:rPr>
        <w:t>858.3</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5.7</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卫生健康支出</w:t>
      </w:r>
      <w:r>
        <w:rPr>
          <w:rFonts w:hint="eastAsia" w:ascii="仿宋" w:hAnsi="仿宋" w:eastAsia="仿宋"/>
          <w:color w:val="000000" w:themeColor="text1"/>
          <w:sz w:val="32"/>
          <w:szCs w:val="32"/>
          <w:highlight w:val="none"/>
          <w:lang w:val="en-US" w:eastAsia="zh-CN"/>
          <w14:textFill>
            <w14:solidFill>
              <w14:schemeClr w14:val="tx1"/>
            </w14:solidFill>
          </w14:textFill>
        </w:rPr>
        <w:t>231.04</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1.53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住房保障支出</w:t>
      </w:r>
      <w:r>
        <w:rPr>
          <w:rFonts w:hint="eastAsia" w:ascii="仿宋" w:hAnsi="仿宋" w:eastAsia="仿宋"/>
          <w:color w:val="000000" w:themeColor="text1"/>
          <w:sz w:val="32"/>
          <w:szCs w:val="32"/>
          <w:highlight w:val="none"/>
          <w:lang w:val="en-US" w:eastAsia="zh-CN"/>
          <w14:textFill>
            <w14:solidFill>
              <w14:schemeClr w14:val="tx1"/>
            </w14:solidFill>
          </w14:textFill>
        </w:rPr>
        <w:t>471.1</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3.13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highlight w:val="none"/>
          <w:lang w:eastAsia="zh-CN"/>
          <w14:textFill>
            <w14:solidFill>
              <w14:schemeClr w14:val="tx1"/>
            </w14:solidFill>
          </w14:textFill>
        </w:rPr>
        <w:t>灾害防治及应急管理支出</w:t>
      </w:r>
      <w:r>
        <w:rPr>
          <w:rFonts w:hint="eastAsia" w:ascii="仿宋" w:hAnsi="仿宋" w:eastAsia="仿宋"/>
          <w:color w:val="000000" w:themeColor="text1"/>
          <w:sz w:val="32"/>
          <w:szCs w:val="32"/>
          <w:highlight w:val="none"/>
          <w:lang w:val="en-US" w:eastAsia="zh-CN"/>
          <w14:textFill>
            <w14:solidFill>
              <w14:schemeClr w14:val="tx1"/>
            </w14:solidFill>
          </w14:textFill>
        </w:rPr>
        <w:t>7.93万元，占0.05%；</w:t>
      </w:r>
      <w:r>
        <w:rPr>
          <w:rFonts w:hint="eastAsia" w:ascii="仿宋" w:hAnsi="仿宋" w:eastAsia="仿宋"/>
          <w:b/>
          <w:bCs/>
          <w:color w:val="000000" w:themeColor="text1"/>
          <w:sz w:val="32"/>
          <w:szCs w:val="32"/>
          <w:highlight w:val="none"/>
          <w:lang w:val="en-US" w:eastAsia="zh-CN"/>
          <w14:textFill>
            <w14:solidFill>
              <w14:schemeClr w14:val="tx1"/>
            </w14:solidFill>
          </w14:textFill>
        </w:rPr>
        <w:t>其他支出</w:t>
      </w:r>
      <w:r>
        <w:rPr>
          <w:rFonts w:hint="eastAsia" w:ascii="仿宋" w:hAnsi="仿宋" w:eastAsia="仿宋"/>
          <w:color w:val="000000" w:themeColor="text1"/>
          <w:sz w:val="32"/>
          <w:szCs w:val="32"/>
          <w:highlight w:val="none"/>
          <w:lang w:val="en-US" w:eastAsia="zh-CN"/>
          <w14:textFill>
            <w14:solidFill>
              <w14:schemeClr w14:val="tx1"/>
            </w14:solidFill>
          </w14:textFill>
        </w:rPr>
        <w:t>152.99万元，占1.02%</w:t>
      </w:r>
      <w:r>
        <w:rPr>
          <w:rFonts w:hint="eastAsia" w:ascii="仿宋" w:hAnsi="仿宋" w:eastAsia="仿宋"/>
          <w:color w:val="000000" w:themeColor="text1"/>
          <w:sz w:val="32"/>
          <w:szCs w:val="32"/>
          <w:highlight w:val="none"/>
          <w14:textFill>
            <w14:solidFill>
              <w14:schemeClr w14:val="tx1"/>
            </w14:solidFill>
          </w14:textFill>
        </w:rPr>
        <w:t>。</w:t>
      </w:r>
    </w:p>
    <w:p>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olor w:val="000000"/>
          <w:sz w:val="32"/>
          <w:szCs w:val="32"/>
          <w:highlight w:val="none"/>
        </w:rPr>
      </w:pPr>
      <w:r>
        <w:rPr>
          <w:highlight w:val="none"/>
        </w:rPr>
        <w:drawing>
          <wp:inline distT="0" distB="0" distL="114300" distR="114300">
            <wp:extent cx="4572000" cy="2228850"/>
            <wp:effectExtent l="5080" t="4445" r="13970" b="52705"/>
            <wp:docPr id="1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bCs w:val="0"/>
          <w:color w:val="000000"/>
          <w:sz w:val="32"/>
          <w:szCs w:val="32"/>
          <w:highlight w:val="none"/>
        </w:rPr>
      </w:pPr>
      <w:bookmarkStart w:id="30" w:name="_Toc15377212"/>
      <w:r>
        <w:rPr>
          <w:rFonts w:hint="eastAsia" w:ascii="仿宋" w:hAnsi="仿宋" w:eastAsia="仿宋"/>
          <w:b/>
          <w:bCs w:val="0"/>
          <w:color w:val="000000"/>
          <w:sz w:val="32"/>
          <w:szCs w:val="32"/>
          <w:highlight w:val="none"/>
        </w:rPr>
        <w:t>（三）一般公共预算财政拨款支出决算具体情况</w:t>
      </w:r>
      <w:bookmarkEnd w:id="30"/>
    </w:p>
    <w:p>
      <w:pPr>
        <w:overflowPunct w:val="0"/>
        <w:adjustRightInd w:val="0"/>
        <w:snapToGrid w:val="0"/>
        <w:spacing w:line="600" w:lineRule="exact"/>
        <w:ind w:firstLine="640" w:firstLineChars="200"/>
        <w:rPr>
          <w:rFonts w:ascii="仿宋" w:hAnsi="仿宋" w:eastAsia="仿宋"/>
          <w:b w:val="0"/>
          <w:bCs/>
          <w:color w:val="FF0000"/>
          <w:sz w:val="32"/>
          <w:szCs w:val="32"/>
          <w:highlight w:val="none"/>
        </w:rPr>
      </w:pPr>
      <w:bookmarkStart w:id="31" w:name="_Toc15377444"/>
      <w:bookmarkStart w:id="32" w:name="_Toc15378460"/>
      <w:bookmarkStart w:id="33" w:name="_Toc15377213"/>
      <w:r>
        <w:rPr>
          <w:rFonts w:eastAsia="仿宋_GB2312"/>
          <w:b w:val="0"/>
          <w:bCs/>
          <w:snapToGrid w:val="0"/>
          <w:color w:val="000000" w:themeColor="text1"/>
          <w:kern w:val="0"/>
          <w:sz w:val="32"/>
          <w:szCs w:val="32"/>
          <w:highlight w:val="none"/>
          <w14:textFill>
            <w14:solidFill>
              <w14:schemeClr w14:val="tx1"/>
            </w14:solidFill>
          </w14:textFill>
        </w:rPr>
        <w:t>20</w:t>
      </w:r>
      <w:r>
        <w:rPr>
          <w:rFonts w:hint="eastAsia" w:eastAsia="仿宋_GB2312"/>
          <w:b w:val="0"/>
          <w:bCs/>
          <w:snapToGrid w:val="0"/>
          <w:color w:val="000000" w:themeColor="text1"/>
          <w:kern w:val="0"/>
          <w:sz w:val="32"/>
          <w:szCs w:val="32"/>
          <w:highlight w:val="none"/>
          <w:lang w:val="en-US" w:eastAsia="zh-CN"/>
          <w14:textFill>
            <w14:solidFill>
              <w14:schemeClr w14:val="tx1"/>
            </w14:solidFill>
          </w14:textFill>
        </w:rPr>
        <w:t>20</w:t>
      </w:r>
      <w:r>
        <w:rPr>
          <w:rFonts w:eastAsia="仿宋_GB2312"/>
          <w:b w:val="0"/>
          <w:bCs/>
          <w:snapToGrid w:val="0"/>
          <w:color w:val="000000" w:themeColor="text1"/>
          <w:kern w:val="0"/>
          <w:sz w:val="32"/>
          <w:szCs w:val="32"/>
          <w:highlight w:val="none"/>
          <w14:textFill>
            <w14:solidFill>
              <w14:schemeClr w14:val="tx1"/>
            </w14:solidFill>
          </w14:textFill>
        </w:rPr>
        <w:t>年一般公共预算支出决算数为</w:t>
      </w:r>
      <w:r>
        <w:rPr>
          <w:rFonts w:hint="eastAsia" w:eastAsia="仿宋_GB2312"/>
          <w:b w:val="0"/>
          <w:bCs/>
          <w:snapToGrid w:val="0"/>
          <w:color w:val="000000" w:themeColor="text1"/>
          <w:kern w:val="0"/>
          <w:sz w:val="32"/>
          <w:szCs w:val="32"/>
          <w:highlight w:val="none"/>
          <w:lang w:val="en-US" w:eastAsia="zh-CN"/>
          <w14:textFill>
            <w14:solidFill>
              <w14:schemeClr w14:val="tx1"/>
            </w14:solidFill>
          </w14:textFill>
        </w:rPr>
        <w:t>15060.47</w:t>
      </w:r>
      <w:r>
        <w:rPr>
          <w:rFonts w:eastAsia="仿宋_GB2312"/>
          <w:b w:val="0"/>
          <w:bCs/>
          <w:snapToGrid w:val="0"/>
          <w:color w:val="000000" w:themeColor="text1"/>
          <w:kern w:val="0"/>
          <w:sz w:val="32"/>
          <w:szCs w:val="32"/>
          <w:highlight w:val="none"/>
          <w14:textFill>
            <w14:solidFill>
              <w14:schemeClr w14:val="tx1"/>
            </w14:solidFill>
          </w14:textFill>
        </w:rPr>
        <w:t>万元，</w:t>
      </w:r>
      <w:r>
        <w:rPr>
          <w:rStyle w:val="14"/>
          <w:rFonts w:eastAsia="仿宋_GB2312"/>
          <w:b w:val="0"/>
          <w:bCs/>
          <w:snapToGrid w:val="0"/>
          <w:color w:val="000000" w:themeColor="text1"/>
          <w:kern w:val="0"/>
          <w:sz w:val="32"/>
          <w:szCs w:val="32"/>
          <w:highlight w:val="none"/>
          <w14:textFill>
            <w14:solidFill>
              <w14:schemeClr w14:val="tx1"/>
            </w14:solidFill>
          </w14:textFill>
        </w:rPr>
        <w:t>完成预算</w:t>
      </w:r>
      <w:r>
        <w:rPr>
          <w:rStyle w:val="14"/>
          <w:rFonts w:hint="eastAsia" w:eastAsia="仿宋_GB2312"/>
          <w:b w:val="0"/>
          <w:bCs/>
          <w:snapToGrid w:val="0"/>
          <w:color w:val="000000" w:themeColor="text1"/>
          <w:kern w:val="0"/>
          <w:sz w:val="32"/>
          <w:szCs w:val="32"/>
          <w:highlight w:val="none"/>
          <w:lang w:val="en-US" w:eastAsia="zh-CN"/>
          <w14:textFill>
            <w14:solidFill>
              <w14:schemeClr w14:val="tx1"/>
            </w14:solidFill>
          </w14:textFill>
        </w:rPr>
        <w:t>94.18</w:t>
      </w:r>
      <w:r>
        <w:rPr>
          <w:rStyle w:val="14"/>
          <w:rFonts w:eastAsia="仿宋_GB2312"/>
          <w:b w:val="0"/>
          <w:bCs/>
          <w:snapToGrid w:val="0"/>
          <w:color w:val="000000" w:themeColor="text1"/>
          <w:kern w:val="0"/>
          <w:sz w:val="32"/>
          <w:szCs w:val="32"/>
          <w:highlight w:val="none"/>
          <w14:textFill>
            <w14:solidFill>
              <w14:schemeClr w14:val="tx1"/>
            </w14:solidFill>
          </w14:textFill>
        </w:rPr>
        <w:t>%。</w:t>
      </w:r>
      <w:r>
        <w:rPr>
          <w:rStyle w:val="14"/>
          <w:rFonts w:hint="eastAsia" w:ascii="仿宋" w:hAnsi="仿宋" w:eastAsia="仿宋"/>
          <w:b w:val="0"/>
          <w:bCs/>
          <w:color w:val="000000"/>
          <w:sz w:val="32"/>
          <w:szCs w:val="32"/>
          <w:highlight w:val="none"/>
        </w:rPr>
        <w:t>其中：</w:t>
      </w:r>
      <w:bookmarkEnd w:id="31"/>
      <w:bookmarkEnd w:id="32"/>
      <w:bookmarkEnd w:id="33"/>
    </w:p>
    <w:p>
      <w:pPr>
        <w:numPr>
          <w:ilvl w:val="0"/>
          <w:numId w:val="2"/>
        </w:numPr>
        <w:overflowPunct w:val="0"/>
        <w:adjustRightInd w:val="0"/>
        <w:snapToGrid w:val="0"/>
        <w:spacing w:line="600" w:lineRule="exact"/>
        <w:ind w:left="-10" w:leftChars="0" w:firstLine="640" w:firstLineChars="0"/>
        <w:rPr>
          <w:rFonts w:eastAsia="仿宋_GB2312"/>
          <w:b w:val="0"/>
          <w:bCs/>
          <w:snapToGrid w:val="0"/>
          <w:color w:val="000000" w:themeColor="text1"/>
          <w:kern w:val="0"/>
          <w:sz w:val="32"/>
          <w:szCs w:val="32"/>
          <w:highlight w:val="none"/>
          <w14:textFill>
            <w14:solidFill>
              <w14:schemeClr w14:val="tx1"/>
            </w14:solidFill>
          </w14:textFill>
        </w:rPr>
      </w:pPr>
      <w:r>
        <w:rPr>
          <w:rStyle w:val="14"/>
          <w:rFonts w:eastAsia="仿宋_GB2312"/>
          <w:b w:val="0"/>
          <w:bCs/>
          <w:snapToGrid w:val="0"/>
          <w:color w:val="000000"/>
          <w:kern w:val="0"/>
          <w:sz w:val="32"/>
          <w:szCs w:val="32"/>
          <w:highlight w:val="none"/>
        </w:rPr>
        <w:t>一般公共服务（类）宣传事务（款）行政运行（项）: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2778.54</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2775.52</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99.89</w:t>
      </w:r>
      <w:r>
        <w:rPr>
          <w:rFonts w:eastAsia="仿宋_GB2312"/>
          <w:b w:val="0"/>
          <w:bCs/>
          <w:snapToGrid w:val="0"/>
          <w:color w:val="000000"/>
          <w:kern w:val="0"/>
          <w:sz w:val="32"/>
          <w:szCs w:val="32"/>
          <w:highlight w:val="none"/>
        </w:rPr>
        <w:t>%</w:t>
      </w:r>
      <w:r>
        <w:rPr>
          <w:rFonts w:eastAsia="仿宋_GB2312"/>
          <w:b w:val="0"/>
          <w:bCs/>
          <w:snapToGrid w:val="0"/>
          <w:color w:val="000000" w:themeColor="text1"/>
          <w:kern w:val="0"/>
          <w:sz w:val="32"/>
          <w:szCs w:val="32"/>
          <w:highlight w:val="none"/>
          <w14:textFill>
            <w14:solidFill>
              <w14:schemeClr w14:val="tx1"/>
            </w14:solidFill>
          </w14:textFill>
        </w:rPr>
        <w:t>。</w:t>
      </w:r>
    </w:p>
    <w:p>
      <w:pPr>
        <w:numPr>
          <w:ilvl w:val="0"/>
          <w:numId w:val="2"/>
        </w:numPr>
        <w:overflowPunct w:val="0"/>
        <w:adjustRightInd w:val="0"/>
        <w:snapToGrid w:val="0"/>
        <w:spacing w:line="600" w:lineRule="exact"/>
        <w:ind w:left="-10" w:leftChars="0" w:firstLine="640" w:firstLineChars="0"/>
        <w:rPr>
          <w:rStyle w:val="14"/>
          <w:rFonts w:hint="eastAsia" w:ascii="Calibri" w:hAnsi="Calibri" w:eastAsia="仿宋_GB2312"/>
          <w:b w:val="0"/>
          <w:bCs/>
          <w:snapToGrid w:val="0"/>
          <w:color w:val="000000"/>
          <w:kern w:val="0"/>
          <w:sz w:val="32"/>
          <w:szCs w:val="32"/>
          <w:highlight w:val="none"/>
          <w:lang w:val="zh-CN"/>
        </w:rPr>
      </w:pPr>
      <w:r>
        <w:rPr>
          <w:rStyle w:val="14"/>
          <w:rFonts w:eastAsia="仿宋_GB2312"/>
          <w:b w:val="0"/>
          <w:bCs/>
          <w:snapToGrid w:val="0"/>
          <w:color w:val="000000"/>
          <w:kern w:val="0"/>
          <w:sz w:val="32"/>
          <w:szCs w:val="32"/>
          <w:highlight w:val="none"/>
        </w:rPr>
        <w:t>一般公共服务（类）宣传事务（款）一般行政管理事务（项）：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2071.1</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1426.49</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68.88</w:t>
      </w:r>
      <w:r>
        <w:rPr>
          <w:rFonts w:eastAsia="仿宋_GB2312"/>
          <w:b w:val="0"/>
          <w:bCs/>
          <w:snapToGrid w:val="0"/>
          <w:color w:val="000000"/>
          <w:kern w:val="0"/>
          <w:sz w:val="32"/>
          <w:szCs w:val="32"/>
          <w:highlight w:val="none"/>
        </w:rPr>
        <w:t>%</w:t>
      </w:r>
      <w:r>
        <w:rPr>
          <w:rFonts w:eastAsia="仿宋_GB2312"/>
          <w:b w:val="0"/>
          <w:bCs/>
          <w:snapToGrid w:val="0"/>
          <w:color w:val="000000" w:themeColor="text1"/>
          <w:kern w:val="0"/>
          <w:sz w:val="32"/>
          <w:szCs w:val="32"/>
          <w:highlight w:val="none"/>
          <w14:textFill>
            <w14:solidFill>
              <w14:schemeClr w14:val="tx1"/>
            </w14:solidFill>
          </w14:textFill>
        </w:rPr>
        <w:t>。</w:t>
      </w:r>
      <w:r>
        <w:rPr>
          <w:rStyle w:val="14"/>
          <w:rFonts w:eastAsia="仿宋_GB2312"/>
          <w:b w:val="0"/>
          <w:bCs/>
          <w:snapToGrid w:val="0"/>
          <w:color w:val="000000" w:themeColor="text1"/>
          <w:kern w:val="0"/>
          <w:sz w:val="32"/>
          <w:szCs w:val="32"/>
          <w:highlight w:val="none"/>
          <w14:textFill>
            <w14:solidFill>
              <w14:schemeClr w14:val="tx1"/>
            </w14:solidFill>
          </w14:textFill>
        </w:rPr>
        <w:t>决算数小于预算数的主要原因是</w:t>
      </w:r>
      <w:r>
        <w:rPr>
          <w:rStyle w:val="14"/>
          <w:rFonts w:hint="eastAsia" w:ascii="Calibri" w:hAnsi="Calibri" w:eastAsia="仿宋_GB2312"/>
          <w:b w:val="0"/>
          <w:bCs/>
          <w:snapToGrid w:val="0"/>
          <w:color w:val="000000"/>
          <w:kern w:val="0"/>
          <w:sz w:val="32"/>
          <w:szCs w:val="32"/>
          <w:highlight w:val="none"/>
          <w:lang w:val="zh-CN"/>
        </w:rPr>
        <w:t>落实过紧日子要求、疫情影响和政府采购项目资金按规定结转下年。</w:t>
      </w:r>
    </w:p>
    <w:p>
      <w:pPr>
        <w:numPr>
          <w:ilvl w:val="0"/>
          <w:numId w:val="2"/>
        </w:numPr>
        <w:overflowPunct w:val="0"/>
        <w:adjustRightInd w:val="0"/>
        <w:snapToGrid w:val="0"/>
        <w:spacing w:line="600" w:lineRule="exact"/>
        <w:ind w:left="-10" w:leftChars="0" w:firstLine="640" w:firstLineChars="0"/>
        <w:rPr>
          <w:rFonts w:eastAsia="仿宋_GB2312"/>
          <w:b w:val="0"/>
          <w:bCs/>
          <w:snapToGrid w:val="0"/>
          <w:kern w:val="0"/>
          <w:sz w:val="32"/>
          <w:szCs w:val="32"/>
          <w:highlight w:val="none"/>
        </w:rPr>
      </w:pPr>
      <w:r>
        <w:rPr>
          <w:rStyle w:val="14"/>
          <w:rFonts w:eastAsia="仿宋_GB2312"/>
          <w:b w:val="0"/>
          <w:bCs/>
          <w:snapToGrid w:val="0"/>
          <w:color w:val="000000"/>
          <w:kern w:val="0"/>
          <w:sz w:val="32"/>
          <w:szCs w:val="32"/>
          <w:highlight w:val="none"/>
        </w:rPr>
        <w:t>一般公共服务（类）</w:t>
      </w:r>
      <w:r>
        <w:rPr>
          <w:rStyle w:val="14"/>
          <w:rFonts w:hint="eastAsia" w:eastAsia="仿宋_GB2312"/>
          <w:b w:val="0"/>
          <w:bCs/>
          <w:snapToGrid w:val="0"/>
          <w:color w:val="000000"/>
          <w:kern w:val="0"/>
          <w:sz w:val="32"/>
          <w:szCs w:val="32"/>
          <w:highlight w:val="none"/>
          <w:lang w:eastAsia="zh-CN"/>
        </w:rPr>
        <w:t>其他一般公共服务支出</w:t>
      </w:r>
      <w:r>
        <w:rPr>
          <w:rStyle w:val="14"/>
          <w:rFonts w:eastAsia="仿宋_GB2312"/>
          <w:b w:val="0"/>
          <w:bCs/>
          <w:snapToGrid w:val="0"/>
          <w:color w:val="000000"/>
          <w:kern w:val="0"/>
          <w:sz w:val="32"/>
          <w:szCs w:val="32"/>
          <w:highlight w:val="none"/>
        </w:rPr>
        <w:t>（款）其他</w:t>
      </w:r>
      <w:r>
        <w:rPr>
          <w:rStyle w:val="14"/>
          <w:rFonts w:hint="eastAsia" w:eastAsia="仿宋_GB2312"/>
          <w:b w:val="0"/>
          <w:bCs/>
          <w:snapToGrid w:val="0"/>
          <w:color w:val="000000"/>
          <w:kern w:val="0"/>
          <w:sz w:val="32"/>
          <w:szCs w:val="32"/>
          <w:highlight w:val="none"/>
          <w:lang w:eastAsia="zh-CN"/>
        </w:rPr>
        <w:t>一般公共服务</w:t>
      </w:r>
      <w:r>
        <w:rPr>
          <w:rStyle w:val="14"/>
          <w:rFonts w:eastAsia="仿宋_GB2312"/>
          <w:b w:val="0"/>
          <w:bCs/>
          <w:snapToGrid w:val="0"/>
          <w:color w:val="000000"/>
          <w:kern w:val="0"/>
          <w:sz w:val="32"/>
          <w:szCs w:val="32"/>
          <w:highlight w:val="none"/>
        </w:rPr>
        <w:t>支出（项）</w:t>
      </w:r>
      <w:r>
        <w:rPr>
          <w:rStyle w:val="14"/>
          <w:rFonts w:hint="eastAsia" w:eastAsia="仿宋_GB2312"/>
          <w:b w:val="0"/>
          <w:bCs/>
          <w:snapToGrid w:val="0"/>
          <w:color w:val="000000"/>
          <w:kern w:val="0"/>
          <w:sz w:val="32"/>
          <w:szCs w:val="32"/>
          <w:highlight w:val="none"/>
        </w:rPr>
        <w:t>：</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6</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6</w:t>
      </w:r>
      <w:r>
        <w:rPr>
          <w:rFonts w:eastAsia="仿宋_GB2312"/>
          <w:b w:val="0"/>
          <w:bCs/>
          <w:snapToGrid w:val="0"/>
          <w:color w:val="000000"/>
          <w:kern w:val="0"/>
          <w:sz w:val="32"/>
          <w:szCs w:val="32"/>
          <w:highlight w:val="none"/>
        </w:rPr>
        <w:t>万元，完成年初预算100%</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4</w:t>
      </w:r>
      <w:r>
        <w:rPr>
          <w:rStyle w:val="14"/>
          <w:rFonts w:eastAsia="仿宋_GB2312"/>
          <w:b w:val="0"/>
          <w:bCs/>
          <w:snapToGrid w:val="0"/>
          <w:color w:val="000000"/>
          <w:kern w:val="0"/>
          <w:sz w:val="32"/>
          <w:szCs w:val="32"/>
          <w:highlight w:val="none"/>
        </w:rPr>
        <w:t>．文化体育与传媒支出（类）新闻出版</w:t>
      </w:r>
      <w:r>
        <w:rPr>
          <w:rStyle w:val="14"/>
          <w:rFonts w:hint="eastAsia" w:eastAsia="仿宋_GB2312"/>
          <w:b w:val="0"/>
          <w:bCs/>
          <w:snapToGrid w:val="0"/>
          <w:color w:val="000000"/>
          <w:kern w:val="0"/>
          <w:sz w:val="32"/>
          <w:szCs w:val="32"/>
          <w:highlight w:val="none"/>
          <w:lang w:eastAsia="zh-CN"/>
        </w:rPr>
        <w:t>电影</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一般行政管理事务（</w:t>
      </w:r>
      <w:r>
        <w:rPr>
          <w:rStyle w:val="14"/>
          <w:rFonts w:eastAsia="仿宋_GB2312"/>
          <w:b w:val="0"/>
          <w:bCs/>
          <w:snapToGrid w:val="0"/>
          <w:color w:val="000000"/>
          <w:kern w:val="0"/>
          <w:sz w:val="32"/>
          <w:szCs w:val="32"/>
          <w:highlight w:val="none"/>
        </w:rPr>
        <w:t>项）</w:t>
      </w:r>
      <w:r>
        <w:rPr>
          <w:rStyle w:val="14"/>
          <w:rFonts w:hint="eastAsia" w:eastAsia="仿宋_GB2312"/>
          <w:b w:val="0"/>
          <w:bCs/>
          <w:snapToGrid w:val="0"/>
          <w:color w:val="000000"/>
          <w:kern w:val="0"/>
          <w:sz w:val="32"/>
          <w:szCs w:val="32"/>
          <w:highlight w:val="none"/>
        </w:rPr>
        <w:t>：</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60</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60</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Style w:val="14"/>
          <w:rFonts w:hint="eastAsia" w:eastAsia="仿宋_GB2312"/>
          <w:b w:val="0"/>
          <w:bCs/>
          <w:snapToGrid w:val="0"/>
          <w:color w:val="000000"/>
          <w:kern w:val="0"/>
          <w:sz w:val="32"/>
          <w:szCs w:val="32"/>
          <w:highlight w:val="none"/>
          <w:lang w:eastAsia="zh-CN"/>
        </w:rPr>
      </w:pPr>
      <w:r>
        <w:rPr>
          <w:rFonts w:hint="eastAsia" w:eastAsia="仿宋_GB2312"/>
          <w:b w:val="0"/>
          <w:bCs/>
          <w:snapToGrid w:val="0"/>
          <w:kern w:val="0"/>
          <w:sz w:val="32"/>
          <w:szCs w:val="32"/>
          <w:highlight w:val="none"/>
          <w:lang w:val="en-US" w:eastAsia="zh-CN"/>
        </w:rPr>
        <w:t>5</w:t>
      </w:r>
      <w:r>
        <w:rPr>
          <w:rStyle w:val="14"/>
          <w:rFonts w:eastAsia="仿宋_GB2312"/>
          <w:b w:val="0"/>
          <w:bCs/>
          <w:snapToGrid w:val="0"/>
          <w:color w:val="000000"/>
          <w:kern w:val="0"/>
          <w:sz w:val="32"/>
          <w:szCs w:val="32"/>
          <w:highlight w:val="none"/>
        </w:rPr>
        <w:t>．文化体育与传媒支出（类）其他文化体育与传媒支出（款）</w:t>
      </w:r>
      <w:r>
        <w:rPr>
          <w:rStyle w:val="14"/>
          <w:rFonts w:hint="eastAsia" w:eastAsia="仿宋_GB2312"/>
          <w:b w:val="0"/>
          <w:bCs/>
          <w:snapToGrid w:val="0"/>
          <w:color w:val="000000"/>
          <w:kern w:val="0"/>
          <w:sz w:val="32"/>
          <w:szCs w:val="32"/>
          <w:highlight w:val="none"/>
          <w:lang w:eastAsia="zh-CN"/>
        </w:rPr>
        <w:t>宣传文化发展专项支出</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8556.3</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8320.33</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97.24</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r>
        <w:rPr>
          <w:rStyle w:val="14"/>
          <w:rFonts w:eastAsia="仿宋_GB2312"/>
          <w:b w:val="0"/>
          <w:bCs/>
          <w:snapToGrid w:val="0"/>
          <w:color w:val="000000"/>
          <w:kern w:val="0"/>
          <w:sz w:val="32"/>
          <w:szCs w:val="32"/>
          <w:highlight w:val="none"/>
        </w:rPr>
        <w:t>决算数小于预算数的主要原因</w:t>
      </w:r>
      <w:r>
        <w:rPr>
          <w:rStyle w:val="14"/>
          <w:rFonts w:hint="eastAsia" w:eastAsia="仿宋_GB2312"/>
          <w:b w:val="0"/>
          <w:bCs/>
          <w:snapToGrid w:val="0"/>
          <w:color w:val="000000"/>
          <w:kern w:val="0"/>
          <w:sz w:val="32"/>
          <w:szCs w:val="32"/>
          <w:highlight w:val="none"/>
          <w:lang w:eastAsia="zh-CN"/>
        </w:rPr>
        <w:t>是疫情影响。</w:t>
      </w:r>
    </w:p>
    <w:p>
      <w:pPr>
        <w:overflowPunct w:val="0"/>
        <w:adjustRightInd w:val="0"/>
        <w:snapToGrid w:val="0"/>
        <w:spacing w:line="600" w:lineRule="exact"/>
        <w:ind w:firstLine="640" w:firstLineChars="200"/>
        <w:rPr>
          <w:rStyle w:val="14"/>
          <w:rFonts w:hint="eastAsia" w:ascii="Calibri" w:hAnsi="Calibri" w:eastAsia="仿宋_GB2312"/>
          <w:b w:val="0"/>
          <w:bCs/>
          <w:snapToGrid w:val="0"/>
          <w:color w:val="000000"/>
          <w:kern w:val="0"/>
          <w:sz w:val="32"/>
          <w:szCs w:val="32"/>
          <w:highlight w:val="none"/>
          <w:lang w:val="zh-CN" w:eastAsia="zh-CN"/>
        </w:rPr>
      </w:pPr>
      <w:r>
        <w:rPr>
          <w:rFonts w:hint="eastAsia" w:eastAsia="仿宋_GB2312"/>
          <w:b w:val="0"/>
          <w:bCs/>
          <w:snapToGrid w:val="0"/>
          <w:kern w:val="0"/>
          <w:sz w:val="32"/>
          <w:szCs w:val="32"/>
          <w:highlight w:val="none"/>
          <w:lang w:val="en-US" w:eastAsia="zh-CN"/>
        </w:rPr>
        <w:t>6</w:t>
      </w:r>
      <w:r>
        <w:rPr>
          <w:rStyle w:val="14"/>
          <w:rFonts w:eastAsia="仿宋_GB2312"/>
          <w:b w:val="0"/>
          <w:bCs/>
          <w:snapToGrid w:val="0"/>
          <w:color w:val="000000"/>
          <w:kern w:val="0"/>
          <w:sz w:val="32"/>
          <w:szCs w:val="32"/>
          <w:highlight w:val="none"/>
        </w:rPr>
        <w:t>．文化体育与传媒支出（类）其他文化体育与传媒支出（款）</w:t>
      </w:r>
      <w:r>
        <w:rPr>
          <w:rStyle w:val="14"/>
          <w:rFonts w:hint="eastAsia" w:eastAsia="仿宋_GB2312"/>
          <w:b w:val="0"/>
          <w:bCs/>
          <w:snapToGrid w:val="0"/>
          <w:color w:val="000000"/>
          <w:kern w:val="0"/>
          <w:sz w:val="32"/>
          <w:szCs w:val="32"/>
          <w:highlight w:val="none"/>
          <w:lang w:eastAsia="zh-CN"/>
        </w:rPr>
        <w:t>文化产业发展专项支出</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155</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113.56</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73.26</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r>
        <w:rPr>
          <w:rStyle w:val="14"/>
          <w:rFonts w:eastAsia="仿宋_GB2312"/>
          <w:b w:val="0"/>
          <w:bCs/>
          <w:snapToGrid w:val="0"/>
          <w:color w:val="000000"/>
          <w:kern w:val="0"/>
          <w:sz w:val="32"/>
          <w:szCs w:val="32"/>
          <w:highlight w:val="none"/>
        </w:rPr>
        <w:t>决算数小于预算数的主要原因是</w:t>
      </w:r>
      <w:r>
        <w:rPr>
          <w:rStyle w:val="14"/>
          <w:rFonts w:hint="eastAsia" w:ascii="Calibri" w:hAnsi="Calibri" w:eastAsia="仿宋_GB2312"/>
          <w:b w:val="0"/>
          <w:bCs/>
          <w:snapToGrid w:val="0"/>
          <w:color w:val="000000"/>
          <w:kern w:val="0"/>
          <w:sz w:val="32"/>
          <w:szCs w:val="32"/>
          <w:highlight w:val="none"/>
          <w:lang w:val="zh-CN"/>
        </w:rPr>
        <w:t>政府采购指标结余。</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kern w:val="0"/>
          <w:sz w:val="32"/>
          <w:szCs w:val="32"/>
          <w:highlight w:val="none"/>
          <w:lang w:val="en-US" w:eastAsia="zh-CN"/>
        </w:rPr>
        <w:t>7</w:t>
      </w:r>
      <w:r>
        <w:rPr>
          <w:rStyle w:val="14"/>
          <w:rFonts w:eastAsia="仿宋_GB2312"/>
          <w:b w:val="0"/>
          <w:bCs/>
          <w:snapToGrid w:val="0"/>
          <w:color w:val="000000"/>
          <w:kern w:val="0"/>
          <w:sz w:val="32"/>
          <w:szCs w:val="32"/>
          <w:highlight w:val="none"/>
        </w:rPr>
        <w:t>．文化体育与传媒支出（类）其他文化体育与传媒支出（款）</w:t>
      </w:r>
      <w:r>
        <w:rPr>
          <w:rStyle w:val="14"/>
          <w:rFonts w:hint="eastAsia" w:eastAsia="仿宋_GB2312"/>
          <w:b w:val="0"/>
          <w:bCs/>
          <w:snapToGrid w:val="0"/>
          <w:color w:val="000000"/>
          <w:kern w:val="0"/>
          <w:sz w:val="32"/>
          <w:szCs w:val="32"/>
          <w:highlight w:val="none"/>
          <w:lang w:eastAsia="zh-CN"/>
        </w:rPr>
        <w:t>其他文化体育与传媒支出</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641.84</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637.22</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99.28</w:t>
      </w:r>
      <w:r>
        <w:rPr>
          <w:rFonts w:eastAsia="仿宋_GB2312"/>
          <w:b w:val="0"/>
          <w:bCs/>
          <w:snapToGrid w:val="0"/>
          <w:color w:val="00000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8</w:t>
      </w:r>
      <w:r>
        <w:rPr>
          <w:rStyle w:val="14"/>
          <w:rFonts w:eastAsia="仿宋_GB2312"/>
          <w:b w:val="0"/>
          <w:bCs/>
          <w:snapToGrid w:val="0"/>
          <w:color w:val="000000"/>
          <w:kern w:val="0"/>
          <w:sz w:val="32"/>
          <w:szCs w:val="32"/>
          <w:highlight w:val="none"/>
        </w:rPr>
        <w:t>．社会保障和就业支出（类）行政事业单位</w:t>
      </w:r>
      <w:r>
        <w:rPr>
          <w:rStyle w:val="14"/>
          <w:rFonts w:hint="eastAsia" w:eastAsia="仿宋_GB2312"/>
          <w:b w:val="0"/>
          <w:bCs/>
          <w:snapToGrid w:val="0"/>
          <w:color w:val="000000"/>
          <w:kern w:val="0"/>
          <w:sz w:val="32"/>
          <w:szCs w:val="32"/>
          <w:highlight w:val="none"/>
          <w:lang w:eastAsia="zh-CN"/>
        </w:rPr>
        <w:t>养老支出</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行政</w:t>
      </w:r>
      <w:r>
        <w:rPr>
          <w:rStyle w:val="14"/>
          <w:rFonts w:eastAsia="仿宋_GB2312"/>
          <w:b w:val="0"/>
          <w:bCs/>
          <w:snapToGrid w:val="0"/>
          <w:color w:val="000000"/>
          <w:kern w:val="0"/>
          <w:sz w:val="32"/>
          <w:szCs w:val="32"/>
          <w:highlight w:val="none"/>
        </w:rPr>
        <w:t>单位离休费（项）：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304.04</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303.67</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99.88</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9</w:t>
      </w:r>
      <w:r>
        <w:rPr>
          <w:rStyle w:val="14"/>
          <w:rFonts w:eastAsia="仿宋_GB2312"/>
          <w:b w:val="0"/>
          <w:bCs/>
          <w:snapToGrid w:val="0"/>
          <w:color w:val="000000"/>
          <w:kern w:val="0"/>
          <w:sz w:val="32"/>
          <w:szCs w:val="32"/>
          <w:highlight w:val="none"/>
        </w:rPr>
        <w:t>．社会保障和就业支出（类）行政事业单位</w:t>
      </w:r>
      <w:r>
        <w:rPr>
          <w:rStyle w:val="14"/>
          <w:rFonts w:hint="eastAsia" w:eastAsia="仿宋_GB2312"/>
          <w:b w:val="0"/>
          <w:bCs/>
          <w:snapToGrid w:val="0"/>
          <w:color w:val="000000"/>
          <w:kern w:val="0"/>
          <w:sz w:val="32"/>
          <w:szCs w:val="32"/>
          <w:highlight w:val="none"/>
          <w:lang w:eastAsia="zh-CN"/>
        </w:rPr>
        <w:t>养老支出</w:t>
      </w:r>
      <w:r>
        <w:rPr>
          <w:rStyle w:val="14"/>
          <w:rFonts w:eastAsia="仿宋_GB2312"/>
          <w:b w:val="0"/>
          <w:bCs/>
          <w:snapToGrid w:val="0"/>
          <w:color w:val="000000"/>
          <w:kern w:val="0"/>
          <w:sz w:val="32"/>
          <w:szCs w:val="32"/>
          <w:highlight w:val="none"/>
        </w:rPr>
        <w:t>（款）事业单位离休费（项）：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123.58</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123.58</w:t>
      </w:r>
      <w:r>
        <w:rPr>
          <w:rFonts w:eastAsia="仿宋_GB2312"/>
          <w:b w:val="0"/>
          <w:bCs/>
          <w:snapToGrid w:val="0"/>
          <w:color w:val="000000"/>
          <w:kern w:val="0"/>
          <w:sz w:val="32"/>
          <w:szCs w:val="32"/>
          <w:highlight w:val="none"/>
        </w:rPr>
        <w:t>万元，完成年初预算100%</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color w:val="000000"/>
          <w:kern w:val="0"/>
          <w:sz w:val="32"/>
          <w:szCs w:val="32"/>
          <w:highlight w:val="none"/>
          <w:lang w:val="en-US" w:eastAsia="zh-CN"/>
        </w:rPr>
        <w:t>10</w:t>
      </w:r>
      <w:r>
        <w:rPr>
          <w:rStyle w:val="14"/>
          <w:rFonts w:eastAsia="仿宋_GB2312"/>
          <w:b w:val="0"/>
          <w:bCs/>
          <w:snapToGrid w:val="0"/>
          <w:color w:val="000000"/>
          <w:kern w:val="0"/>
          <w:sz w:val="32"/>
          <w:szCs w:val="32"/>
          <w:highlight w:val="none"/>
        </w:rPr>
        <w:t>．社会保障和就业支出（类）行政事业单位</w:t>
      </w:r>
      <w:r>
        <w:rPr>
          <w:rStyle w:val="14"/>
          <w:rFonts w:hint="eastAsia" w:eastAsia="仿宋_GB2312"/>
          <w:b w:val="0"/>
          <w:bCs/>
          <w:snapToGrid w:val="0"/>
          <w:color w:val="000000"/>
          <w:kern w:val="0"/>
          <w:sz w:val="32"/>
          <w:szCs w:val="32"/>
          <w:highlight w:val="none"/>
          <w:lang w:eastAsia="zh-CN"/>
        </w:rPr>
        <w:t>养老支出</w:t>
      </w:r>
      <w:r>
        <w:rPr>
          <w:rStyle w:val="14"/>
          <w:rFonts w:eastAsia="仿宋_GB2312"/>
          <w:b w:val="0"/>
          <w:bCs/>
          <w:snapToGrid w:val="0"/>
          <w:color w:val="000000"/>
          <w:kern w:val="0"/>
          <w:sz w:val="32"/>
          <w:szCs w:val="32"/>
          <w:highlight w:val="none"/>
        </w:rPr>
        <w:t>（款）机关事业单位基本养老保险缴费支出（项）：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232.28</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232.28</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color w:val="000000"/>
          <w:kern w:val="0"/>
          <w:sz w:val="32"/>
          <w:szCs w:val="32"/>
          <w:highlight w:val="none"/>
          <w:lang w:val="en-US" w:eastAsia="zh-CN"/>
        </w:rPr>
        <w:t>11</w:t>
      </w:r>
      <w:r>
        <w:rPr>
          <w:rStyle w:val="14"/>
          <w:rFonts w:eastAsia="仿宋_GB2312"/>
          <w:b w:val="0"/>
          <w:bCs/>
          <w:snapToGrid w:val="0"/>
          <w:color w:val="000000"/>
          <w:kern w:val="0"/>
          <w:sz w:val="32"/>
          <w:szCs w:val="32"/>
          <w:highlight w:val="none"/>
        </w:rPr>
        <w:t>．社会保障和就业支出（类）行政事业单位</w:t>
      </w:r>
      <w:r>
        <w:rPr>
          <w:rStyle w:val="14"/>
          <w:rFonts w:hint="eastAsia" w:eastAsia="仿宋_GB2312"/>
          <w:b w:val="0"/>
          <w:bCs/>
          <w:snapToGrid w:val="0"/>
          <w:color w:val="000000"/>
          <w:kern w:val="0"/>
          <w:sz w:val="32"/>
          <w:szCs w:val="32"/>
          <w:highlight w:val="none"/>
          <w:lang w:eastAsia="zh-CN"/>
        </w:rPr>
        <w:t>养老支出</w:t>
      </w:r>
      <w:r>
        <w:rPr>
          <w:rStyle w:val="14"/>
          <w:rFonts w:eastAsia="仿宋_GB2312"/>
          <w:b w:val="0"/>
          <w:bCs/>
          <w:snapToGrid w:val="0"/>
          <w:color w:val="000000"/>
          <w:kern w:val="0"/>
          <w:sz w:val="32"/>
          <w:szCs w:val="32"/>
          <w:highlight w:val="none"/>
        </w:rPr>
        <w:t>（款）机关事业单位职业年金缴费支出（项）：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12.42</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12.42</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12</w:t>
      </w:r>
      <w:r>
        <w:rPr>
          <w:rStyle w:val="14"/>
          <w:rFonts w:eastAsia="仿宋_GB2312"/>
          <w:b w:val="0"/>
          <w:bCs/>
          <w:snapToGrid w:val="0"/>
          <w:color w:val="000000"/>
          <w:kern w:val="0"/>
          <w:sz w:val="32"/>
          <w:szCs w:val="32"/>
          <w:highlight w:val="none"/>
        </w:rPr>
        <w:t>．社会保障和就业支出（类）抚恤（款）死亡抚恤（项）：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37.66</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37.63</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99.92</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13</w:t>
      </w:r>
      <w:r>
        <w:rPr>
          <w:rStyle w:val="14"/>
          <w:rFonts w:eastAsia="仿宋_GB2312"/>
          <w:b w:val="0"/>
          <w:bCs/>
          <w:snapToGrid w:val="0"/>
          <w:color w:val="000000"/>
          <w:kern w:val="0"/>
          <w:sz w:val="32"/>
          <w:szCs w:val="32"/>
          <w:highlight w:val="none"/>
        </w:rPr>
        <w:t>．社会保障和就业支出（类）其他社会保障和就业支出（款）其他社会保障和就业支出（项）：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148.78</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148.72</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99.96</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hint="eastAsia" w:eastAsia="仿宋_GB2312"/>
          <w:b w:val="0"/>
          <w:bCs/>
          <w:snapToGrid w:val="0"/>
          <w:kern w:val="0"/>
          <w:sz w:val="32"/>
          <w:szCs w:val="32"/>
          <w:highlight w:val="none"/>
          <w:lang w:eastAsia="zh-CN"/>
        </w:rPr>
      </w:pPr>
      <w:r>
        <w:rPr>
          <w:rFonts w:hint="eastAsia" w:eastAsia="仿宋_GB2312"/>
          <w:b w:val="0"/>
          <w:bCs/>
          <w:snapToGrid w:val="0"/>
          <w:kern w:val="0"/>
          <w:sz w:val="32"/>
          <w:szCs w:val="32"/>
          <w:highlight w:val="none"/>
          <w:lang w:val="en-US" w:eastAsia="zh-CN"/>
        </w:rPr>
        <w:t>14</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公共卫生</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重大公共卫生</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10</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9.58</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95.8</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15</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行政事业单位医疗</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行政单位医疗</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180.61</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180.61</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16</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行政事业单位医疗</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事业单位医疗</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28.38</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28.38</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17</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行政事业单位医疗</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公务员医疗补助</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40.85</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40.85</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kern w:val="0"/>
          <w:sz w:val="32"/>
          <w:szCs w:val="32"/>
          <w:highlight w:val="none"/>
          <w:lang w:val="en-US" w:eastAsia="zh-CN"/>
        </w:rPr>
        <w:t>18</w:t>
      </w:r>
      <w:r>
        <w:rPr>
          <w:rStyle w:val="14"/>
          <w:rFonts w:eastAsia="仿宋_GB2312"/>
          <w:b w:val="0"/>
          <w:bCs/>
          <w:snapToGrid w:val="0"/>
          <w:color w:val="000000"/>
          <w:kern w:val="0"/>
          <w:sz w:val="32"/>
          <w:szCs w:val="32"/>
          <w:highlight w:val="none"/>
        </w:rPr>
        <w:t>．住房保障支出（类）住房改革支出（款）住房公积金（项）：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240.92</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240.92</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19</w:t>
      </w:r>
      <w:r>
        <w:rPr>
          <w:rStyle w:val="14"/>
          <w:rFonts w:eastAsia="仿宋_GB2312"/>
          <w:b w:val="0"/>
          <w:bCs/>
          <w:snapToGrid w:val="0"/>
          <w:color w:val="000000"/>
          <w:kern w:val="0"/>
          <w:sz w:val="32"/>
          <w:szCs w:val="32"/>
          <w:highlight w:val="none"/>
        </w:rPr>
        <w:t>．住房保障支出（类）住房改革支出（款）购房补贴（项）：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230.18</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230.18</w:t>
      </w:r>
      <w:r>
        <w:rPr>
          <w:rFonts w:eastAsia="仿宋_GB2312"/>
          <w:b w:val="0"/>
          <w:bCs/>
          <w:snapToGrid w:val="0"/>
          <w:color w:val="000000"/>
          <w:kern w:val="0"/>
          <w:sz w:val="32"/>
          <w:szCs w:val="32"/>
          <w:highlight w:val="none"/>
        </w:rPr>
        <w:t>万元，完成年初预算100%</w:t>
      </w:r>
      <w:r>
        <w:rPr>
          <w:rFonts w:eastAsia="仿宋_GB2312"/>
          <w:b w:val="0"/>
          <w:bCs/>
          <w:snapToGrid w:val="0"/>
          <w:kern w:val="0"/>
          <w:sz w:val="32"/>
          <w:szCs w:val="32"/>
          <w:highlight w:val="none"/>
        </w:rPr>
        <w:t>。</w:t>
      </w:r>
    </w:p>
    <w:p>
      <w:pPr>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20</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灾害防治及应急管理</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应急管理事务</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其他应急管理支出</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8</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7.93</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99.1</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spacing w:line="600" w:lineRule="exact"/>
        <w:ind w:firstLine="640" w:firstLineChars="200"/>
        <w:rPr>
          <w:rFonts w:hint="default" w:ascii="仿宋" w:hAnsi="仿宋" w:eastAsia="仿宋_GB2312"/>
          <w:b w:val="0"/>
          <w:bCs/>
          <w:color w:val="000000"/>
          <w:sz w:val="32"/>
          <w:szCs w:val="32"/>
          <w:highlight w:val="none"/>
          <w:lang w:val="en-US" w:eastAsia="zh-CN"/>
        </w:rPr>
      </w:pPr>
      <w:r>
        <w:rPr>
          <w:rFonts w:hint="eastAsia" w:eastAsia="仿宋_GB2312"/>
          <w:b w:val="0"/>
          <w:bCs/>
          <w:snapToGrid w:val="0"/>
          <w:kern w:val="0"/>
          <w:sz w:val="32"/>
          <w:szCs w:val="32"/>
          <w:highlight w:val="none"/>
          <w:lang w:val="en-US" w:eastAsia="zh-CN"/>
        </w:rPr>
        <w:t>21</w:t>
      </w:r>
      <w:r>
        <w:rPr>
          <w:rStyle w:val="14"/>
          <w:rFonts w:eastAsia="仿宋_GB2312"/>
          <w:b w:val="0"/>
          <w:bCs/>
          <w:snapToGrid w:val="0"/>
          <w:color w:val="000000"/>
          <w:kern w:val="0"/>
          <w:sz w:val="32"/>
          <w:szCs w:val="32"/>
          <w:highlight w:val="none"/>
        </w:rPr>
        <w:t>．其他支出（类）其他支出（款）其他支出（项）：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152.99</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152.99</w:t>
      </w:r>
      <w:r>
        <w:rPr>
          <w:rFonts w:eastAsia="仿宋_GB2312"/>
          <w:b w:val="0"/>
          <w:bCs/>
          <w:snapToGrid w:val="0"/>
          <w:color w:val="000000"/>
          <w:kern w:val="0"/>
          <w:sz w:val="32"/>
          <w:szCs w:val="32"/>
          <w:highlight w:val="none"/>
        </w:rPr>
        <w:t>万</w:t>
      </w:r>
      <w:r>
        <w:rPr>
          <w:rFonts w:hint="eastAsia" w:eastAsia="仿宋_GB2312"/>
          <w:b w:val="0"/>
          <w:bCs/>
          <w:snapToGrid w:val="0"/>
          <w:color w:val="000000"/>
          <w:kern w:val="0"/>
          <w:sz w:val="32"/>
          <w:szCs w:val="32"/>
          <w:highlight w:val="none"/>
          <w:lang w:eastAsia="zh-CN"/>
        </w:rPr>
        <w:t>元，完成年初预算</w:t>
      </w:r>
      <w:r>
        <w:rPr>
          <w:rFonts w:hint="eastAsia" w:eastAsia="仿宋_GB2312"/>
          <w:b w:val="0"/>
          <w:bCs/>
          <w:snapToGrid w:val="0"/>
          <w:color w:val="000000"/>
          <w:kern w:val="0"/>
          <w:sz w:val="32"/>
          <w:szCs w:val="32"/>
          <w:highlight w:val="none"/>
          <w:lang w:val="en-US" w:eastAsia="zh-CN"/>
        </w:rPr>
        <w:t>100%。</w:t>
      </w:r>
    </w:p>
    <w:p>
      <w:pPr>
        <w:tabs>
          <w:tab w:val="right" w:pos="8306"/>
        </w:tabs>
        <w:spacing w:line="600" w:lineRule="exact"/>
        <w:ind w:firstLine="640"/>
        <w:outlineLvl w:val="1"/>
        <w:rPr>
          <w:rStyle w:val="25"/>
          <w:highlight w:val="none"/>
        </w:rPr>
      </w:pPr>
      <w:bookmarkStart w:id="34" w:name="_Toc15377214"/>
      <w:bookmarkStart w:id="35" w:name="_Toc15396608"/>
      <w:r>
        <w:rPr>
          <w:rFonts w:hint="eastAsia" w:ascii="黑体" w:eastAsia="黑体"/>
          <w:color w:val="000000"/>
          <w:sz w:val="32"/>
          <w:szCs w:val="32"/>
          <w:highlight w:val="none"/>
        </w:rPr>
        <w:t>六</w:t>
      </w:r>
      <w:r>
        <w:rPr>
          <w:rFonts w:hint="eastAsia" w:ascii="黑体" w:eastAsia="黑体"/>
          <w:b/>
          <w:color w:val="000000"/>
          <w:sz w:val="32"/>
          <w:szCs w:val="32"/>
          <w:highlight w:val="none"/>
        </w:rPr>
        <w:t>、</w:t>
      </w:r>
      <w:r>
        <w:rPr>
          <w:rFonts w:hint="eastAsia" w:ascii="黑体" w:hAnsi="黑体" w:eastAsia="黑体"/>
          <w:b/>
          <w:color w:val="000000"/>
          <w:sz w:val="32"/>
          <w:szCs w:val="32"/>
          <w:highlight w:val="none"/>
        </w:rPr>
        <w:t>一</w:t>
      </w:r>
      <w:r>
        <w:rPr>
          <w:rStyle w:val="25"/>
          <w:rFonts w:hint="eastAsia" w:ascii="黑体" w:hAnsi="黑体" w:eastAsia="黑体"/>
          <w:b w:val="0"/>
          <w:highlight w:val="none"/>
        </w:rPr>
        <w:t>般公共预算财政拨款基本支出决算情况说明</w:t>
      </w:r>
      <w:bookmarkEnd w:id="34"/>
      <w:bookmarkEnd w:id="35"/>
      <w:r>
        <w:rPr>
          <w:rStyle w:val="25"/>
          <w:rFonts w:ascii="黑体" w:hAnsi="黑体" w:eastAsia="黑体"/>
          <w:b w:val="0"/>
          <w:highlight w:val="none"/>
        </w:rPr>
        <w:tab/>
      </w:r>
    </w:p>
    <w:p>
      <w:pPr>
        <w:spacing w:line="600" w:lineRule="exact"/>
        <w:ind w:firstLine="645"/>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20</w:t>
      </w:r>
      <w:r>
        <w:rPr>
          <w:rFonts w:hint="eastAsia" w:ascii="方正仿宋_GB2312" w:hAnsi="方正仿宋_GB2312" w:eastAsia="方正仿宋_GB2312" w:cs="方正仿宋_GB2312"/>
          <w:color w:val="000000"/>
          <w:sz w:val="32"/>
          <w:szCs w:val="32"/>
          <w:highlight w:val="none"/>
          <w:lang w:val="en-US" w:eastAsia="zh-CN"/>
        </w:rPr>
        <w:t>20</w:t>
      </w:r>
      <w:r>
        <w:rPr>
          <w:rFonts w:hint="eastAsia" w:ascii="方正仿宋_GB2312" w:hAnsi="方正仿宋_GB2312" w:eastAsia="方正仿宋_GB2312" w:cs="方正仿宋_GB2312"/>
          <w:color w:val="000000"/>
          <w:sz w:val="32"/>
          <w:szCs w:val="32"/>
          <w:highlight w:val="none"/>
        </w:rPr>
        <w:t>年一般公共预算财政拨款基本支出</w:t>
      </w:r>
      <w:r>
        <w:rPr>
          <w:rFonts w:hint="eastAsia" w:ascii="方正仿宋_GB2312" w:hAnsi="方正仿宋_GB2312" w:eastAsia="方正仿宋_GB2312" w:cs="方正仿宋_GB2312"/>
          <w:color w:val="000000"/>
          <w:sz w:val="32"/>
          <w:szCs w:val="32"/>
          <w:highlight w:val="none"/>
          <w:lang w:val="en-US" w:eastAsia="zh-CN"/>
        </w:rPr>
        <w:t>5395.27</w:t>
      </w:r>
      <w:r>
        <w:rPr>
          <w:rFonts w:hint="eastAsia" w:ascii="方正仿宋_GB2312" w:hAnsi="方正仿宋_GB2312" w:eastAsia="方正仿宋_GB2312" w:cs="方正仿宋_GB2312"/>
          <w:color w:val="000000"/>
          <w:sz w:val="32"/>
          <w:szCs w:val="32"/>
          <w:highlight w:val="none"/>
        </w:rPr>
        <w:t>万元，其中：</w:t>
      </w:r>
    </w:p>
    <w:p>
      <w:pPr>
        <w:spacing w:line="600" w:lineRule="exact"/>
        <w:ind w:firstLine="645"/>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人员经费</w:t>
      </w:r>
      <w:r>
        <w:rPr>
          <w:rFonts w:hint="eastAsia" w:ascii="方正仿宋_GB2312" w:hAnsi="方正仿宋_GB2312" w:eastAsia="方正仿宋_GB2312" w:cs="方正仿宋_GB2312"/>
          <w:color w:val="000000"/>
          <w:sz w:val="32"/>
          <w:szCs w:val="32"/>
          <w:highlight w:val="none"/>
          <w:lang w:val="en-US" w:eastAsia="zh-CN"/>
        </w:rPr>
        <w:t>3796.46</w:t>
      </w:r>
      <w:r>
        <w:rPr>
          <w:rFonts w:hint="eastAsia" w:ascii="方正仿宋_GB2312" w:hAnsi="方正仿宋_GB2312" w:eastAsia="方正仿宋_GB2312" w:cs="方正仿宋_GB2312"/>
          <w:color w:val="000000"/>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方正仿宋_GB2312" w:hAnsi="方正仿宋_GB2312" w:eastAsia="方正仿宋_GB2312" w:cs="方正仿宋_GB2312"/>
          <w:color w:val="000000"/>
          <w:sz w:val="32"/>
          <w:szCs w:val="32"/>
          <w:highlight w:val="none"/>
        </w:rPr>
        <w:br w:type="textWrapping"/>
      </w:r>
      <w:r>
        <w:rPr>
          <w:rFonts w:hint="eastAsia" w:ascii="方正仿宋_GB2312" w:hAnsi="方正仿宋_GB2312" w:eastAsia="方正仿宋_GB2312" w:cs="方正仿宋_GB2312"/>
          <w:color w:val="000000"/>
          <w:sz w:val="32"/>
          <w:szCs w:val="32"/>
          <w:highlight w:val="none"/>
        </w:rPr>
        <w:t>　　日常公用经费</w:t>
      </w:r>
      <w:r>
        <w:rPr>
          <w:rFonts w:hint="eastAsia" w:ascii="方正仿宋_GB2312" w:hAnsi="方正仿宋_GB2312" w:eastAsia="方正仿宋_GB2312" w:cs="方正仿宋_GB2312"/>
          <w:color w:val="000000"/>
          <w:sz w:val="32"/>
          <w:szCs w:val="32"/>
          <w:highlight w:val="none"/>
          <w:lang w:val="en-US" w:eastAsia="zh-CN"/>
        </w:rPr>
        <w:t>1598.81</w:t>
      </w:r>
      <w:r>
        <w:rPr>
          <w:rFonts w:hint="eastAsia" w:ascii="方正仿宋_GB2312" w:hAnsi="方正仿宋_GB2312" w:eastAsia="方正仿宋_GB2312" w:cs="方正仿宋_GB2312"/>
          <w:color w:val="000000"/>
          <w:sz w:val="32"/>
          <w:szCs w:val="32"/>
          <w:highlight w:val="none"/>
        </w:rPr>
        <w:t>万元，主要包括：办公费、印刷费、咨询费、手续费、水费、电费、邮电费、取暖费、物业管理费、差旅费、维修（护）费、租赁费、会议费、培训费、公务接待费、劳务费、委托业务费、工会经费、福利费、公务用车运行维护费、其他交通费、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highlight w:val="none"/>
        </w:rPr>
      </w:pPr>
      <w:bookmarkStart w:id="36" w:name="_Toc15396609"/>
      <w:bookmarkStart w:id="37" w:name="_Toc15377215"/>
      <w:r>
        <w:rPr>
          <w:rFonts w:hint="eastAsia" w:ascii="黑体" w:eastAsia="黑体"/>
          <w:color w:val="000000"/>
          <w:sz w:val="32"/>
          <w:szCs w:val="32"/>
          <w:highlight w:val="none"/>
        </w:rPr>
        <w:t>七、</w:t>
      </w:r>
      <w:r>
        <w:rPr>
          <w:rStyle w:val="25"/>
          <w:rFonts w:hint="eastAsia" w:ascii="黑体" w:hAnsi="黑体" w:eastAsia="黑体"/>
          <w:highlight w:val="none"/>
        </w:rPr>
        <w:t>“</w:t>
      </w:r>
      <w:r>
        <w:rPr>
          <w:rStyle w:val="25"/>
          <w:rFonts w:hint="eastAsia" w:ascii="黑体" w:hAnsi="黑体" w:eastAsia="黑体"/>
          <w:b w:val="0"/>
          <w:highlight w:val="none"/>
        </w:rPr>
        <w:t>三公”经费财政拨款支出决算情况说明</w:t>
      </w:r>
      <w:bookmarkEnd w:id="36"/>
      <w:bookmarkEnd w:id="37"/>
    </w:p>
    <w:p>
      <w:pPr>
        <w:spacing w:line="600" w:lineRule="exact"/>
        <w:ind w:firstLine="640"/>
        <w:outlineLvl w:val="2"/>
        <w:rPr>
          <w:rFonts w:ascii="仿宋" w:hAnsi="仿宋" w:eastAsia="仿宋"/>
          <w:b/>
          <w:color w:val="000000"/>
          <w:sz w:val="32"/>
          <w:szCs w:val="32"/>
          <w:highlight w:val="none"/>
        </w:rPr>
      </w:pPr>
      <w:bookmarkStart w:id="38" w:name="_Toc15377216"/>
      <w:r>
        <w:rPr>
          <w:rFonts w:hint="eastAsia" w:ascii="仿宋" w:hAnsi="仿宋" w:eastAsia="仿宋"/>
          <w:b/>
          <w:color w:val="000000"/>
          <w:sz w:val="32"/>
          <w:szCs w:val="32"/>
          <w:highlight w:val="none"/>
        </w:rPr>
        <w:t>（一）“三公”经费财政拨款支出决算总体情况说明</w:t>
      </w:r>
      <w:bookmarkEnd w:id="38"/>
    </w:p>
    <w:p>
      <w:pPr>
        <w:spacing w:line="600" w:lineRule="exact"/>
        <w:ind w:firstLine="640"/>
        <w:rPr>
          <w:rFonts w:ascii="仿宋" w:hAnsi="仿宋" w:eastAsia="仿宋"/>
          <w:color w:val="000000"/>
          <w:sz w:val="32"/>
          <w:szCs w:val="32"/>
          <w:highlight w:val="none"/>
        </w:rPr>
      </w:pP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20</w:t>
      </w:r>
      <w:r>
        <w:rPr>
          <w:rFonts w:hint="eastAsia" w:ascii="仿宋" w:hAnsi="仿宋" w:eastAsia="仿宋"/>
          <w:color w:val="000000"/>
          <w:sz w:val="32"/>
          <w:szCs w:val="32"/>
          <w:highlight w:val="none"/>
        </w:rPr>
        <w:t>年“三公”经费财政拨款支出决算为</w:t>
      </w:r>
      <w:r>
        <w:rPr>
          <w:rFonts w:hint="eastAsia" w:ascii="仿宋" w:hAnsi="仿宋" w:eastAsia="仿宋"/>
          <w:color w:val="000000"/>
          <w:sz w:val="32"/>
          <w:szCs w:val="32"/>
          <w:highlight w:val="none"/>
          <w:lang w:val="en-US" w:eastAsia="zh-CN"/>
        </w:rPr>
        <w:t>55.05</w:t>
      </w:r>
      <w:r>
        <w:rPr>
          <w:rFonts w:hint="eastAsia" w:ascii="仿宋" w:hAnsi="仿宋" w:eastAsia="仿宋"/>
          <w:color w:val="000000"/>
          <w:sz w:val="32"/>
          <w:szCs w:val="32"/>
          <w:highlight w:val="none"/>
        </w:rPr>
        <w:t>万元，完成预算</w:t>
      </w:r>
      <w:r>
        <w:rPr>
          <w:rFonts w:hint="eastAsia" w:ascii="仿宋" w:hAnsi="仿宋" w:eastAsia="仿宋"/>
          <w:color w:val="000000"/>
          <w:sz w:val="32"/>
          <w:szCs w:val="32"/>
          <w:highlight w:val="none"/>
          <w:lang w:val="en-US" w:eastAsia="zh-CN"/>
        </w:rPr>
        <w:t>26.83</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，决算数小于预算数的主要原因是</w:t>
      </w:r>
      <w:r>
        <w:rPr>
          <w:rFonts w:hint="eastAsia" w:ascii="仿宋" w:hAnsi="仿宋" w:eastAsia="仿宋"/>
          <w:color w:val="000000"/>
          <w:sz w:val="32"/>
          <w:szCs w:val="32"/>
          <w:highlight w:val="none"/>
          <w:lang w:val="en-US" w:eastAsia="zh-CN"/>
        </w:rPr>
        <w:t>受疫情影响，一是全年无因公出国（境）支出；二是减少公务接待次数和</w:t>
      </w:r>
      <w:r>
        <w:rPr>
          <w:rFonts w:hint="eastAsia" w:ascii="仿宋" w:hAnsi="仿宋" w:eastAsia="仿宋"/>
          <w:color w:val="000000"/>
          <w:sz w:val="32"/>
          <w:szCs w:val="32"/>
          <w:highlight w:val="none"/>
          <w:lang w:eastAsia="zh-CN"/>
        </w:rPr>
        <w:t>人次。</w:t>
      </w:r>
    </w:p>
    <w:p>
      <w:pPr>
        <w:spacing w:line="600" w:lineRule="exact"/>
        <w:ind w:firstLine="640"/>
        <w:outlineLvl w:val="2"/>
        <w:rPr>
          <w:rFonts w:ascii="仿宋" w:hAnsi="仿宋" w:eastAsia="仿宋"/>
          <w:b/>
          <w:color w:val="000000"/>
          <w:sz w:val="32"/>
          <w:szCs w:val="32"/>
          <w:highlight w:val="none"/>
        </w:rPr>
      </w:pPr>
      <w:bookmarkStart w:id="39" w:name="_Toc15377217"/>
      <w:r>
        <w:rPr>
          <w:rFonts w:hint="eastAsia" w:ascii="仿宋" w:hAnsi="仿宋" w:eastAsia="仿宋"/>
          <w:b/>
          <w:color w:val="000000"/>
          <w:sz w:val="32"/>
          <w:szCs w:val="32"/>
          <w:highlight w:val="none"/>
        </w:rPr>
        <w:t>（二）“三公”经费财政拨款支出决算具体情况说明</w:t>
      </w:r>
      <w:bookmarkEnd w:id="39"/>
    </w:p>
    <w:p>
      <w:pPr>
        <w:spacing w:line="600" w:lineRule="exact"/>
        <w:ind w:firstLine="640"/>
        <w:rPr>
          <w:rFonts w:ascii="仿宋" w:hAnsi="仿宋" w:eastAsia="仿宋"/>
          <w:color w:val="000000"/>
          <w:sz w:val="32"/>
          <w:szCs w:val="32"/>
          <w:highlight w:val="none"/>
        </w:rPr>
      </w:pP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20</w:t>
      </w:r>
      <w:r>
        <w:rPr>
          <w:rFonts w:hint="eastAsia" w:ascii="仿宋" w:hAnsi="仿宋" w:eastAsia="仿宋"/>
          <w:color w:val="000000"/>
          <w:sz w:val="32"/>
          <w:szCs w:val="32"/>
          <w:highlight w:val="none"/>
        </w:rPr>
        <w:t>年“三公”经费财政拨款支出决算中，</w:t>
      </w:r>
      <w:r>
        <w:rPr>
          <w:rFonts w:hint="eastAsia" w:ascii="仿宋" w:hAnsi="仿宋" w:eastAsia="仿宋"/>
          <w:color w:val="000000"/>
          <w:sz w:val="32"/>
          <w:szCs w:val="32"/>
          <w:highlight w:val="none"/>
          <w:lang w:eastAsia="zh-CN"/>
        </w:rPr>
        <w:t>无</w:t>
      </w:r>
      <w:r>
        <w:rPr>
          <w:rFonts w:hint="eastAsia" w:ascii="仿宋" w:hAnsi="仿宋" w:eastAsia="仿宋"/>
          <w:color w:val="000000"/>
          <w:sz w:val="32"/>
          <w:szCs w:val="32"/>
          <w:highlight w:val="none"/>
        </w:rPr>
        <w:t>因公出国（境）费支出；公务用车购置及运行维护费支出决算</w:t>
      </w:r>
      <w:r>
        <w:rPr>
          <w:rFonts w:hint="eastAsia" w:ascii="仿宋" w:hAnsi="仿宋" w:eastAsia="仿宋"/>
          <w:color w:val="000000"/>
          <w:sz w:val="32"/>
          <w:szCs w:val="32"/>
          <w:highlight w:val="none"/>
          <w:lang w:val="en-US" w:eastAsia="zh-CN"/>
        </w:rPr>
        <w:t>45.2</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82.11</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；公务接待费支出决算</w:t>
      </w:r>
      <w:r>
        <w:rPr>
          <w:rFonts w:hint="eastAsia" w:ascii="仿宋" w:hAnsi="仿宋" w:eastAsia="仿宋"/>
          <w:color w:val="000000"/>
          <w:sz w:val="32"/>
          <w:szCs w:val="32"/>
          <w:highlight w:val="none"/>
          <w:lang w:val="en-US" w:eastAsia="zh-CN"/>
        </w:rPr>
        <w:t>9.85</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17.89</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。具体情况如下：</w:t>
      </w:r>
    </w:p>
    <w:p>
      <w:pPr>
        <w:spacing w:line="600" w:lineRule="exact"/>
        <w:ind w:firstLine="64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color w:val="000000"/>
          <w:sz w:val="32"/>
          <w:szCs w:val="32"/>
          <w:highlight w:val="none"/>
        </w:rPr>
      </w:pPr>
      <w:r>
        <w:drawing>
          <wp:inline distT="0" distB="0" distL="114300" distR="114300">
            <wp:extent cx="4572000" cy="3343275"/>
            <wp:effectExtent l="4445" t="4445" r="14605" b="62230"/>
            <wp:docPr id="1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3"/>
        </w:numPr>
        <w:spacing w:line="600" w:lineRule="exact"/>
        <w:ind w:firstLine="643" w:firstLineChars="200"/>
        <w:rPr>
          <w:rFonts w:hint="eastAsia" w:ascii="仿宋_GB2312" w:eastAsia="仿宋_GB2312"/>
          <w:color w:val="000000"/>
          <w:sz w:val="32"/>
          <w:szCs w:val="32"/>
          <w:highlight w:val="none"/>
          <w:lang w:eastAsia="zh-CN"/>
        </w:rPr>
      </w:pPr>
      <w:r>
        <w:rPr>
          <w:rFonts w:hint="eastAsia" w:ascii="仿宋_GB2312" w:eastAsia="仿宋_GB2312"/>
          <w:b/>
          <w:color w:val="000000"/>
          <w:sz w:val="32"/>
          <w:szCs w:val="32"/>
          <w:highlight w:val="none"/>
        </w:rPr>
        <w:t>公务用车购置及运行维护费支出</w:t>
      </w:r>
      <w:r>
        <w:rPr>
          <w:rFonts w:hint="eastAsia" w:ascii="仿宋_GB2312" w:eastAsia="仿宋_GB2312"/>
          <w:color w:val="000000"/>
          <w:sz w:val="32"/>
          <w:szCs w:val="32"/>
          <w:highlight w:val="none"/>
          <w:lang w:val="en-US" w:eastAsia="zh-CN"/>
        </w:rPr>
        <w:t>45.02</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年中追加</w:t>
      </w:r>
      <w:r>
        <w:rPr>
          <w:rFonts w:hint="eastAsia" w:ascii="仿宋_GB2312" w:eastAsia="仿宋_GB2312"/>
          <w:color w:val="000000"/>
          <w:sz w:val="32"/>
          <w:szCs w:val="32"/>
          <w:highlight w:val="none"/>
          <w:lang w:val="en-US" w:eastAsia="zh-CN"/>
        </w:rPr>
        <w:t>6万元，</w:t>
      </w:r>
      <w:r>
        <w:rPr>
          <w:rStyle w:val="14"/>
          <w:rFonts w:hint="eastAsia" w:ascii="仿宋" w:hAnsi="仿宋" w:eastAsia="仿宋"/>
          <w:b w:val="0"/>
          <w:bCs/>
          <w:color w:val="000000"/>
          <w:sz w:val="32"/>
          <w:szCs w:val="32"/>
          <w:highlight w:val="none"/>
        </w:rPr>
        <w:t>完成预算</w:t>
      </w:r>
      <w:r>
        <w:rPr>
          <w:rStyle w:val="14"/>
          <w:rFonts w:hint="eastAsia" w:ascii="仿宋" w:hAnsi="仿宋" w:eastAsia="仿宋"/>
          <w:b w:val="0"/>
          <w:bCs/>
          <w:color w:val="000000"/>
          <w:sz w:val="32"/>
          <w:szCs w:val="32"/>
          <w:highlight w:val="none"/>
          <w:lang w:val="en-US" w:eastAsia="zh-CN"/>
        </w:rPr>
        <w:t>100</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rPr>
        <w:t>。</w:t>
      </w:r>
      <w:r>
        <w:rPr>
          <w:rFonts w:hint="eastAsia" w:ascii="仿宋_GB2312" w:eastAsia="仿宋_GB2312"/>
          <w:color w:val="000000"/>
          <w:sz w:val="32"/>
          <w:szCs w:val="32"/>
          <w:highlight w:val="none"/>
        </w:rPr>
        <w:t>公务用车购置及运行维护费支出决算比</w:t>
      </w:r>
      <w:r>
        <w:rPr>
          <w:rFonts w:ascii="仿宋_GB2312" w:eastAsia="仿宋_GB2312"/>
          <w:color w:val="000000"/>
          <w:sz w:val="32"/>
          <w:szCs w:val="32"/>
          <w:highlight w:val="none"/>
        </w:rPr>
        <w:t>201</w:t>
      </w:r>
      <w:r>
        <w:rPr>
          <w:rFonts w:hint="eastAsia" w:ascii="仿宋_GB2312" w:eastAsia="仿宋_GB2312"/>
          <w:color w:val="000000"/>
          <w:sz w:val="32"/>
          <w:szCs w:val="32"/>
          <w:highlight w:val="none"/>
          <w:lang w:val="en-US" w:eastAsia="zh-CN"/>
        </w:rPr>
        <w:t>9</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增加</w:t>
      </w:r>
      <w:r>
        <w:rPr>
          <w:rFonts w:hint="eastAsia" w:ascii="仿宋_GB2312" w:eastAsia="仿宋_GB2312"/>
          <w:color w:val="000000"/>
          <w:sz w:val="32"/>
          <w:szCs w:val="32"/>
          <w:highlight w:val="none"/>
          <w:lang w:val="en-US" w:eastAsia="zh-CN"/>
        </w:rPr>
        <w:t>3.16</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增长</w:t>
      </w:r>
      <w:r>
        <w:rPr>
          <w:rFonts w:hint="eastAsia" w:ascii="仿宋_GB2312" w:eastAsia="仿宋_GB2312"/>
          <w:color w:val="000000"/>
          <w:sz w:val="32"/>
          <w:szCs w:val="32"/>
          <w:highlight w:val="none"/>
          <w:lang w:val="en-US" w:eastAsia="zh-CN"/>
        </w:rPr>
        <w:t>7.55</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。主要原因是</w:t>
      </w:r>
      <w:r>
        <w:rPr>
          <w:rFonts w:hint="eastAsia" w:ascii="仿宋_GB2312" w:eastAsia="仿宋_GB2312"/>
          <w:color w:val="000000"/>
          <w:sz w:val="32"/>
          <w:szCs w:val="32"/>
          <w:highlight w:val="none"/>
          <w:lang w:eastAsia="zh-CN"/>
        </w:rPr>
        <w:t>年中追加经费列支。</w:t>
      </w:r>
    </w:p>
    <w:p>
      <w:pPr>
        <w:numPr>
          <w:ilvl w:val="0"/>
          <w:numId w:val="0"/>
        </w:numPr>
        <w:spacing w:line="600" w:lineRule="exact"/>
        <w:ind w:firstLine="643" w:firstLineChars="200"/>
        <w:rPr>
          <w:rFonts w:hint="default" w:ascii="仿宋_GB2312" w:eastAsia="仿宋_GB2312"/>
          <w:color w:val="000000"/>
          <w:sz w:val="32"/>
          <w:szCs w:val="32"/>
          <w:highlight w:val="none"/>
          <w:lang w:val="en-US" w:eastAsia="zh-CN"/>
        </w:rPr>
      </w:pPr>
      <w:r>
        <w:rPr>
          <w:rFonts w:eastAsia="仿宋_GB2312"/>
          <w:b/>
          <w:snapToGrid w:val="0"/>
          <w:color w:val="000000"/>
          <w:kern w:val="0"/>
          <w:sz w:val="32"/>
          <w:szCs w:val="32"/>
          <w:highlight w:val="none"/>
        </w:rPr>
        <w:t>其中：公务用车购置支出0万元。</w:t>
      </w:r>
      <w:r>
        <w:rPr>
          <w:rFonts w:hint="eastAsia" w:ascii="仿宋_GB2312" w:eastAsia="仿宋_GB2312"/>
          <w:color w:val="000000"/>
          <w:sz w:val="32"/>
          <w:szCs w:val="32"/>
          <w:highlight w:val="none"/>
        </w:rPr>
        <w:t>截至</w:t>
      </w:r>
      <w:r>
        <w:rPr>
          <w:rFonts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20</w:t>
      </w:r>
      <w:r>
        <w:rPr>
          <w:rFonts w:hint="eastAsia" w:ascii="仿宋_GB2312" w:eastAsia="仿宋_GB2312"/>
          <w:color w:val="000000"/>
          <w:sz w:val="32"/>
          <w:szCs w:val="32"/>
          <w:highlight w:val="none"/>
        </w:rPr>
        <w:t>年</w:t>
      </w:r>
      <w:r>
        <w:rPr>
          <w:rFonts w:ascii="仿宋_GB2312" w:eastAsia="仿宋_GB2312"/>
          <w:color w:val="000000"/>
          <w:sz w:val="32"/>
          <w:szCs w:val="32"/>
          <w:highlight w:val="none"/>
        </w:rPr>
        <w:t>12</w:t>
      </w:r>
      <w:r>
        <w:rPr>
          <w:rFonts w:hint="eastAsia" w:ascii="仿宋_GB2312" w:eastAsia="仿宋_GB2312"/>
          <w:color w:val="000000"/>
          <w:sz w:val="32"/>
          <w:szCs w:val="32"/>
          <w:highlight w:val="none"/>
        </w:rPr>
        <w:t>月底，单位共有公务用车</w:t>
      </w:r>
      <w:r>
        <w:rPr>
          <w:rFonts w:hint="eastAsia" w:ascii="仿宋_GB2312" w:eastAsia="仿宋_GB2312"/>
          <w:color w:val="000000"/>
          <w:sz w:val="32"/>
          <w:szCs w:val="32"/>
          <w:highlight w:val="none"/>
          <w:lang w:val="en-US" w:eastAsia="zh-CN"/>
        </w:rPr>
        <w:t>11</w:t>
      </w:r>
      <w:r>
        <w:rPr>
          <w:rFonts w:hint="eastAsia" w:ascii="仿宋_GB2312" w:eastAsia="仿宋_GB2312"/>
          <w:color w:val="000000"/>
          <w:sz w:val="32"/>
          <w:szCs w:val="32"/>
          <w:highlight w:val="none"/>
        </w:rPr>
        <w:t>辆，其中：</w:t>
      </w:r>
      <w:r>
        <w:rPr>
          <w:rFonts w:hint="eastAsia" w:ascii="仿宋_GB2312" w:eastAsia="仿宋_GB2312"/>
          <w:color w:val="000000"/>
          <w:sz w:val="32"/>
          <w:szCs w:val="32"/>
          <w:highlight w:val="none"/>
          <w:lang w:eastAsia="zh-CN"/>
        </w:rPr>
        <w:t>副部（省）级及以上领导用车</w:t>
      </w:r>
      <w:r>
        <w:rPr>
          <w:rFonts w:hint="eastAsia" w:ascii="仿宋_GB2312" w:eastAsia="仿宋_GB2312"/>
          <w:color w:val="000000"/>
          <w:sz w:val="32"/>
          <w:szCs w:val="32"/>
          <w:highlight w:val="none"/>
          <w:lang w:val="en-US" w:eastAsia="zh-CN"/>
        </w:rPr>
        <w:t>1辆、</w:t>
      </w:r>
      <w:r>
        <w:rPr>
          <w:rFonts w:hint="eastAsia" w:ascii="仿宋_GB2312" w:eastAsia="仿宋_GB2312"/>
          <w:color w:val="000000"/>
          <w:sz w:val="32"/>
          <w:szCs w:val="32"/>
          <w:highlight w:val="none"/>
        </w:rPr>
        <w:t>主要领导干部用车</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辆、机要通信用车</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辆、应急保障用车</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 xml:space="preserve">辆、 </w:t>
      </w:r>
      <w:r>
        <w:rPr>
          <w:rFonts w:hint="eastAsia" w:ascii="仿宋_GB2312" w:eastAsia="仿宋_GB2312"/>
          <w:color w:val="000000"/>
          <w:sz w:val="32"/>
          <w:szCs w:val="32"/>
          <w:highlight w:val="none"/>
          <w:lang w:eastAsia="zh-CN"/>
        </w:rPr>
        <w:t>离退休干部</w:t>
      </w:r>
      <w:r>
        <w:rPr>
          <w:rFonts w:hint="eastAsia" w:ascii="仿宋_GB2312" w:eastAsia="仿宋_GB2312"/>
          <w:color w:val="000000"/>
          <w:sz w:val="32"/>
          <w:szCs w:val="32"/>
          <w:highlight w:val="none"/>
        </w:rPr>
        <w:t>用车</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eastAsia="zh-CN"/>
        </w:rPr>
        <w:t>、其他用车</w:t>
      </w:r>
      <w:r>
        <w:rPr>
          <w:rFonts w:hint="eastAsia" w:ascii="仿宋_GB2312" w:eastAsia="仿宋_GB2312"/>
          <w:color w:val="000000"/>
          <w:sz w:val="32"/>
          <w:szCs w:val="32"/>
          <w:highlight w:val="none"/>
          <w:lang w:val="en-US" w:eastAsia="zh-CN"/>
        </w:rPr>
        <w:t>4辆。</w:t>
      </w:r>
    </w:p>
    <w:p>
      <w:pPr>
        <w:spacing w:line="600" w:lineRule="exact"/>
        <w:ind w:firstLine="640"/>
        <w:rPr>
          <w:rFonts w:hint="eastAsia" w:ascii="仿宋_GB2312" w:eastAsia="仿宋_GB2312"/>
          <w:color w:val="000000"/>
          <w:sz w:val="32"/>
          <w:szCs w:val="32"/>
          <w:highlight w:val="none"/>
        </w:rPr>
      </w:pPr>
      <w:r>
        <w:rPr>
          <w:rFonts w:hint="eastAsia" w:ascii="仿宋_GB2312" w:eastAsia="仿宋_GB2312"/>
          <w:b/>
          <w:color w:val="000000"/>
          <w:sz w:val="32"/>
          <w:szCs w:val="32"/>
          <w:highlight w:val="none"/>
        </w:rPr>
        <w:t>公务用车运行维护费支出</w:t>
      </w:r>
      <w:r>
        <w:rPr>
          <w:rFonts w:hint="eastAsia" w:ascii="仿宋_GB2312" w:eastAsia="仿宋_GB2312"/>
          <w:color w:val="000000"/>
          <w:sz w:val="32"/>
          <w:szCs w:val="32"/>
          <w:highlight w:val="none"/>
          <w:lang w:val="en-US" w:eastAsia="zh-CN"/>
        </w:rPr>
        <w:t>45.2</w:t>
      </w:r>
      <w:r>
        <w:rPr>
          <w:rFonts w:hint="eastAsia" w:ascii="仿宋_GB2312" w:eastAsia="仿宋_GB2312"/>
          <w:color w:val="000000"/>
          <w:sz w:val="32"/>
          <w:szCs w:val="32"/>
          <w:highlight w:val="none"/>
        </w:rPr>
        <w:t>万元。主要用于参加抢险救灾、处置突发事件，参加重要会议活动，办理涉及保密、机要通信等公务，前往基层开展重要调研，执行重要公务接待任务等所需的公务用车燃料费、维修保养费、过路过桥费、保险费等支出。</w:t>
      </w:r>
    </w:p>
    <w:p>
      <w:pPr>
        <w:spacing w:line="600" w:lineRule="exact"/>
        <w:ind w:firstLine="64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b/>
          <w:color w:val="000000"/>
          <w:sz w:val="32"/>
          <w:szCs w:val="32"/>
          <w:highlight w:val="none"/>
          <w:lang w:val="en-US" w:eastAsia="zh-CN"/>
        </w:rPr>
        <w:t>2</w:t>
      </w:r>
      <w:r>
        <w:rPr>
          <w:rFonts w:ascii="仿宋_GB2312" w:eastAsia="仿宋_GB2312"/>
          <w:b/>
          <w:color w:val="000000"/>
          <w:sz w:val="32"/>
          <w:szCs w:val="32"/>
          <w:highlight w:val="none"/>
        </w:rPr>
        <w:t>.</w:t>
      </w:r>
      <w:r>
        <w:rPr>
          <w:rFonts w:hint="eastAsia" w:ascii="仿宋_GB2312" w:eastAsia="仿宋_GB2312"/>
          <w:b/>
          <w:color w:val="000000"/>
          <w:sz w:val="32"/>
          <w:szCs w:val="32"/>
          <w:highlight w:val="none"/>
        </w:rPr>
        <w:t>公务接待费支出</w:t>
      </w:r>
      <w:r>
        <w:rPr>
          <w:rFonts w:hint="eastAsia" w:ascii="仿宋_GB2312" w:eastAsia="仿宋_GB2312"/>
          <w:color w:val="000000"/>
          <w:sz w:val="32"/>
          <w:szCs w:val="32"/>
          <w:highlight w:val="none"/>
          <w:lang w:val="en-US" w:eastAsia="zh-CN"/>
        </w:rPr>
        <w:t>9.85</w:t>
      </w:r>
      <w:r>
        <w:rPr>
          <w:rFonts w:hint="eastAsia" w:ascii="仿宋_GB2312" w:eastAsia="仿宋_GB2312"/>
          <w:color w:val="000000"/>
          <w:sz w:val="32"/>
          <w:szCs w:val="32"/>
          <w:highlight w:val="none"/>
        </w:rPr>
        <w:t>万元，</w:t>
      </w:r>
      <w:r>
        <w:rPr>
          <w:rStyle w:val="14"/>
          <w:rFonts w:hint="eastAsia" w:ascii="仿宋" w:hAnsi="仿宋" w:eastAsia="仿宋"/>
          <w:b w:val="0"/>
          <w:bCs/>
          <w:color w:val="000000"/>
          <w:sz w:val="32"/>
          <w:szCs w:val="32"/>
          <w:highlight w:val="none"/>
        </w:rPr>
        <w:t>完成预算</w:t>
      </w:r>
      <w:r>
        <w:rPr>
          <w:rStyle w:val="14"/>
          <w:rFonts w:hint="eastAsia" w:ascii="仿宋" w:hAnsi="仿宋" w:eastAsia="仿宋"/>
          <w:b w:val="0"/>
          <w:bCs/>
          <w:color w:val="000000"/>
          <w:sz w:val="32"/>
          <w:szCs w:val="32"/>
          <w:highlight w:val="none"/>
          <w:lang w:val="en-US" w:eastAsia="zh-CN"/>
        </w:rPr>
        <w:t>17.59</w:t>
      </w:r>
      <w:r>
        <w:rPr>
          <w:rStyle w:val="14"/>
          <w:rFonts w:ascii="仿宋" w:hAnsi="仿宋" w:eastAsia="仿宋"/>
          <w:b w:val="0"/>
          <w:bCs/>
          <w:color w:val="000000"/>
          <w:sz w:val="32"/>
          <w:szCs w:val="32"/>
          <w:highlight w:val="none"/>
        </w:rPr>
        <w:t>%</w:t>
      </w:r>
      <w:r>
        <w:rPr>
          <w:rStyle w:val="14"/>
          <w:rFonts w:hint="eastAsia" w:ascii="仿宋" w:hAnsi="仿宋" w:eastAsia="仿宋"/>
          <w:b w:val="0"/>
          <w:bCs/>
          <w:color w:val="000000"/>
          <w:sz w:val="32"/>
          <w:szCs w:val="32"/>
          <w:highlight w:val="none"/>
          <w:lang w:eastAsia="zh-CN"/>
        </w:rPr>
        <w:t>，全部为国内公务接待费。</w:t>
      </w:r>
      <w:r>
        <w:rPr>
          <w:rFonts w:hint="eastAsia" w:ascii="仿宋_GB2312" w:eastAsia="仿宋_GB2312"/>
          <w:color w:val="000000"/>
          <w:sz w:val="32"/>
          <w:szCs w:val="32"/>
          <w:highlight w:val="none"/>
        </w:rPr>
        <w:t>公务接待费支出决算比</w:t>
      </w:r>
      <w:r>
        <w:rPr>
          <w:rFonts w:ascii="仿宋_GB2312" w:eastAsia="仿宋_GB2312"/>
          <w:color w:val="000000"/>
          <w:sz w:val="32"/>
          <w:szCs w:val="32"/>
          <w:highlight w:val="none"/>
        </w:rPr>
        <w:t>201</w:t>
      </w:r>
      <w:r>
        <w:rPr>
          <w:rFonts w:hint="eastAsia" w:ascii="仿宋_GB2312" w:eastAsia="仿宋_GB2312"/>
          <w:color w:val="000000"/>
          <w:sz w:val="32"/>
          <w:szCs w:val="32"/>
          <w:highlight w:val="none"/>
          <w:lang w:val="en-US" w:eastAsia="zh-CN"/>
        </w:rPr>
        <w:t>9</w:t>
      </w:r>
      <w:r>
        <w:rPr>
          <w:rFonts w:hint="eastAsia" w:ascii="仿宋_GB2312" w:eastAsia="仿宋_GB2312"/>
          <w:color w:val="000000"/>
          <w:sz w:val="32"/>
          <w:szCs w:val="32"/>
          <w:highlight w:val="none"/>
        </w:rPr>
        <w:t>年减少</w:t>
      </w:r>
      <w:r>
        <w:rPr>
          <w:rFonts w:hint="eastAsia" w:ascii="仿宋_GB2312" w:eastAsia="仿宋_GB2312"/>
          <w:color w:val="000000"/>
          <w:sz w:val="32"/>
          <w:szCs w:val="32"/>
          <w:highlight w:val="none"/>
          <w:lang w:val="en-US" w:eastAsia="zh-CN"/>
        </w:rPr>
        <w:t>37.38</w:t>
      </w:r>
      <w:r>
        <w:rPr>
          <w:rFonts w:hint="eastAsia" w:ascii="仿宋_GB2312" w:eastAsia="仿宋_GB2312"/>
          <w:color w:val="000000"/>
          <w:sz w:val="32"/>
          <w:szCs w:val="32"/>
          <w:highlight w:val="none"/>
        </w:rPr>
        <w:t>万元，下降</w:t>
      </w:r>
      <w:r>
        <w:rPr>
          <w:rFonts w:hint="eastAsia" w:ascii="仿宋_GB2312" w:eastAsia="仿宋_GB2312"/>
          <w:color w:val="000000"/>
          <w:sz w:val="32"/>
          <w:szCs w:val="32"/>
          <w:highlight w:val="none"/>
          <w:lang w:val="en-US" w:eastAsia="zh-CN"/>
        </w:rPr>
        <w:t>79.14</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。主要原因是</w:t>
      </w:r>
      <w:r>
        <w:rPr>
          <w:rFonts w:hint="eastAsia" w:ascii="仿宋_GB2312" w:eastAsia="仿宋_GB2312"/>
          <w:color w:val="000000"/>
          <w:sz w:val="32"/>
          <w:szCs w:val="32"/>
          <w:highlight w:val="none"/>
          <w:lang w:val="en-US" w:eastAsia="zh-CN"/>
        </w:rPr>
        <w:t>2020年受疫情影响，减少公务接待人次</w:t>
      </w:r>
      <w:r>
        <w:rPr>
          <w:rFonts w:hint="eastAsia" w:asci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其中：</w:t>
      </w:r>
    </w:p>
    <w:p>
      <w:pPr>
        <w:spacing w:line="600" w:lineRule="exact"/>
        <w:ind w:firstLine="640"/>
        <w:rPr>
          <w:rFonts w:ascii="仿宋_GB2312" w:eastAsia="仿宋_GB2312"/>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国内公务接待支出</w:t>
      </w:r>
      <w:r>
        <w:rPr>
          <w:rFonts w:hint="eastAsia" w:ascii="仿宋" w:hAnsi="仿宋" w:eastAsia="仿宋"/>
          <w:color w:val="000000" w:themeColor="text1"/>
          <w:sz w:val="32"/>
          <w:szCs w:val="32"/>
          <w:highlight w:val="none"/>
          <w:lang w:val="en-US" w:eastAsia="zh-CN"/>
          <w14:textFill>
            <w14:solidFill>
              <w14:schemeClr w14:val="tx1"/>
            </w14:solidFill>
          </w14:textFill>
        </w:rPr>
        <w:t>9.85</w:t>
      </w:r>
      <w:r>
        <w:rPr>
          <w:rFonts w:hint="eastAsia" w:ascii="仿宋_GB2312" w:eastAsia="仿宋_GB2312"/>
          <w:color w:val="000000" w:themeColor="text1"/>
          <w:sz w:val="32"/>
          <w:szCs w:val="32"/>
          <w:highlight w:val="none"/>
          <w14:textFill>
            <w14:solidFill>
              <w14:schemeClr w14:val="tx1"/>
            </w14:solidFill>
          </w14:textFill>
        </w:rPr>
        <w:t>万元，</w:t>
      </w:r>
      <w:r>
        <w:rPr>
          <w:rFonts w:hint="eastAsia" w:ascii="仿宋_GB2312" w:eastAsia="仿宋_GB2312"/>
          <w:color w:val="000000" w:themeColor="text1"/>
          <w:sz w:val="32"/>
          <w:szCs w:val="32"/>
          <w:highlight w:val="none"/>
          <w:lang w:val="en-US" w:eastAsia="zh-CN"/>
          <w14:textFill>
            <w14:solidFill>
              <w14:schemeClr w14:val="tx1"/>
            </w14:solidFill>
          </w14:textFill>
        </w:rPr>
        <w:t>主要用于接待考察调研、执行公务、学习交流、检查指导等产生的交通费、住宿费、用餐费等。</w:t>
      </w:r>
      <w:r>
        <w:rPr>
          <w:rFonts w:hint="eastAsia" w:ascii="仿宋_GB2312" w:eastAsia="仿宋_GB2312"/>
          <w:color w:val="000000" w:themeColor="text1"/>
          <w:sz w:val="32"/>
          <w:szCs w:val="32"/>
          <w:highlight w:val="none"/>
          <w14:textFill>
            <w14:solidFill>
              <w14:schemeClr w14:val="tx1"/>
            </w14:solidFill>
          </w14:textFill>
        </w:rPr>
        <w:t>国内公务接待</w:t>
      </w:r>
      <w:r>
        <w:rPr>
          <w:rFonts w:hint="eastAsia" w:ascii="仿宋_GB2312" w:eastAsia="仿宋_GB2312"/>
          <w:color w:val="000000" w:themeColor="text1"/>
          <w:sz w:val="32"/>
          <w:szCs w:val="32"/>
          <w:highlight w:val="none"/>
          <w:lang w:val="en-US" w:eastAsia="zh-CN"/>
          <w14:textFill>
            <w14:solidFill>
              <w14:schemeClr w14:val="tx1"/>
            </w14:solidFill>
          </w14:textFill>
        </w:rPr>
        <w:t>25</w:t>
      </w:r>
      <w:r>
        <w:rPr>
          <w:rFonts w:hint="eastAsia" w:ascii="仿宋_GB2312" w:eastAsia="仿宋_GB2312"/>
          <w:color w:val="000000" w:themeColor="text1"/>
          <w:sz w:val="32"/>
          <w:szCs w:val="32"/>
          <w:highlight w:val="none"/>
          <w14:textFill>
            <w14:solidFill>
              <w14:schemeClr w14:val="tx1"/>
            </w14:solidFill>
          </w14:textFill>
        </w:rPr>
        <w:t>批次，</w:t>
      </w:r>
      <w:r>
        <w:rPr>
          <w:rFonts w:hint="eastAsia" w:ascii="仿宋_GB2312" w:eastAsia="仿宋_GB2312"/>
          <w:color w:val="000000" w:themeColor="text1"/>
          <w:sz w:val="32"/>
          <w:szCs w:val="32"/>
          <w:highlight w:val="none"/>
          <w:lang w:val="en-US" w:eastAsia="zh-CN"/>
          <w14:textFill>
            <w14:solidFill>
              <w14:schemeClr w14:val="tx1"/>
            </w14:solidFill>
          </w14:textFill>
        </w:rPr>
        <w:t>137</w:t>
      </w:r>
      <w:r>
        <w:rPr>
          <w:rFonts w:hint="eastAsia" w:ascii="仿宋_GB2312" w:eastAsia="仿宋_GB2312"/>
          <w:color w:val="000000" w:themeColor="text1"/>
          <w:sz w:val="32"/>
          <w:szCs w:val="32"/>
          <w:highlight w:val="none"/>
          <w14:textFill>
            <w14:solidFill>
              <w14:schemeClr w14:val="tx1"/>
            </w14:solidFill>
          </w14:textFill>
        </w:rPr>
        <w:t>人次（不包括陪同人员），共计支出</w:t>
      </w:r>
      <w:r>
        <w:rPr>
          <w:rFonts w:hint="eastAsia" w:ascii="仿宋_GB2312" w:eastAsia="仿宋_GB2312"/>
          <w:color w:val="000000" w:themeColor="text1"/>
          <w:sz w:val="32"/>
          <w:szCs w:val="32"/>
          <w:highlight w:val="none"/>
          <w:lang w:val="en-US" w:eastAsia="zh-CN"/>
          <w14:textFill>
            <w14:solidFill>
              <w14:schemeClr w14:val="tx1"/>
            </w14:solidFill>
          </w14:textFill>
        </w:rPr>
        <w:t>9.85</w:t>
      </w:r>
      <w:r>
        <w:rPr>
          <w:rFonts w:hint="eastAsia" w:ascii="仿宋_GB2312" w:eastAsia="仿宋_GB2312"/>
          <w:color w:val="000000" w:themeColor="text1"/>
          <w:sz w:val="32"/>
          <w:szCs w:val="32"/>
          <w:highlight w:val="none"/>
          <w14:textFill>
            <w14:solidFill>
              <w14:schemeClr w14:val="tx1"/>
            </w14:solidFill>
          </w14:textFill>
        </w:rPr>
        <w:t>万元</w:t>
      </w:r>
      <w:r>
        <w:rPr>
          <w:rFonts w:hint="eastAsia" w:ascii="仿宋_GB2312" w:eastAsia="仿宋_GB2312"/>
          <w:color w:val="000000" w:themeColor="text1"/>
          <w:sz w:val="32"/>
          <w:szCs w:val="32"/>
          <w:highlight w:val="none"/>
          <w:lang w:eastAsia="zh-CN"/>
          <w14:textFill>
            <w14:solidFill>
              <w14:schemeClr w14:val="tx1"/>
            </w14:solidFill>
          </w14:textFill>
        </w:rPr>
        <w:t>。</w:t>
      </w:r>
    </w:p>
    <w:p>
      <w:pPr>
        <w:ind w:firstLine="643" w:firstLineChars="200"/>
        <w:rPr>
          <w:rFonts w:hint="eastAsia" w:ascii="黑体" w:eastAsia="黑体"/>
          <w:color w:val="000000"/>
          <w:sz w:val="32"/>
          <w:szCs w:val="32"/>
          <w:highlight w:val="none"/>
        </w:rPr>
      </w:pPr>
      <w:r>
        <w:rPr>
          <w:rFonts w:hint="eastAsia" w:ascii="仿宋" w:hAnsi="仿宋" w:eastAsia="仿宋"/>
          <w:b/>
          <w:color w:val="000000" w:themeColor="text1"/>
          <w:sz w:val="32"/>
          <w:szCs w:val="32"/>
          <w:highlight w:val="none"/>
          <w:shd w:val="clear" w:color="auto" w:fill="auto"/>
          <w:lang w:eastAsia="zh-CN"/>
          <w14:textFill>
            <w14:solidFill>
              <w14:schemeClr w14:val="tx1"/>
            </w14:solidFill>
          </w14:textFill>
        </w:rPr>
        <w:t>无</w:t>
      </w:r>
      <w:r>
        <w:rPr>
          <w:rFonts w:hint="eastAsia" w:ascii="仿宋" w:hAnsi="仿宋" w:eastAsia="仿宋"/>
          <w:b/>
          <w:color w:val="000000" w:themeColor="text1"/>
          <w:sz w:val="32"/>
          <w:szCs w:val="32"/>
          <w:highlight w:val="none"/>
          <w:shd w:val="clear" w:color="auto" w:fill="auto"/>
          <w14:textFill>
            <w14:solidFill>
              <w14:schemeClr w14:val="tx1"/>
            </w14:solidFill>
          </w14:textFill>
        </w:rPr>
        <w:t>外事接待支出</w:t>
      </w:r>
      <w:bookmarkStart w:id="40" w:name="_Toc15377218"/>
      <w:bookmarkStart w:id="41" w:name="_Toc15396610"/>
      <w:r>
        <w:rPr>
          <w:rFonts w:hint="eastAsia" w:ascii="仿宋_GB2312" w:eastAsia="仿宋_GB2312"/>
          <w:color w:val="000000" w:themeColor="text1"/>
          <w:sz w:val="32"/>
          <w:szCs w:val="32"/>
          <w:highlight w:val="none"/>
          <w:shd w:val="clear" w:color="auto" w:fill="auto"/>
          <w14:textFill>
            <w14:solidFill>
              <w14:schemeClr w14:val="tx1"/>
            </w14:solidFill>
          </w14:textFill>
        </w:rPr>
        <w:t>。</w:t>
      </w:r>
    </w:p>
    <w:p>
      <w:pPr>
        <w:spacing w:line="600" w:lineRule="exact"/>
        <w:ind w:firstLine="640"/>
        <w:outlineLvl w:val="1"/>
        <w:rPr>
          <w:rStyle w:val="25"/>
          <w:rFonts w:ascii="黑体" w:hAnsi="黑体" w:eastAsia="黑体"/>
          <w:highlight w:val="none"/>
        </w:rPr>
      </w:pPr>
      <w:r>
        <w:rPr>
          <w:rFonts w:hint="eastAsia" w:ascii="黑体" w:eastAsia="黑体"/>
          <w:color w:val="000000"/>
          <w:sz w:val="32"/>
          <w:szCs w:val="32"/>
          <w:highlight w:val="none"/>
        </w:rPr>
        <w:t>八、</w:t>
      </w:r>
      <w:r>
        <w:rPr>
          <w:rStyle w:val="25"/>
          <w:rFonts w:hint="eastAsia" w:ascii="黑体" w:hAnsi="黑体" w:eastAsia="黑体"/>
          <w:b w:val="0"/>
          <w:highlight w:val="none"/>
        </w:rPr>
        <w:t>政府性基金预算支出决算情况说明</w:t>
      </w:r>
      <w:bookmarkEnd w:id="40"/>
      <w:bookmarkEnd w:id="41"/>
    </w:p>
    <w:p>
      <w:pPr>
        <w:spacing w:line="600" w:lineRule="exact"/>
        <w:ind w:firstLine="64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省委宣传部</w:t>
      </w:r>
      <w:r>
        <w:rPr>
          <w:rFonts w:hint="eastAsia" w:ascii="仿宋_GB2312" w:eastAsia="仿宋_GB2312"/>
          <w:color w:val="auto"/>
          <w:sz w:val="32"/>
          <w:szCs w:val="32"/>
          <w:highlight w:val="none"/>
        </w:rPr>
        <w:t>政府性基金预算拨款支出</w:t>
      </w:r>
      <w:r>
        <w:rPr>
          <w:rFonts w:hint="eastAsia" w:ascii="仿宋_GB2312" w:eastAsia="仿宋_GB2312"/>
          <w:color w:val="auto"/>
          <w:sz w:val="32"/>
          <w:szCs w:val="32"/>
          <w:highlight w:val="none"/>
          <w:lang w:val="en-US" w:eastAsia="zh-CN"/>
        </w:rPr>
        <w:t>853.95万元。</w:t>
      </w:r>
    </w:p>
    <w:p>
      <w:pPr>
        <w:numPr>
          <w:ilvl w:val="0"/>
          <w:numId w:val="4"/>
        </w:numPr>
        <w:spacing w:line="600" w:lineRule="exact"/>
        <w:ind w:firstLine="640"/>
        <w:outlineLvl w:val="1"/>
        <w:rPr>
          <w:rStyle w:val="25"/>
          <w:rFonts w:ascii="黑体" w:hAnsi="黑体" w:eastAsia="黑体"/>
          <w:b w:val="0"/>
          <w:highlight w:val="none"/>
        </w:rPr>
      </w:pPr>
      <w:bookmarkStart w:id="42" w:name="_Toc15396611"/>
      <w:bookmarkStart w:id="43" w:name="_Toc15377219"/>
      <w:r>
        <w:rPr>
          <w:rStyle w:val="25"/>
          <w:rFonts w:hint="eastAsia" w:ascii="黑体" w:hAnsi="黑体" w:eastAsia="黑体"/>
          <w:b w:val="0"/>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highlight w:val="none"/>
        </w:rPr>
      </w:pPr>
      <w:r>
        <w:rPr>
          <w:rFonts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20</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省委宣传部无</w:t>
      </w:r>
      <w:r>
        <w:rPr>
          <w:rFonts w:hint="eastAsia" w:ascii="仿宋_GB2312" w:eastAsia="仿宋_GB2312"/>
          <w:color w:val="000000"/>
          <w:sz w:val="32"/>
          <w:szCs w:val="32"/>
          <w:highlight w:val="none"/>
        </w:rPr>
        <w:t>国有资本经营预算拨款支出</w:t>
      </w:r>
      <w:r>
        <w:rPr>
          <w:rFonts w:hint="eastAsia" w:ascii="仿宋_GB2312" w:eastAsia="仿宋_GB2312"/>
          <w:color w:val="000000"/>
          <w:sz w:val="32"/>
          <w:szCs w:val="32"/>
          <w:highlight w:val="none"/>
          <w:lang w:eastAsia="zh-CN"/>
        </w:rPr>
        <w:t>。</w:t>
      </w:r>
    </w:p>
    <w:p>
      <w:pPr>
        <w:spacing w:line="600" w:lineRule="exact"/>
        <w:ind w:firstLine="800" w:firstLineChars="250"/>
        <w:outlineLvl w:val="1"/>
        <w:rPr>
          <w:rStyle w:val="25"/>
          <w:rFonts w:ascii="黑体" w:hAnsi="黑体" w:eastAsia="黑体"/>
          <w:highlight w:val="none"/>
        </w:rPr>
      </w:pPr>
      <w:bookmarkStart w:id="44" w:name="_Toc15377221"/>
      <w:bookmarkStart w:id="45" w:name="_Toc15396612"/>
      <w:r>
        <w:rPr>
          <w:rFonts w:hint="eastAsia" w:ascii="黑体" w:hAnsi="黑体" w:eastAsia="黑体"/>
          <w:color w:val="000000"/>
          <w:sz w:val="32"/>
          <w:szCs w:val="32"/>
          <w:highlight w:val="none"/>
        </w:rPr>
        <w:t>十</w:t>
      </w:r>
      <w:r>
        <w:rPr>
          <w:rStyle w:val="25"/>
          <w:rFonts w:hint="eastAsia" w:ascii="黑体" w:hAnsi="黑体" w:eastAsia="黑体"/>
          <w:highlight w:val="none"/>
        </w:rPr>
        <w:t>、</w:t>
      </w:r>
      <w:r>
        <w:rPr>
          <w:rStyle w:val="25"/>
          <w:rFonts w:hint="eastAsia" w:ascii="黑体" w:hAnsi="黑体" w:eastAsia="黑体"/>
          <w:b w:val="0"/>
          <w:highlight w:val="none"/>
        </w:rPr>
        <w:t>其他重要事项的情况说明</w:t>
      </w:r>
      <w:bookmarkEnd w:id="44"/>
      <w:bookmarkEnd w:id="45"/>
    </w:p>
    <w:p>
      <w:pPr>
        <w:spacing w:line="600" w:lineRule="exact"/>
        <w:ind w:firstLine="643" w:firstLineChars="200"/>
        <w:outlineLvl w:val="2"/>
        <w:rPr>
          <w:rFonts w:ascii="仿宋" w:hAnsi="仿宋" w:eastAsia="仿宋"/>
          <w:color w:val="000000"/>
          <w:sz w:val="32"/>
          <w:szCs w:val="32"/>
        </w:rPr>
      </w:pPr>
      <w:bookmarkStart w:id="46" w:name="_Toc15377222"/>
      <w:bookmarkStart w:id="47" w:name="_Toc15377223"/>
      <w:r>
        <w:rPr>
          <w:rFonts w:hint="eastAsia" w:ascii="仿宋" w:hAnsi="仿宋" w:eastAsia="仿宋"/>
          <w:b/>
          <w:color w:val="000000"/>
          <w:sz w:val="32"/>
          <w:szCs w:val="32"/>
        </w:rPr>
        <w:t>（一）机关运行经费支出情况</w:t>
      </w:r>
      <w:bookmarkEnd w:id="46"/>
    </w:p>
    <w:p>
      <w:pPr>
        <w:spacing w:line="600" w:lineRule="exact"/>
        <w:ind w:firstLine="640" w:firstLineChars="200"/>
        <w:rPr>
          <w:rFonts w:hint="eastAsia" w:ascii="仿宋" w:hAnsi="仿宋" w:eastAsia="仿宋"/>
          <w:b/>
          <w:color w:val="000000"/>
          <w:sz w:val="32"/>
          <w:szCs w:val="32"/>
          <w:highlight w:val="none"/>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highlight w:val="none"/>
          <w:lang w:eastAsia="zh-CN"/>
        </w:rPr>
        <w:t>省委宣传部</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1598.81</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251.75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13.6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受疫情影响减少会议费、差旅费、培训费等支出。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highlight w:val="none"/>
        </w:rPr>
      </w:pPr>
      <w:r>
        <w:rPr>
          <w:rFonts w:hint="eastAsia" w:ascii="仿宋" w:hAnsi="仿宋" w:eastAsia="仿宋"/>
          <w:b/>
          <w:color w:val="000000"/>
          <w:sz w:val="32"/>
          <w:szCs w:val="32"/>
          <w:highlight w:val="none"/>
        </w:rPr>
        <w:t>（</w:t>
      </w:r>
      <w:r>
        <w:rPr>
          <w:rFonts w:hint="eastAsia" w:ascii="仿宋" w:hAnsi="仿宋" w:eastAsia="仿宋"/>
          <w:b/>
          <w:color w:val="000000"/>
          <w:sz w:val="32"/>
          <w:szCs w:val="32"/>
          <w:highlight w:val="none"/>
          <w:lang w:eastAsia="zh-CN"/>
        </w:rPr>
        <w:t>二</w:t>
      </w:r>
      <w:r>
        <w:rPr>
          <w:rFonts w:hint="eastAsia" w:ascii="仿宋" w:hAnsi="仿宋" w:eastAsia="仿宋"/>
          <w:b/>
          <w:color w:val="000000"/>
          <w:sz w:val="32"/>
          <w:szCs w:val="32"/>
          <w:highlight w:val="none"/>
        </w:rPr>
        <w:t>）政府采购支出情况</w:t>
      </w:r>
      <w:bookmarkEnd w:id="47"/>
    </w:p>
    <w:p>
      <w:pPr>
        <w:spacing w:line="600" w:lineRule="exact"/>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20</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省委宣传部</w:t>
      </w:r>
      <w:r>
        <w:rPr>
          <w:rFonts w:hint="eastAsia" w:ascii="仿宋_GB2312" w:eastAsia="仿宋_GB2312"/>
          <w:color w:val="000000"/>
          <w:sz w:val="32"/>
          <w:szCs w:val="32"/>
          <w:highlight w:val="none"/>
        </w:rPr>
        <w:t>政府采购支出总额</w:t>
      </w:r>
      <w:r>
        <w:rPr>
          <w:rFonts w:hint="eastAsia" w:ascii="仿宋_GB2312" w:eastAsia="仿宋_GB2312"/>
          <w:color w:val="000000"/>
          <w:sz w:val="32"/>
          <w:szCs w:val="32"/>
          <w:highlight w:val="none"/>
          <w:lang w:val="en-US" w:eastAsia="zh-CN"/>
        </w:rPr>
        <w:t>2508.03</w:t>
      </w:r>
      <w:r>
        <w:rPr>
          <w:rFonts w:hint="eastAsia" w:ascii="仿宋_GB2312" w:eastAsia="仿宋_GB2312"/>
          <w:color w:val="000000"/>
          <w:sz w:val="32"/>
          <w:szCs w:val="32"/>
          <w:highlight w:val="none"/>
        </w:rPr>
        <w:t>万元，其中：政府采购货物支出</w:t>
      </w:r>
      <w:r>
        <w:rPr>
          <w:rFonts w:hint="eastAsia" w:ascii="仿宋_GB2312" w:eastAsia="仿宋_GB2312"/>
          <w:color w:val="000000"/>
          <w:sz w:val="32"/>
          <w:szCs w:val="32"/>
          <w:highlight w:val="none"/>
          <w:lang w:val="en-US" w:eastAsia="zh-CN"/>
        </w:rPr>
        <w:t>820</w:t>
      </w:r>
      <w:r>
        <w:rPr>
          <w:rFonts w:hint="eastAsia" w:ascii="仿宋_GB2312" w:eastAsia="仿宋_GB2312"/>
          <w:color w:val="000000"/>
          <w:sz w:val="32"/>
          <w:szCs w:val="32"/>
          <w:highlight w:val="none"/>
        </w:rPr>
        <w:t>万元、政府采购服务支出</w:t>
      </w:r>
      <w:r>
        <w:rPr>
          <w:rFonts w:hint="eastAsia" w:ascii="仿宋_GB2312" w:eastAsia="仿宋_GB2312"/>
          <w:color w:val="000000"/>
          <w:sz w:val="32"/>
          <w:szCs w:val="32"/>
          <w:highlight w:val="none"/>
          <w:lang w:val="en-US" w:eastAsia="zh-CN"/>
        </w:rPr>
        <w:t>1688.03</w:t>
      </w:r>
      <w:r>
        <w:rPr>
          <w:rFonts w:hint="eastAsia" w:ascii="仿宋_GB2312" w:eastAsia="仿宋_GB2312"/>
          <w:color w:val="000000"/>
          <w:sz w:val="32"/>
          <w:szCs w:val="32"/>
          <w:highlight w:val="none"/>
        </w:rPr>
        <w:t>万元。主要用于</w:t>
      </w:r>
      <w:r>
        <w:rPr>
          <w:rFonts w:hint="eastAsia" w:ascii="仿宋_GB2312" w:eastAsia="仿宋_GB2312"/>
          <w:color w:val="auto"/>
          <w:sz w:val="32"/>
          <w:szCs w:val="32"/>
          <w:highlight w:val="none"/>
          <w:lang w:eastAsia="zh-CN"/>
        </w:rPr>
        <w:t>主题外宣活动、公益电影放映、运维服务等项目采购</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187.9</w:t>
      </w:r>
      <w:r>
        <w:rPr>
          <w:rFonts w:hint="eastAsia" w:ascii="仿宋_GB2312" w:eastAsia="仿宋_GB2312"/>
          <w:color w:val="auto"/>
          <w:sz w:val="32"/>
          <w:szCs w:val="32"/>
          <w:highlight w:val="none"/>
        </w:rPr>
        <w:t>万元，占政府采购支出</w:t>
      </w:r>
      <w:r>
        <w:rPr>
          <w:rFonts w:hint="eastAsia" w:ascii="仿宋_GB2312" w:eastAsia="仿宋_GB2312"/>
          <w:color w:val="000000"/>
          <w:sz w:val="32"/>
          <w:szCs w:val="32"/>
          <w:highlight w:val="none"/>
        </w:rPr>
        <w:t>总额的</w:t>
      </w:r>
      <w:r>
        <w:rPr>
          <w:rFonts w:hint="eastAsia" w:ascii="仿宋_GB2312" w:eastAsia="仿宋_GB2312"/>
          <w:color w:val="000000"/>
          <w:sz w:val="32"/>
          <w:szCs w:val="32"/>
          <w:highlight w:val="none"/>
          <w:lang w:val="en-US" w:eastAsia="zh-CN"/>
        </w:rPr>
        <w:t>7.49</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无</w:t>
      </w:r>
      <w:r>
        <w:rPr>
          <w:rFonts w:hint="eastAsia" w:ascii="仿宋_GB2312" w:eastAsia="仿宋_GB2312"/>
          <w:color w:val="000000"/>
          <w:sz w:val="32"/>
          <w:szCs w:val="32"/>
          <w:highlight w:val="none"/>
        </w:rPr>
        <w:t>授予小微企业合同金额。</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highlight w:val="none"/>
        </w:rPr>
      </w:pPr>
      <w:bookmarkStart w:id="48" w:name="_Toc15377224"/>
      <w:r>
        <w:rPr>
          <w:rFonts w:hint="eastAsia" w:ascii="仿宋" w:hAnsi="仿宋" w:eastAsia="仿宋"/>
          <w:b/>
          <w:color w:val="000000"/>
          <w:sz w:val="32"/>
          <w:szCs w:val="32"/>
          <w:highlight w:val="none"/>
        </w:rPr>
        <w:t>（</w:t>
      </w:r>
      <w:r>
        <w:rPr>
          <w:rFonts w:hint="eastAsia" w:ascii="仿宋" w:hAnsi="仿宋" w:eastAsia="仿宋"/>
          <w:b/>
          <w:color w:val="000000"/>
          <w:sz w:val="32"/>
          <w:szCs w:val="32"/>
          <w:highlight w:val="none"/>
          <w:lang w:eastAsia="zh-CN"/>
        </w:rPr>
        <w:t>三</w:t>
      </w:r>
      <w:r>
        <w:rPr>
          <w:rFonts w:hint="eastAsia" w:ascii="仿宋" w:hAnsi="仿宋" w:eastAsia="仿宋"/>
          <w:b/>
          <w:color w:val="000000"/>
          <w:sz w:val="32"/>
          <w:szCs w:val="32"/>
          <w:highlight w:val="none"/>
        </w:rPr>
        <w:t>）国有资产占有使用情况</w:t>
      </w:r>
      <w:bookmarkEnd w:id="48"/>
    </w:p>
    <w:p>
      <w:pPr>
        <w:spacing w:line="600" w:lineRule="exact"/>
        <w:ind w:firstLine="640" w:firstLineChars="200"/>
        <w:rPr>
          <w:rFonts w:ascii="仿宋" w:hAnsi="仿宋" w:eastAsia="仿宋"/>
          <w:b/>
          <w:color w:val="FF0000"/>
          <w:sz w:val="32"/>
          <w:szCs w:val="32"/>
          <w:highlight w:val="none"/>
        </w:rPr>
      </w:pPr>
      <w:r>
        <w:rPr>
          <w:rFonts w:hint="eastAsia" w:ascii="仿宋_GB2312" w:eastAsia="仿宋_GB2312"/>
          <w:color w:val="000000"/>
          <w:sz w:val="32"/>
          <w:szCs w:val="32"/>
          <w:highlight w:val="none"/>
        </w:rPr>
        <w:t>截至</w:t>
      </w:r>
      <w:r>
        <w:rPr>
          <w:rFonts w:ascii="仿宋_GB2312" w:eastAsia="仿宋_GB2312"/>
          <w:color w:val="000000"/>
          <w:sz w:val="32"/>
          <w:szCs w:val="32"/>
          <w:highlight w:val="none"/>
        </w:rPr>
        <w:t>20</w:t>
      </w:r>
      <w:r>
        <w:rPr>
          <w:rFonts w:hint="eastAsia" w:ascii="仿宋_GB2312" w:eastAsia="仿宋_GB2312"/>
          <w:color w:val="000000"/>
          <w:sz w:val="32"/>
          <w:szCs w:val="32"/>
          <w:highlight w:val="none"/>
          <w:lang w:val="en-US" w:eastAsia="zh-CN"/>
        </w:rPr>
        <w:t>20</w:t>
      </w:r>
      <w:r>
        <w:rPr>
          <w:rFonts w:hint="eastAsia" w:ascii="仿宋_GB2312" w:eastAsia="仿宋_GB2312"/>
          <w:color w:val="000000"/>
          <w:sz w:val="32"/>
          <w:szCs w:val="32"/>
          <w:highlight w:val="none"/>
        </w:rPr>
        <w:t>年</w:t>
      </w:r>
      <w:r>
        <w:rPr>
          <w:rFonts w:ascii="仿宋_GB2312" w:eastAsia="仿宋_GB2312"/>
          <w:color w:val="000000"/>
          <w:sz w:val="32"/>
          <w:szCs w:val="32"/>
          <w:highlight w:val="none"/>
        </w:rPr>
        <w:t>12</w:t>
      </w:r>
      <w:r>
        <w:rPr>
          <w:rFonts w:hint="eastAsia" w:ascii="仿宋_GB2312" w:eastAsia="仿宋_GB2312"/>
          <w:color w:val="000000"/>
          <w:sz w:val="32"/>
          <w:szCs w:val="32"/>
          <w:highlight w:val="none"/>
        </w:rPr>
        <w:t>月</w:t>
      </w:r>
      <w:r>
        <w:rPr>
          <w:rFonts w:ascii="仿宋_GB2312" w:eastAsia="仿宋_GB2312"/>
          <w:color w:val="000000"/>
          <w:sz w:val="32"/>
          <w:szCs w:val="32"/>
          <w:highlight w:val="none"/>
        </w:rPr>
        <w:t>31</w:t>
      </w:r>
      <w:r>
        <w:rPr>
          <w:rFonts w:hint="eastAsia" w:ascii="仿宋_GB2312" w:eastAsia="仿宋_GB2312"/>
          <w:color w:val="000000"/>
          <w:sz w:val="32"/>
          <w:szCs w:val="32"/>
          <w:highlight w:val="none"/>
        </w:rPr>
        <w:t>日，</w:t>
      </w:r>
      <w:r>
        <w:rPr>
          <w:rFonts w:hint="eastAsia" w:ascii="仿宋_GB2312" w:eastAsia="仿宋_GB2312"/>
          <w:color w:val="000000"/>
          <w:sz w:val="32"/>
          <w:szCs w:val="32"/>
          <w:highlight w:val="none"/>
          <w:lang w:eastAsia="zh-CN"/>
        </w:rPr>
        <w:t>宣传部</w:t>
      </w:r>
      <w:r>
        <w:rPr>
          <w:rFonts w:hint="eastAsia" w:ascii="仿宋_GB2312" w:eastAsia="仿宋_GB2312"/>
          <w:color w:val="000000"/>
          <w:sz w:val="32"/>
          <w:szCs w:val="32"/>
          <w:highlight w:val="none"/>
        </w:rPr>
        <w:t>共有车辆</w:t>
      </w:r>
      <w:r>
        <w:rPr>
          <w:rFonts w:hint="eastAsia" w:ascii="仿宋_GB2312" w:eastAsia="仿宋_GB2312"/>
          <w:color w:val="000000"/>
          <w:sz w:val="32"/>
          <w:szCs w:val="32"/>
          <w:highlight w:val="none"/>
          <w:lang w:val="en-US" w:eastAsia="zh-CN"/>
        </w:rPr>
        <w:t>11</w:t>
      </w:r>
      <w:r>
        <w:rPr>
          <w:rFonts w:hint="eastAsia" w:ascii="仿宋_GB2312" w:eastAsia="仿宋_GB2312"/>
          <w:color w:val="000000"/>
          <w:sz w:val="32"/>
          <w:szCs w:val="32"/>
          <w:highlight w:val="none"/>
        </w:rPr>
        <w:t>辆，其中：</w:t>
      </w:r>
      <w:r>
        <w:rPr>
          <w:rFonts w:hint="eastAsia" w:ascii="仿宋_GB2312" w:eastAsia="仿宋_GB2312"/>
          <w:color w:val="000000"/>
          <w:sz w:val="32"/>
          <w:szCs w:val="32"/>
          <w:highlight w:val="none"/>
          <w:lang w:eastAsia="zh-CN"/>
        </w:rPr>
        <w:t>副部（省）级及以上领导用车</w:t>
      </w:r>
      <w:r>
        <w:rPr>
          <w:rFonts w:hint="eastAsia" w:ascii="仿宋_GB2312" w:eastAsia="仿宋_GB2312"/>
          <w:color w:val="000000"/>
          <w:sz w:val="32"/>
          <w:szCs w:val="32"/>
          <w:highlight w:val="none"/>
          <w:lang w:val="en-US" w:eastAsia="zh-CN"/>
        </w:rPr>
        <w:t>1辆、</w:t>
      </w:r>
      <w:r>
        <w:rPr>
          <w:rFonts w:hint="eastAsia" w:ascii="仿宋_GB2312" w:eastAsia="仿宋_GB2312"/>
          <w:color w:val="000000"/>
          <w:sz w:val="32"/>
          <w:szCs w:val="32"/>
          <w:highlight w:val="none"/>
        </w:rPr>
        <w:t>主要领导干部用车</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辆、机要通信用车</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辆、应急保障用车</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 xml:space="preserve">辆、 </w:t>
      </w:r>
      <w:r>
        <w:rPr>
          <w:rFonts w:hint="eastAsia" w:ascii="仿宋_GB2312" w:eastAsia="仿宋_GB2312"/>
          <w:color w:val="000000"/>
          <w:sz w:val="32"/>
          <w:szCs w:val="32"/>
          <w:highlight w:val="none"/>
          <w:lang w:eastAsia="zh-CN"/>
        </w:rPr>
        <w:t>离退休干部</w:t>
      </w:r>
      <w:r>
        <w:rPr>
          <w:rFonts w:hint="eastAsia" w:ascii="仿宋_GB2312" w:eastAsia="仿宋_GB2312"/>
          <w:color w:val="000000"/>
          <w:sz w:val="32"/>
          <w:szCs w:val="32"/>
          <w:highlight w:val="none"/>
        </w:rPr>
        <w:t>用车</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eastAsia="zh-CN"/>
        </w:rPr>
        <w:t>、其他用车</w:t>
      </w:r>
      <w:r>
        <w:rPr>
          <w:rFonts w:hint="eastAsia" w:ascii="仿宋_GB2312" w:eastAsia="仿宋_GB2312"/>
          <w:color w:val="000000"/>
          <w:sz w:val="32"/>
          <w:szCs w:val="32"/>
          <w:highlight w:val="none"/>
          <w:lang w:val="en-US" w:eastAsia="zh-CN"/>
        </w:rPr>
        <w:t>4辆。</w:t>
      </w:r>
      <w:r>
        <w:rPr>
          <w:rFonts w:hint="eastAsia" w:ascii="仿宋_GB2312" w:eastAsia="仿宋_GB2312"/>
          <w:color w:val="000000" w:themeColor="text1"/>
          <w:sz w:val="32"/>
          <w:szCs w:val="32"/>
          <w:highlight w:val="none"/>
          <w14:textFill>
            <w14:solidFill>
              <w14:schemeClr w14:val="tx1"/>
            </w14:solidFill>
          </w14:textFill>
        </w:rPr>
        <w:t>其他用车主要是用于</w:t>
      </w:r>
      <w:r>
        <w:rPr>
          <w:rFonts w:hint="eastAsia" w:ascii="仿宋_GB2312" w:eastAsia="仿宋_GB2312"/>
          <w:color w:val="000000" w:themeColor="text1"/>
          <w:sz w:val="32"/>
          <w:szCs w:val="32"/>
          <w:highlight w:val="none"/>
          <w:lang w:eastAsia="zh-CN"/>
          <w14:textFill>
            <w14:solidFill>
              <w14:schemeClr w14:val="tx1"/>
            </w14:solidFill>
          </w14:textFill>
        </w:rPr>
        <w:t>工作需要工作派车。</w:t>
      </w:r>
      <w:r>
        <w:rPr>
          <w:rFonts w:hint="eastAsia" w:ascii="仿宋_GB2312" w:eastAsia="仿宋_GB2312"/>
          <w:color w:val="000000" w:themeColor="text1"/>
          <w:sz w:val="32"/>
          <w:szCs w:val="32"/>
          <w:highlight w:val="none"/>
          <w14:textFill>
            <w14:solidFill>
              <w14:schemeClr w14:val="tx1"/>
            </w14:solidFill>
          </w14:textFill>
        </w:rPr>
        <w:t>单价</w:t>
      </w:r>
      <w:r>
        <w:rPr>
          <w:rFonts w:ascii="仿宋_GB2312" w:eastAsia="仿宋_GB2312"/>
          <w:color w:val="000000" w:themeColor="text1"/>
          <w:sz w:val="32"/>
          <w:szCs w:val="32"/>
          <w:highlight w:val="none"/>
          <w14:textFill>
            <w14:solidFill>
              <w14:schemeClr w14:val="tx1"/>
            </w14:solidFill>
          </w14:textFill>
        </w:rPr>
        <w:t>50</w:t>
      </w:r>
      <w:r>
        <w:rPr>
          <w:rFonts w:hint="eastAsia" w:ascii="仿宋_GB2312" w:eastAsia="仿宋_GB2312"/>
          <w:color w:val="000000" w:themeColor="text1"/>
          <w:sz w:val="32"/>
          <w:szCs w:val="32"/>
          <w:highlight w:val="none"/>
          <w14:textFill>
            <w14:solidFill>
              <w14:schemeClr w14:val="tx1"/>
            </w14:solidFill>
          </w14:textFill>
        </w:rPr>
        <w:t>万元以上通用设备</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台（套），</w:t>
      </w:r>
      <w:r>
        <w:rPr>
          <w:rFonts w:hint="eastAsia" w:ascii="仿宋_GB2312" w:eastAsia="仿宋_GB2312"/>
          <w:color w:val="000000" w:themeColor="text1"/>
          <w:sz w:val="32"/>
          <w:szCs w:val="32"/>
          <w:highlight w:val="none"/>
          <w:lang w:eastAsia="zh-CN"/>
          <w14:textFill>
            <w14:solidFill>
              <w14:schemeClr w14:val="tx1"/>
            </w14:solidFill>
          </w14:textFill>
        </w:rPr>
        <w:t>无</w:t>
      </w:r>
      <w:r>
        <w:rPr>
          <w:rFonts w:hint="eastAsia" w:ascii="仿宋_GB2312" w:eastAsia="仿宋_GB2312"/>
          <w:color w:val="000000" w:themeColor="text1"/>
          <w:sz w:val="32"/>
          <w:szCs w:val="32"/>
          <w:highlight w:val="none"/>
          <w14:textFill>
            <w14:solidFill>
              <w14:schemeClr w14:val="tx1"/>
            </w14:solidFill>
          </w14:textFill>
        </w:rPr>
        <w:t>单价</w:t>
      </w:r>
      <w:r>
        <w:rPr>
          <w:rFonts w:ascii="仿宋_GB2312" w:eastAsia="仿宋_GB2312"/>
          <w:color w:val="000000" w:themeColor="text1"/>
          <w:sz w:val="32"/>
          <w:szCs w:val="32"/>
          <w:highlight w:val="none"/>
          <w14:textFill>
            <w14:solidFill>
              <w14:schemeClr w14:val="tx1"/>
            </w14:solidFill>
          </w14:textFill>
        </w:rPr>
        <w:t>100</w:t>
      </w:r>
      <w:r>
        <w:rPr>
          <w:rFonts w:hint="eastAsia" w:ascii="仿宋_GB2312" w:eastAsia="仿宋_GB2312"/>
          <w:color w:val="000000"/>
          <w:sz w:val="32"/>
          <w:szCs w:val="32"/>
          <w:highlight w:val="none"/>
        </w:rPr>
        <w:t>万元以上专用设备。</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overflowPunct w:val="0"/>
        <w:adjustRightInd w:val="0"/>
        <w:snapToGrid w:val="0"/>
        <w:spacing w:line="576" w:lineRule="exact"/>
        <w:ind w:firstLine="640" w:firstLineChars="200"/>
        <w:rPr>
          <w:rFonts w:hint="default" w:eastAsia="仿宋_GB2312"/>
          <w:b w:val="0"/>
          <w:bCs/>
          <w:snapToGrid w:val="0"/>
          <w:color w:val="auto"/>
          <w:kern w:val="0"/>
          <w:sz w:val="32"/>
          <w:szCs w:val="32"/>
          <w:highlight w:val="none"/>
          <w:lang w:val="en-US" w:eastAsia="zh-CN"/>
        </w:rPr>
      </w:pPr>
      <w:r>
        <w:rPr>
          <w:rFonts w:eastAsia="仿宋_GB2312"/>
          <w:b w:val="0"/>
          <w:bCs/>
          <w:snapToGrid w:val="0"/>
          <w:color w:val="auto"/>
          <w:kern w:val="0"/>
          <w:sz w:val="32"/>
          <w:szCs w:val="32"/>
          <w:highlight w:val="none"/>
        </w:rPr>
        <w:t>根据预算绩效管理要求，本单位在年初预算编制阶段，对</w:t>
      </w:r>
      <w:r>
        <w:rPr>
          <w:rFonts w:hint="eastAsia" w:eastAsia="仿宋_GB2312"/>
          <w:b w:val="0"/>
          <w:bCs/>
          <w:snapToGrid w:val="0"/>
          <w:color w:val="auto"/>
          <w:kern w:val="0"/>
          <w:sz w:val="32"/>
          <w:szCs w:val="32"/>
          <w:highlight w:val="none"/>
          <w:lang w:val="en-US" w:eastAsia="zh-CN"/>
        </w:rPr>
        <w:t>5</w:t>
      </w:r>
      <w:r>
        <w:rPr>
          <w:rFonts w:eastAsia="仿宋_GB2312"/>
          <w:b w:val="0"/>
          <w:bCs/>
          <w:snapToGrid w:val="0"/>
          <w:color w:val="auto"/>
          <w:kern w:val="0"/>
          <w:sz w:val="32"/>
          <w:szCs w:val="32"/>
          <w:highlight w:val="none"/>
        </w:rPr>
        <w:t>个项目（含子项目）编制了绩效目标，年终执行完毕后，对</w:t>
      </w:r>
      <w:r>
        <w:rPr>
          <w:rFonts w:hint="eastAsia" w:eastAsia="仿宋_GB2312"/>
          <w:b w:val="0"/>
          <w:bCs/>
          <w:snapToGrid w:val="0"/>
          <w:color w:val="auto"/>
          <w:kern w:val="0"/>
          <w:sz w:val="32"/>
          <w:szCs w:val="32"/>
          <w:highlight w:val="none"/>
          <w:lang w:val="en-US" w:eastAsia="zh-CN"/>
        </w:rPr>
        <w:t>5</w:t>
      </w:r>
      <w:r>
        <w:rPr>
          <w:rFonts w:eastAsia="仿宋_GB2312"/>
          <w:b w:val="0"/>
          <w:bCs/>
          <w:snapToGrid w:val="0"/>
          <w:color w:val="auto"/>
          <w:kern w:val="0"/>
          <w:sz w:val="32"/>
          <w:szCs w:val="32"/>
          <w:highlight w:val="none"/>
        </w:rPr>
        <w:t>个项目（含子项目）开展了绩效目标完成情况梳理填报。</w:t>
      </w:r>
      <w:r>
        <w:rPr>
          <w:rFonts w:hint="eastAsia" w:eastAsia="仿宋_GB2312"/>
          <w:b w:val="0"/>
          <w:bCs/>
          <w:snapToGrid w:val="0"/>
          <w:color w:val="auto"/>
          <w:kern w:val="0"/>
          <w:sz w:val="32"/>
          <w:szCs w:val="32"/>
          <w:highlight w:val="none"/>
          <w:lang w:eastAsia="zh-CN"/>
        </w:rPr>
        <w:t>其中</w:t>
      </w:r>
      <w:r>
        <w:rPr>
          <w:rFonts w:hint="eastAsia" w:eastAsia="仿宋_GB2312"/>
          <w:b w:val="0"/>
          <w:bCs/>
          <w:snapToGrid w:val="0"/>
          <w:color w:val="auto"/>
          <w:kern w:val="0"/>
          <w:sz w:val="32"/>
          <w:szCs w:val="32"/>
          <w:highlight w:val="none"/>
          <w:lang w:val="en-US" w:eastAsia="zh-CN"/>
        </w:rPr>
        <w:t>2个项目为涉密项目。</w:t>
      </w:r>
    </w:p>
    <w:p>
      <w:pPr>
        <w:overflowPunct w:val="0"/>
        <w:adjustRightInd w:val="0"/>
        <w:snapToGrid w:val="0"/>
        <w:spacing w:line="576" w:lineRule="exact"/>
        <w:ind w:firstLine="640" w:firstLineChars="200"/>
        <w:rPr>
          <w:rFonts w:eastAsia="仿宋_GB2312"/>
          <w:b w:val="0"/>
          <w:bCs/>
          <w:snapToGrid w:val="0"/>
          <w:color w:val="000000"/>
          <w:kern w:val="0"/>
          <w:sz w:val="32"/>
          <w:szCs w:val="32"/>
          <w:highlight w:val="none"/>
        </w:rPr>
      </w:pPr>
      <w:r>
        <w:rPr>
          <w:rFonts w:eastAsia="仿宋_GB2312"/>
          <w:b w:val="0"/>
          <w:bCs/>
          <w:snapToGrid w:val="0"/>
          <w:color w:val="auto"/>
          <w:kern w:val="0"/>
          <w:sz w:val="32"/>
          <w:szCs w:val="32"/>
          <w:highlight w:val="none"/>
        </w:rPr>
        <w:t>按照预算绩效管理要求，本</w:t>
      </w:r>
      <w:r>
        <w:rPr>
          <w:rFonts w:hint="eastAsia" w:eastAsia="仿宋_GB2312"/>
          <w:b w:val="0"/>
          <w:bCs/>
          <w:snapToGrid w:val="0"/>
          <w:color w:val="auto"/>
          <w:kern w:val="0"/>
          <w:sz w:val="32"/>
          <w:szCs w:val="32"/>
          <w:highlight w:val="none"/>
          <w:lang w:eastAsia="zh-CN"/>
        </w:rPr>
        <w:t>单位</w:t>
      </w:r>
      <w:r>
        <w:rPr>
          <w:rFonts w:eastAsia="仿宋_GB2312"/>
          <w:b w:val="0"/>
          <w:bCs/>
          <w:snapToGrid w:val="0"/>
          <w:color w:val="auto"/>
          <w:kern w:val="0"/>
          <w:sz w:val="32"/>
          <w:szCs w:val="32"/>
          <w:highlight w:val="none"/>
        </w:rPr>
        <w:t>对20</w:t>
      </w:r>
      <w:r>
        <w:rPr>
          <w:rFonts w:hint="eastAsia" w:eastAsia="仿宋_GB2312"/>
          <w:b w:val="0"/>
          <w:bCs/>
          <w:snapToGrid w:val="0"/>
          <w:color w:val="auto"/>
          <w:kern w:val="0"/>
          <w:sz w:val="32"/>
          <w:szCs w:val="32"/>
          <w:highlight w:val="none"/>
          <w:lang w:val="en-US" w:eastAsia="zh-CN"/>
        </w:rPr>
        <w:t>20</w:t>
      </w:r>
      <w:r>
        <w:rPr>
          <w:rFonts w:eastAsia="仿宋_GB2312"/>
          <w:b w:val="0"/>
          <w:bCs/>
          <w:snapToGrid w:val="0"/>
          <w:color w:val="auto"/>
          <w:kern w:val="0"/>
          <w:sz w:val="32"/>
          <w:szCs w:val="32"/>
          <w:highlight w:val="none"/>
        </w:rPr>
        <w:t>年整体支出开展绩效自评，从评价情况来看，省委宣传部</w:t>
      </w:r>
      <w:r>
        <w:rPr>
          <w:rFonts w:eastAsia="仿宋_GB2312"/>
          <w:b w:val="0"/>
          <w:bCs/>
          <w:snapToGrid w:val="0"/>
          <w:color w:val="000000"/>
          <w:kern w:val="0"/>
          <w:sz w:val="32"/>
          <w:szCs w:val="32"/>
          <w:highlight w:val="none"/>
        </w:rPr>
        <w:t>严格遵守财经纪律，严格执行中央八项规定和厉行节约反对浪费的要求，较好完成了20</w:t>
      </w:r>
      <w:r>
        <w:rPr>
          <w:rFonts w:hint="eastAsia" w:eastAsia="仿宋_GB2312"/>
          <w:b w:val="0"/>
          <w:bCs/>
          <w:snapToGrid w:val="0"/>
          <w:color w:val="000000"/>
          <w:kern w:val="0"/>
          <w:sz w:val="32"/>
          <w:szCs w:val="32"/>
          <w:highlight w:val="none"/>
          <w:lang w:val="en-US" w:eastAsia="zh-CN"/>
        </w:rPr>
        <w:t>20</w:t>
      </w:r>
      <w:r>
        <w:rPr>
          <w:rFonts w:eastAsia="仿宋_GB2312"/>
          <w:b w:val="0"/>
          <w:bCs/>
          <w:snapToGrid w:val="0"/>
          <w:color w:val="000000"/>
          <w:kern w:val="0"/>
          <w:sz w:val="32"/>
          <w:szCs w:val="32"/>
          <w:highlight w:val="none"/>
        </w:rPr>
        <w:t>年各项目标任务，保证了自身单位的运转和项目支出，同时也做好了全省宣传思想文化再上新台阶的工作；尤其是保障了重大主题宣传工作、意识形态领域工作、干部培训、其他专项任务工作和建设资金的供给，取得了很好的资金支出整体绩效。</w:t>
      </w:r>
    </w:p>
    <w:p>
      <w:pPr>
        <w:overflowPunct w:val="0"/>
        <w:adjustRightInd w:val="0"/>
        <w:snapToGrid w:val="0"/>
        <w:spacing w:line="576" w:lineRule="exact"/>
        <w:ind w:firstLine="640" w:firstLineChars="200"/>
        <w:rPr>
          <w:rFonts w:eastAsia="楷体_GB2312"/>
          <w:b w:val="0"/>
          <w:bCs/>
          <w:snapToGrid w:val="0"/>
          <w:kern w:val="0"/>
          <w:sz w:val="32"/>
          <w:szCs w:val="32"/>
          <w:highlight w:val="none"/>
        </w:rPr>
      </w:pPr>
      <w:r>
        <w:rPr>
          <w:rFonts w:eastAsia="楷体_GB2312"/>
          <w:b w:val="0"/>
          <w:bCs/>
          <w:snapToGrid w:val="0"/>
          <w:kern w:val="0"/>
          <w:sz w:val="32"/>
          <w:szCs w:val="32"/>
          <w:highlight w:val="none"/>
        </w:rPr>
        <w:t>（</w:t>
      </w:r>
      <w:r>
        <w:rPr>
          <w:rFonts w:hint="eastAsia" w:eastAsia="楷体_GB2312"/>
          <w:b w:val="0"/>
          <w:bCs/>
          <w:snapToGrid w:val="0"/>
          <w:kern w:val="0"/>
          <w:sz w:val="32"/>
          <w:szCs w:val="32"/>
          <w:highlight w:val="none"/>
          <w:lang w:val="en-US" w:eastAsia="zh-CN"/>
        </w:rPr>
        <w:t>1</w:t>
      </w:r>
      <w:r>
        <w:rPr>
          <w:rFonts w:eastAsia="楷体_GB2312"/>
          <w:b w:val="0"/>
          <w:bCs/>
          <w:snapToGrid w:val="0"/>
          <w:kern w:val="0"/>
          <w:sz w:val="32"/>
          <w:szCs w:val="32"/>
          <w:highlight w:val="none"/>
        </w:rPr>
        <w:t>）项目绩效目标完成情况。</w:t>
      </w:r>
    </w:p>
    <w:p>
      <w:pPr>
        <w:overflowPunct w:val="0"/>
        <w:adjustRightInd w:val="0"/>
        <w:snapToGrid w:val="0"/>
        <w:spacing w:line="576" w:lineRule="exact"/>
        <w:ind w:firstLine="640" w:firstLineChars="200"/>
        <w:rPr>
          <w:rFonts w:hint="eastAsia" w:eastAsia="仿宋_GB2312"/>
          <w:b w:val="0"/>
          <w:bCs/>
          <w:snapToGrid w:val="0"/>
          <w:kern w:val="0"/>
          <w:sz w:val="32"/>
          <w:szCs w:val="32"/>
          <w:highlight w:val="none"/>
        </w:rPr>
      </w:pPr>
      <w:r>
        <w:rPr>
          <w:rFonts w:eastAsia="仿宋_GB2312"/>
          <w:b w:val="0"/>
          <w:bCs/>
          <w:snapToGrid w:val="0"/>
          <w:kern w:val="0"/>
          <w:sz w:val="32"/>
          <w:szCs w:val="32"/>
          <w:highlight w:val="none"/>
        </w:rPr>
        <w:t>1</w:t>
      </w:r>
      <w:r>
        <w:rPr>
          <w:rStyle w:val="14"/>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r>
        <w:rPr>
          <w:rFonts w:hint="eastAsia" w:eastAsia="仿宋_GB2312"/>
          <w:b w:val="0"/>
          <w:bCs/>
          <w:snapToGrid w:val="0"/>
          <w:kern w:val="0"/>
          <w:sz w:val="32"/>
          <w:szCs w:val="32"/>
          <w:highlight w:val="none"/>
          <w:lang w:eastAsia="zh-CN"/>
        </w:rPr>
        <w:t>外宣及其系列活动</w:t>
      </w:r>
      <w:r>
        <w:rPr>
          <w:rFonts w:eastAsia="仿宋_GB2312"/>
          <w:b w:val="0"/>
          <w:bCs/>
          <w:snapToGrid w:val="0"/>
          <w:kern w:val="0"/>
          <w:sz w:val="32"/>
          <w:szCs w:val="32"/>
          <w:highlight w:val="none"/>
        </w:rPr>
        <w:t>”项目绩效目标完成情况综述。项目全年预算数</w:t>
      </w:r>
      <w:r>
        <w:rPr>
          <w:rFonts w:hint="eastAsia" w:eastAsia="仿宋_GB2312"/>
          <w:b w:val="0"/>
          <w:bCs/>
          <w:snapToGrid w:val="0"/>
          <w:kern w:val="0"/>
          <w:sz w:val="32"/>
          <w:szCs w:val="32"/>
          <w:highlight w:val="none"/>
          <w:lang w:val="en-US" w:eastAsia="zh-CN"/>
        </w:rPr>
        <w:t>39.64</w:t>
      </w:r>
      <w:r>
        <w:rPr>
          <w:rFonts w:eastAsia="仿宋_GB2312"/>
          <w:b w:val="0"/>
          <w:bCs/>
          <w:snapToGrid w:val="0"/>
          <w:kern w:val="0"/>
          <w:sz w:val="32"/>
          <w:szCs w:val="32"/>
          <w:highlight w:val="none"/>
        </w:rPr>
        <w:t>万元，执行数为</w:t>
      </w:r>
      <w:r>
        <w:rPr>
          <w:rFonts w:hint="eastAsia" w:eastAsia="仿宋_GB2312"/>
          <w:b w:val="0"/>
          <w:bCs/>
          <w:snapToGrid w:val="0"/>
          <w:kern w:val="0"/>
          <w:sz w:val="32"/>
          <w:szCs w:val="32"/>
          <w:highlight w:val="none"/>
          <w:lang w:val="en-US" w:eastAsia="zh-CN"/>
        </w:rPr>
        <w:t>39.64</w:t>
      </w:r>
      <w:r>
        <w:rPr>
          <w:rFonts w:eastAsia="仿宋_GB2312"/>
          <w:b w:val="0"/>
          <w:bCs/>
          <w:snapToGrid w:val="0"/>
          <w:kern w:val="0"/>
          <w:sz w:val="32"/>
          <w:szCs w:val="32"/>
          <w:highlight w:val="none"/>
        </w:rPr>
        <w:t>万元，完成预算的100%。</w:t>
      </w:r>
      <w:r>
        <w:rPr>
          <w:rFonts w:hint="eastAsia" w:eastAsia="仿宋_GB2312"/>
          <w:b w:val="0"/>
          <w:bCs/>
          <w:snapToGrid w:val="0"/>
          <w:kern w:val="0"/>
          <w:sz w:val="32"/>
          <w:szCs w:val="32"/>
          <w:highlight w:val="none"/>
        </w:rPr>
        <w:t>在全国两会期间推出省情介绍外宣片、外宣书、外宣品等，配合两会主题宣传和系列对外交流活动，克服新冠肺炎疫情不利影响，积极争取多渠道传播，扩大宣传力度，提高宣传效果。</w:t>
      </w:r>
    </w:p>
    <w:tbl>
      <w:tblPr>
        <w:tblStyle w:val="12"/>
        <w:tblW w:w="95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908"/>
        <w:gridCol w:w="1471"/>
        <w:gridCol w:w="1172"/>
        <w:gridCol w:w="716"/>
        <w:gridCol w:w="2378"/>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7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外宣及其系列纪念活动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中共四川省委宣传部</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中国共产党四川省委员会宣传部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39.64</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39.64</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况</w:t>
            </w:r>
          </w:p>
        </w:tc>
        <w:tc>
          <w:tcPr>
            <w:tcW w:w="42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5"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实“1366”外宣工作思路，围绕脱贫攻坚、对外开放等大事要事，拟在全国“两会”、全面建成小康社会、全省开放发展大会等时间节点，主打“天府四川”形象标识，制作推出“1+2”多语种外宣片：1部高清省情介绍片，脱贫攻坚和开放发展等两部主题高清短片。展示四川开放包容、崇德尚实、吃苦耐劳、敢为人先、达观友善、巴适安逸的人文精神，展示四川经济社会发展成就、多彩人文之韵、生态自然之美，塑造四川良好形象。</w:t>
            </w:r>
          </w:p>
        </w:tc>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在全国两会期间推出省情介绍外宣片、外宣书、外宣品等，配合两会主题宣传和系列对外交流活动，克服新冠肺炎疫情不利影响，积极争取多渠道传播，扩大宣传力度，提高宣传效果。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成</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标</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多语种外宣片</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39"/>
                <w:lang w:val="en-US" w:eastAsia="zh-CN" w:bidi="ar"/>
              </w:rPr>
              <w:t>部</w:t>
            </w:r>
            <w:r>
              <w:rPr>
                <w:rFonts w:ascii="Arial" w:hAnsi="Arial" w:eastAsia="宋体" w:cs="Arial"/>
                <w:i w:val="0"/>
                <w:iCs w:val="0"/>
                <w:color w:val="000000"/>
                <w:kern w:val="0"/>
                <w:sz w:val="20"/>
                <w:szCs w:val="20"/>
                <w:u w:val="none"/>
                <w:lang w:val="en-US" w:eastAsia="zh-CN" w:bidi="ar"/>
              </w:rPr>
              <w:t>5-10</w:t>
            </w:r>
            <w:r>
              <w:rPr>
                <w:rStyle w:val="39"/>
                <w:lang w:val="en-US" w:eastAsia="zh-CN" w:bidi="ar"/>
              </w:rPr>
              <w:t>分钟中英文对照基础版本，</w:t>
            </w:r>
            <w:r>
              <w:rPr>
                <w:rFonts w:ascii="Arial" w:hAnsi="Arial" w:eastAsia="宋体" w:cs="Arial"/>
                <w:i w:val="0"/>
                <w:iCs w:val="0"/>
                <w:color w:val="000000"/>
                <w:kern w:val="0"/>
                <w:sz w:val="20"/>
                <w:szCs w:val="20"/>
                <w:u w:val="none"/>
                <w:lang w:val="en-US" w:eastAsia="zh-CN" w:bidi="ar"/>
              </w:rPr>
              <w:t>3-5</w:t>
            </w:r>
            <w:r>
              <w:rPr>
                <w:rStyle w:val="39"/>
                <w:lang w:val="en-US" w:eastAsia="zh-CN" w:bidi="ar"/>
              </w:rPr>
              <w:t>个语种延伸版</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r>
              <w:rPr>
                <w:rFonts w:ascii="Arial" w:hAnsi="Arial" w:eastAsia="宋体" w:cs="Arial"/>
                <w:i w:val="0"/>
                <w:iCs w:val="0"/>
                <w:color w:val="000000"/>
                <w:kern w:val="0"/>
                <w:sz w:val="20"/>
                <w:szCs w:val="20"/>
                <w:u w:val="none"/>
                <w:lang w:val="en-US" w:eastAsia="zh-CN" w:bidi="ar"/>
              </w:rPr>
              <w:t>6</w:t>
            </w:r>
            <w:r>
              <w:rPr>
                <w:rStyle w:val="39"/>
                <w:lang w:val="en-US" w:eastAsia="zh-CN" w:bidi="ar"/>
              </w:rPr>
              <w:t>分钟中英文省情介绍外宣片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境外人士四川行采访采风活动</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r>
              <w:rPr>
                <w:rStyle w:val="39"/>
                <w:lang w:val="en-US" w:eastAsia="zh-CN" w:bidi="ar"/>
              </w:rPr>
              <w:t>次左右</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受疫情影响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四川特色外宣品</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ascii="Arial" w:hAnsi="Arial" w:eastAsia="宋体" w:cs="Arial"/>
                <w:i w:val="0"/>
                <w:iCs w:val="0"/>
                <w:color w:val="000000"/>
                <w:kern w:val="0"/>
                <w:sz w:val="20"/>
                <w:szCs w:val="20"/>
                <w:u w:val="none"/>
                <w:lang w:val="en-US" w:eastAsia="zh-CN" w:bidi="ar"/>
              </w:rPr>
              <w:t>50-400</w:t>
            </w:r>
            <w:r>
              <w:rPr>
                <w:rStyle w:val="39"/>
                <w:lang w:val="en-US" w:eastAsia="zh-CN" w:bidi="ar"/>
              </w:rPr>
              <w:t>元的外宣品一批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制作一批笔记本、徽章等，用于境外人士来川采访、对外交流系列活动。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全国两会主题外宣</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在全国两会期间开展主题外宣</w:t>
            </w:r>
            <w:r>
              <w:rPr>
                <w:rFonts w:ascii="Arial" w:hAnsi="Arial" w:eastAsia="宋体" w:cs="Arial"/>
                <w:i w:val="0"/>
                <w:iCs w:val="0"/>
                <w:color w:val="000000"/>
                <w:kern w:val="0"/>
                <w:sz w:val="20"/>
                <w:szCs w:val="20"/>
                <w:u w:val="none"/>
                <w:lang w:val="en-US" w:eastAsia="zh-CN" w:bidi="ar"/>
              </w:rPr>
              <w:t>1</w:t>
            </w:r>
            <w:r>
              <w:rPr>
                <w:rStyle w:val="39"/>
                <w:lang w:val="en-US" w:eastAsia="zh-CN" w:bidi="ar"/>
              </w:rPr>
              <w:t>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已完成，两会期间同步推出外宣画册、省情介绍外宣片；协调香港商报等媒体报道我省情况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外宣画册</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39"/>
                <w:lang w:val="en-US" w:eastAsia="zh-CN" w:bidi="ar"/>
              </w:rPr>
              <w:t>版中英文对照基础画册，印数</w:t>
            </w:r>
            <w:r>
              <w:rPr>
                <w:rFonts w:ascii="Arial" w:hAnsi="Arial" w:eastAsia="宋体" w:cs="Arial"/>
                <w:i w:val="0"/>
                <w:iCs w:val="0"/>
                <w:color w:val="000000"/>
                <w:kern w:val="0"/>
                <w:sz w:val="20"/>
                <w:szCs w:val="20"/>
                <w:u w:val="none"/>
                <w:lang w:val="en-US" w:eastAsia="zh-CN" w:bidi="ar"/>
              </w:rPr>
              <w:t>2000</w:t>
            </w:r>
            <w:r>
              <w:rPr>
                <w:rStyle w:val="39"/>
                <w:lang w:val="en-US" w:eastAsia="zh-CN" w:bidi="ar"/>
              </w:rPr>
              <w:t>册左右，</w:t>
            </w:r>
            <w:r>
              <w:rPr>
                <w:rFonts w:ascii="Arial" w:hAnsi="Arial" w:eastAsia="宋体" w:cs="Arial"/>
                <w:i w:val="0"/>
                <w:iCs w:val="0"/>
                <w:color w:val="000000"/>
                <w:kern w:val="0"/>
                <w:sz w:val="20"/>
                <w:szCs w:val="20"/>
                <w:u w:val="none"/>
                <w:lang w:val="en-US" w:eastAsia="zh-CN" w:bidi="ar"/>
              </w:rPr>
              <w:t>2-3</w:t>
            </w:r>
            <w:r>
              <w:rPr>
                <w:rStyle w:val="39"/>
                <w:lang w:val="en-US" w:eastAsia="zh-CN" w:bidi="ar"/>
              </w:rPr>
              <w:t>个语种延伸版，印数</w:t>
            </w:r>
            <w:r>
              <w:rPr>
                <w:rFonts w:ascii="Arial" w:hAnsi="Arial" w:eastAsia="宋体" w:cs="Arial"/>
                <w:i w:val="0"/>
                <w:iCs w:val="0"/>
                <w:color w:val="000000"/>
                <w:kern w:val="0"/>
                <w:sz w:val="20"/>
                <w:szCs w:val="20"/>
                <w:u w:val="none"/>
                <w:lang w:val="en-US" w:eastAsia="zh-CN" w:bidi="ar"/>
              </w:rPr>
              <w:t>1000</w:t>
            </w:r>
            <w:r>
              <w:rPr>
                <w:rStyle w:val="39"/>
                <w:lang w:val="en-US" w:eastAsia="zh-CN" w:bidi="ar"/>
              </w:rPr>
              <w:t>册左右。</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印制</w:t>
            </w:r>
            <w:r>
              <w:rPr>
                <w:rFonts w:ascii="Arial" w:hAnsi="Arial" w:eastAsia="宋体" w:cs="Arial"/>
                <w:i w:val="0"/>
                <w:iCs w:val="0"/>
                <w:color w:val="000000"/>
                <w:kern w:val="0"/>
                <w:sz w:val="20"/>
                <w:szCs w:val="20"/>
                <w:u w:val="none"/>
                <w:lang w:val="en-US" w:eastAsia="zh-CN" w:bidi="ar"/>
              </w:rPr>
              <w:t>3000</w:t>
            </w:r>
            <w:r>
              <w:rPr>
                <w:rStyle w:val="39"/>
                <w:lang w:val="en-US" w:eastAsia="zh-CN" w:bidi="ar"/>
              </w:rPr>
              <w:t>册《</w:t>
            </w:r>
            <w:r>
              <w:rPr>
                <w:rFonts w:ascii="Arial" w:hAnsi="Arial" w:eastAsia="宋体" w:cs="Arial"/>
                <w:i w:val="0"/>
                <w:iCs w:val="0"/>
                <w:color w:val="000000"/>
                <w:kern w:val="0"/>
                <w:sz w:val="20"/>
                <w:szCs w:val="20"/>
                <w:u w:val="none"/>
                <w:lang w:val="en-US" w:eastAsia="zh-CN" w:bidi="ar"/>
              </w:rPr>
              <w:t>2020</w:t>
            </w:r>
            <w:r>
              <w:rPr>
                <w:rStyle w:val="39"/>
                <w:lang w:val="en-US" w:eastAsia="zh-CN" w:bidi="ar"/>
              </w:rPr>
              <w:t>天府四川》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外宣品质量</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做工精致，有四川特色</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做工精致有特色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宣传片</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高清晰度，事宜多个平台播放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1920*1080</w:t>
            </w:r>
            <w:r>
              <w:rPr>
                <w:rStyle w:val="39"/>
                <w:lang w:val="en-US" w:eastAsia="zh-CN" w:bidi="ar"/>
              </w:rPr>
              <w:t>，</w:t>
            </w:r>
            <w:r>
              <w:rPr>
                <w:rFonts w:ascii="Arial" w:hAnsi="Arial" w:eastAsia="宋体" w:cs="Arial"/>
                <w:i w:val="0"/>
                <w:iCs w:val="0"/>
                <w:color w:val="000000"/>
                <w:kern w:val="0"/>
                <w:sz w:val="20"/>
                <w:szCs w:val="20"/>
                <w:u w:val="none"/>
                <w:lang w:val="en-US" w:eastAsia="zh-CN" w:bidi="ar"/>
              </w:rPr>
              <w:t>MP4</w:t>
            </w:r>
            <w:r>
              <w:rPr>
                <w:rStyle w:val="39"/>
                <w:lang w:val="en-US" w:eastAsia="zh-CN" w:bidi="ar"/>
              </w:rPr>
              <w:t>版本，已用于境内外多个平台播放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宣传画册</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印刷清晰，纸张精美，文字精确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印刷清晰，纸张精美，文字精确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完成时限</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44166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外宣品成本</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不超出外事赠礼有关规定</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符合外事规定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益</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四川形象宣传</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四川知名度和美誉度进一步提升，良好四川形象进一步彰显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作品质量较高，传播广泛，获得中宣部文件表扬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宣传品</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制作符合环保要求</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符合环保要求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4"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意</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度</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Style w:val="39"/>
                <w:lang w:val="en-US" w:eastAsia="zh-CN" w:bidi="ar"/>
              </w:rPr>
              <w:t>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88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中宣部及省委省政府满意度</w:t>
            </w:r>
          </w:p>
        </w:tc>
        <w:tc>
          <w:tcPr>
            <w:tcW w:w="2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r>
    </w:tbl>
    <w:p>
      <w:pPr>
        <w:overflowPunct w:val="0"/>
        <w:adjustRightInd w:val="0"/>
        <w:snapToGrid w:val="0"/>
        <w:spacing w:line="576" w:lineRule="exact"/>
        <w:rPr>
          <w:rFonts w:hint="eastAsia" w:eastAsia="仿宋_GB2312"/>
          <w:b w:val="0"/>
          <w:bCs/>
          <w:snapToGrid w:val="0"/>
          <w:kern w:val="0"/>
          <w:sz w:val="32"/>
          <w:szCs w:val="32"/>
          <w:highlight w:val="none"/>
        </w:rPr>
      </w:pPr>
    </w:p>
    <w:p>
      <w:pPr>
        <w:numPr>
          <w:ilvl w:val="0"/>
          <w:numId w:val="3"/>
        </w:numPr>
        <w:overflowPunct w:val="0"/>
        <w:adjustRightInd w:val="0"/>
        <w:snapToGrid w:val="0"/>
        <w:spacing w:line="580" w:lineRule="exact"/>
        <w:ind w:left="0" w:leftChars="0" w:firstLine="640" w:firstLineChars="200"/>
        <w:rPr>
          <w:rFonts w:hint="eastAsia" w:eastAsia="仿宋_GB2312"/>
          <w:b w:val="0"/>
          <w:bCs/>
          <w:snapToGrid w:val="0"/>
          <w:kern w:val="0"/>
          <w:sz w:val="32"/>
          <w:szCs w:val="32"/>
          <w:highlight w:val="none"/>
          <w:lang w:val="en-US" w:eastAsia="zh-CN"/>
        </w:rPr>
      </w:pPr>
      <w:r>
        <w:rPr>
          <w:rFonts w:eastAsia="仿宋_GB2312"/>
          <w:b w:val="0"/>
          <w:bCs/>
          <w:snapToGrid w:val="0"/>
          <w:kern w:val="0"/>
          <w:sz w:val="32"/>
          <w:szCs w:val="32"/>
          <w:highlight w:val="none"/>
        </w:rPr>
        <w:t>“</w:t>
      </w:r>
      <w:r>
        <w:rPr>
          <w:rFonts w:hint="eastAsia" w:eastAsia="仿宋_GB2312"/>
          <w:b w:val="0"/>
          <w:bCs/>
          <w:snapToGrid w:val="0"/>
          <w:kern w:val="0"/>
          <w:sz w:val="32"/>
          <w:szCs w:val="32"/>
          <w:highlight w:val="none"/>
          <w:lang w:eastAsia="zh-CN"/>
        </w:rPr>
        <w:t>重大理论、宣传、出版、文化及融媒体建设等活动经费</w:t>
      </w:r>
      <w:r>
        <w:rPr>
          <w:rFonts w:eastAsia="仿宋_GB2312"/>
          <w:b w:val="0"/>
          <w:bCs/>
          <w:snapToGrid w:val="0"/>
          <w:kern w:val="0"/>
          <w:sz w:val="32"/>
          <w:szCs w:val="32"/>
          <w:highlight w:val="none"/>
        </w:rPr>
        <w:t>”项目绩效目标完成情况综述。项目全年预算数</w:t>
      </w:r>
      <w:r>
        <w:rPr>
          <w:rFonts w:hint="eastAsia" w:eastAsia="仿宋_GB2312"/>
          <w:b w:val="0"/>
          <w:bCs/>
          <w:snapToGrid w:val="0"/>
          <w:kern w:val="0"/>
          <w:sz w:val="32"/>
          <w:szCs w:val="32"/>
          <w:highlight w:val="none"/>
          <w:lang w:val="en-US" w:eastAsia="zh-CN"/>
        </w:rPr>
        <w:t>316.4</w:t>
      </w:r>
      <w:r>
        <w:rPr>
          <w:rFonts w:eastAsia="仿宋_GB2312"/>
          <w:b w:val="0"/>
          <w:bCs/>
          <w:snapToGrid w:val="0"/>
          <w:kern w:val="0"/>
          <w:sz w:val="32"/>
          <w:szCs w:val="32"/>
          <w:highlight w:val="none"/>
        </w:rPr>
        <w:t>万元，执行数为</w:t>
      </w:r>
      <w:r>
        <w:rPr>
          <w:rFonts w:hint="eastAsia" w:eastAsia="仿宋_GB2312"/>
          <w:b w:val="0"/>
          <w:bCs/>
          <w:snapToGrid w:val="0"/>
          <w:kern w:val="0"/>
          <w:sz w:val="32"/>
          <w:szCs w:val="32"/>
          <w:highlight w:val="none"/>
          <w:lang w:val="en-US" w:eastAsia="zh-CN"/>
        </w:rPr>
        <w:t>311.78</w:t>
      </w:r>
      <w:r>
        <w:rPr>
          <w:rFonts w:eastAsia="仿宋_GB2312"/>
          <w:b w:val="0"/>
          <w:bCs/>
          <w:snapToGrid w:val="0"/>
          <w:kern w:val="0"/>
          <w:sz w:val="32"/>
          <w:szCs w:val="32"/>
          <w:highlight w:val="none"/>
        </w:rPr>
        <w:t>万元，完成预算的</w:t>
      </w:r>
      <w:r>
        <w:rPr>
          <w:rFonts w:hint="eastAsia" w:eastAsia="仿宋_GB2312"/>
          <w:b w:val="0"/>
          <w:bCs/>
          <w:snapToGrid w:val="0"/>
          <w:kern w:val="0"/>
          <w:sz w:val="32"/>
          <w:szCs w:val="32"/>
          <w:highlight w:val="none"/>
          <w:lang w:val="en-US" w:eastAsia="zh-CN"/>
        </w:rPr>
        <w:t>98.54</w:t>
      </w:r>
      <w:r>
        <w:rPr>
          <w:rFonts w:eastAsia="仿宋_GB2312"/>
          <w:b w:val="0"/>
          <w:bCs/>
          <w:snapToGrid w:val="0"/>
          <w:kern w:val="0"/>
          <w:sz w:val="32"/>
          <w:szCs w:val="32"/>
          <w:highlight w:val="none"/>
        </w:rPr>
        <w:t>%。</w:t>
      </w:r>
      <w:r>
        <w:rPr>
          <w:rFonts w:hint="eastAsia" w:eastAsia="仿宋_GB2312"/>
          <w:b w:val="0"/>
          <w:bCs/>
          <w:snapToGrid w:val="0"/>
          <w:kern w:val="0"/>
          <w:sz w:val="32"/>
          <w:szCs w:val="32"/>
          <w:highlight w:val="none"/>
        </w:rPr>
        <w:t>认真贯彻中央和省委重大决策部署，全面落实全国、全省宣传部长会议精神，在决胜全面小康、决战脱贫攻坚中展现新作为，在抗击疫情和防汛救灾大战大考中焕发新气象，为夺取疫情防控和经济社会发展“双胜利”、推动治蜀兴川再上新台阶提供了坚强思想保证和强大精神力量。理论学习走深走实，理论宣讲创新开展，理论研究深入浅出；抗击疫情重大宣传卓有成效，脱贫奔康主题宣传浓墨重彩，经济社会成就宣传有声有色；社会主义核心价值观广泛弘扬，群众性精神文明创建成效显著，全社会崇德向善风尚日益浓厚；中华优秀传统文化创造性转化创新性发展迈出新步伐；文化精品创作生产和文化高质量发展扎实推进。</w:t>
      </w:r>
    </w:p>
    <w:tbl>
      <w:tblPr>
        <w:tblStyle w:val="12"/>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690"/>
        <w:gridCol w:w="1485"/>
        <w:gridCol w:w="960"/>
        <w:gridCol w:w="960"/>
        <w:gridCol w:w="2340"/>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9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9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9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重大理论、宣传、出版、文化及融媒体建设等活动经费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中共四川省委宣传部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中国共产党四川省委员会宣传部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况</w:t>
            </w:r>
          </w:p>
        </w:tc>
        <w:tc>
          <w:tcPr>
            <w:tcW w:w="40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宣传贯彻党的十九大和十九届二中、三中、四中全会精神，省委十一届三次、四次、五次全会精神，聚焦中央工作大局和省委中心工作，组织正面宣传，开展主题宣传、形势宣传、政策宣传等，巩固壮大主流舆论，重点做好脱贫攻坚、乡村振兴、县域经济发展、全面创新改革等重大主题宣传；组织热点引导和应急新闻报道工作，开展舆论监督；加强理论宣传阵地建设，加强理论研究；开展重点出版活动，推进振兴四川出版等；推动构建优秀传统文化传承发展体系；开展思想道德建设；开展主题教育活动等。</w:t>
            </w:r>
          </w:p>
        </w:tc>
        <w:tc>
          <w:tcPr>
            <w:tcW w:w="450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真贯彻中央和省委重大决策部署，全面落实全国、全省宣传部长会议精神，在决胜全面小康、决战脱贫攻坚中展现新作为，在抗击疫情和防汛救灾大战大考中焕发新气象，为夺取疫情防控和经济社会发展“双胜利”、推动治蜀兴川再上新台阶提供了坚强思想保证和强大精神力量。理论学习走深走实，理论宣讲创新开展，理论研究深入浅出；抗击疫情重大宣传卓有成效，脱贫奔康主题宣传浓墨重彩，经济社会成就宣传有声有色；社会主义核心价值观广泛弘扬，群众性精神文明创建成效显著，全社会崇德向善风尚日益浓厚；中华优秀传统文化创造性转化创新性发展迈出新步伐；文化精品创作生产和文化高质量发展扎实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开展重大主题宣传活动、组织热点引导和应急新闻报道，开展舆论监督等</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次及以上</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抗击疫情重大宣传卓有成效，中央主要媒体聚焦打赢两场硬仗推出涉川报道</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万余篇（条），省直媒体推出报道</w:t>
            </w:r>
            <w:r>
              <w:rPr>
                <w:rFonts w:ascii="Arial" w:hAnsi="Arial" w:eastAsia="宋体" w:cs="Arial"/>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余万篇（条）。精心组织</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决胜全面小康</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决战脱贫攻坚</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重大主题宣传。大力唱响经济光明论，深入解读扎实做好</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六稳</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工作、全面落实</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六保</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任务，充分报道我省重大部署，全面反映治蜀兴川新进展新成效。</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开展思想道德建设、主题教育活动等</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次及以上</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广泛弘扬社会主义核心价值观，推进理想信念教育常态化制度化。印发《新时代公民道德建设实施纲要》分工方案，开展</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倡导国庆新民俗、打造爱国活动周</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等主题活动。推动群众性精神文明创建活动，</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个地级市和</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个县级城市获评第六届全国文明城市。隆重召开全省精神文明建设表彰大会。选树</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四川好人</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和</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新时代好少年</w:t>
            </w:r>
            <w:r>
              <w:rPr>
                <w:rFonts w:ascii="Arial" w:hAnsi="Arial" w:eastAsia="宋体" w:cs="Arial"/>
                <w:i w:val="0"/>
                <w:iCs w:val="0"/>
                <w:color w:val="000000"/>
                <w:kern w:val="0"/>
                <w:sz w:val="20"/>
                <w:szCs w:val="20"/>
                <w:u w:val="none"/>
                <w:lang w:val="en-US" w:eastAsia="zh-CN" w:bidi="ar"/>
              </w:rPr>
              <w:t>”220</w:t>
            </w:r>
            <w:r>
              <w:rPr>
                <w:rFonts w:hint="eastAsia" w:ascii="宋体" w:hAnsi="宋体" w:eastAsia="宋体" w:cs="宋体"/>
                <w:i w:val="0"/>
                <w:iCs w:val="0"/>
                <w:color w:val="000000"/>
                <w:kern w:val="0"/>
                <w:sz w:val="20"/>
                <w:szCs w:val="20"/>
                <w:u w:val="none"/>
                <w:lang w:val="en-US" w:eastAsia="zh-CN" w:bidi="ar"/>
              </w:rPr>
              <w:t>名。</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开展重大理论学习研究、重点出版活动、文化文艺工作等</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次及以上</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组织学习理论读物，建好用好</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学习强国</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学习平台。有序推进中华文化经典读本编纂工作，出版发行《四川历史名人读本》，推出首批四川历史名人丛书</w:t>
            </w:r>
            <w:r>
              <w:rPr>
                <w:rFonts w:ascii="Arial" w:hAnsi="Arial" w:eastAsia="宋体" w:cs="Arial"/>
                <w:i w:val="0"/>
                <w:iCs w:val="0"/>
                <w:color w:val="000000"/>
                <w:kern w:val="0"/>
                <w:sz w:val="20"/>
                <w:szCs w:val="20"/>
                <w:u w:val="none"/>
                <w:lang w:val="en-US" w:eastAsia="zh-CN" w:bidi="ar"/>
              </w:rPr>
              <w:t>41</w:t>
            </w:r>
            <w:r>
              <w:rPr>
                <w:rFonts w:hint="eastAsia" w:ascii="宋体" w:hAnsi="宋体" w:eastAsia="宋体" w:cs="宋体"/>
                <w:i w:val="0"/>
                <w:iCs w:val="0"/>
                <w:color w:val="000000"/>
                <w:kern w:val="0"/>
                <w:sz w:val="20"/>
                <w:szCs w:val="20"/>
                <w:u w:val="none"/>
                <w:lang w:val="en-US" w:eastAsia="zh-CN" w:bidi="ar"/>
              </w:rPr>
              <w:t>种，举办名人大讲堂</w:t>
            </w:r>
            <w:r>
              <w:rPr>
                <w:rFonts w:ascii="Arial" w:hAnsi="Arial" w:eastAsia="宋体" w:cs="Arial"/>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期。围绕全面建成小康社会、建党</w:t>
            </w:r>
            <w:r>
              <w:rPr>
                <w:rFonts w:ascii="Arial" w:hAnsi="Arial" w:eastAsia="宋体" w:cs="Arial"/>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周年和全民战</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疫</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开展主题文艺精品创作生产。编纂四川战</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疫</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丛书和脱贫攻坚书系。</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组织开展重大活动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心谋划重大主题宣传，扎实抓好省委治蜀兴川方略宣传阐释，围绕重大主题，精心组织协调推出重大报道，全面塑造美丽繁荣和谐四川良好形象。开展文化活动，提升文化活动的传承力、聚合力和传播力、影响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精心谋划重大主题宣传，全面反映治蜀兴川新进展新成效。制作播出大型人文纪录片《蜀道风流》，成功举办</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金熊猫</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国际传播高峰论坛，推动</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李子柒</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丁真</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等地域文化符号广泛传播，展现巴蜀文化独特魅力。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完成时限</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2020</w:t>
            </w:r>
            <w:r>
              <w:rPr>
                <w:rFonts w:hint="eastAsia" w:ascii="宋体" w:hAnsi="宋体" w:eastAsia="宋体" w:cs="宋体"/>
                <w:i w:val="0"/>
                <w:iCs w:val="0"/>
                <w:color w:val="000000"/>
                <w:kern w:val="0"/>
                <w:sz w:val="20"/>
                <w:szCs w:val="20"/>
                <w:u w:val="none"/>
                <w:lang w:val="en-US" w:eastAsia="zh-CN" w:bidi="ar"/>
              </w:rPr>
              <w:t>年</w:t>
            </w:r>
            <w:r>
              <w:rPr>
                <w:rFonts w:ascii="Arial" w:hAnsi="Arial" w:eastAsia="宋体" w:cs="Arial"/>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月</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2020</w:t>
            </w:r>
            <w:r>
              <w:rPr>
                <w:rFonts w:hint="eastAsia" w:ascii="宋体" w:hAnsi="宋体" w:eastAsia="宋体" w:cs="宋体"/>
                <w:i w:val="0"/>
                <w:iCs w:val="0"/>
                <w:color w:val="000000"/>
                <w:kern w:val="0"/>
                <w:sz w:val="20"/>
                <w:szCs w:val="20"/>
                <w:u w:val="none"/>
                <w:lang w:val="en-US" w:eastAsia="zh-CN" w:bidi="ar"/>
              </w:rPr>
              <w:t>年</w:t>
            </w:r>
            <w:r>
              <w:rPr>
                <w:rFonts w:ascii="Arial" w:hAnsi="Arial" w:eastAsia="宋体" w:cs="Arial"/>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活动成本</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严格控制运行成本，确保在预算内实施</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严格按照项目预算实施。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宣传党的十九大和十九届二中、三中、四中全会精神，省委十一届三次、四次、五次全会精神，聚焦中央工作大局和省委中心工作，精心谋划重大主题宣传。</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营造良好的舆论环境，树立四川良好形象</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抗击疫情重大宣传卓有成效，脱贫奔康主题宣传浓墨重彩，经济社会成就宣传有声有色。国务院新闻办在川举办首场脱贫攻坚新闻发布会。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宣传文化思想工作</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不断增强凝聚力和引领力，不断增强中华文化软实力和我省对外影响力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中华优秀传统文化创造性转化创新性发展迈出新步伐。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意</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省委省政府满意度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r>
    </w:tbl>
    <w:p>
      <w:pPr>
        <w:spacing w:line="580" w:lineRule="exact"/>
        <w:ind w:left="630"/>
        <w:rPr>
          <w:rFonts w:hint="eastAsia" w:ascii="楷体_GB2312" w:hAnsi="楷体_GB2312" w:eastAsia="楷体_GB2312" w:cs="楷体_GB2312"/>
          <w:sz w:val="32"/>
          <w:szCs w:val="32"/>
          <w:highlight w:val="none"/>
        </w:rPr>
      </w:pPr>
    </w:p>
    <w:p>
      <w:pPr>
        <w:numPr>
          <w:ilvl w:val="0"/>
          <w:numId w:val="3"/>
        </w:numPr>
        <w:snapToGrid w:val="0"/>
        <w:spacing w:line="600" w:lineRule="exact"/>
        <w:ind w:left="0" w:leftChars="0" w:firstLine="640" w:firstLineChars="200"/>
        <w:rPr>
          <w:rFonts w:hint="eastAsia" w:ascii="仿宋_GB2312" w:hAnsi="仿宋_GB2312" w:eastAsia="仿宋_GB2312" w:cs="仿宋_GB2312"/>
          <w:sz w:val="32"/>
          <w:szCs w:val="32"/>
        </w:rPr>
      </w:pPr>
      <w:r>
        <w:rPr>
          <w:rFonts w:eastAsia="仿宋_GB2312"/>
          <w:b w:val="0"/>
          <w:bCs/>
          <w:snapToGrid w:val="0"/>
          <w:kern w:val="0"/>
          <w:sz w:val="32"/>
          <w:szCs w:val="32"/>
          <w:highlight w:val="none"/>
        </w:rPr>
        <w:t>“</w:t>
      </w:r>
      <w:r>
        <w:rPr>
          <w:rFonts w:hint="eastAsia" w:eastAsia="仿宋_GB2312"/>
          <w:b w:val="0"/>
          <w:bCs/>
          <w:snapToGrid w:val="0"/>
          <w:kern w:val="0"/>
          <w:sz w:val="32"/>
          <w:szCs w:val="32"/>
          <w:highlight w:val="none"/>
          <w:lang w:eastAsia="zh-CN"/>
        </w:rPr>
        <w:t>《巴蜀全书》编纂经费</w:t>
      </w:r>
      <w:r>
        <w:rPr>
          <w:rFonts w:eastAsia="仿宋_GB2312"/>
          <w:b w:val="0"/>
          <w:bCs/>
          <w:snapToGrid w:val="0"/>
          <w:kern w:val="0"/>
          <w:sz w:val="32"/>
          <w:szCs w:val="32"/>
          <w:highlight w:val="none"/>
        </w:rPr>
        <w:t>”项目绩效目标完成情况综述。项目全年预算数</w:t>
      </w:r>
      <w:r>
        <w:rPr>
          <w:rFonts w:hint="eastAsia" w:eastAsia="仿宋_GB2312"/>
          <w:b w:val="0"/>
          <w:bCs/>
          <w:snapToGrid w:val="0"/>
          <w:kern w:val="0"/>
          <w:sz w:val="32"/>
          <w:szCs w:val="32"/>
          <w:highlight w:val="none"/>
          <w:lang w:val="en-US" w:eastAsia="zh-CN"/>
        </w:rPr>
        <w:t>300</w:t>
      </w:r>
      <w:r>
        <w:rPr>
          <w:rFonts w:eastAsia="仿宋_GB2312"/>
          <w:b w:val="0"/>
          <w:bCs/>
          <w:snapToGrid w:val="0"/>
          <w:kern w:val="0"/>
          <w:sz w:val="32"/>
          <w:szCs w:val="32"/>
          <w:highlight w:val="none"/>
        </w:rPr>
        <w:t>万元，执行数为</w:t>
      </w:r>
      <w:r>
        <w:rPr>
          <w:rFonts w:hint="eastAsia" w:eastAsia="仿宋_GB2312"/>
          <w:b w:val="0"/>
          <w:bCs/>
          <w:snapToGrid w:val="0"/>
          <w:kern w:val="0"/>
          <w:sz w:val="32"/>
          <w:szCs w:val="32"/>
          <w:highlight w:val="none"/>
          <w:lang w:val="en-US" w:eastAsia="zh-CN"/>
        </w:rPr>
        <w:t>300</w:t>
      </w:r>
      <w:r>
        <w:rPr>
          <w:rFonts w:eastAsia="仿宋_GB2312"/>
          <w:b w:val="0"/>
          <w:bCs/>
          <w:snapToGrid w:val="0"/>
          <w:kern w:val="0"/>
          <w:sz w:val="32"/>
          <w:szCs w:val="32"/>
          <w:highlight w:val="none"/>
        </w:rPr>
        <w:t>万元，完成预算的</w:t>
      </w:r>
      <w:r>
        <w:rPr>
          <w:rFonts w:hint="eastAsia" w:eastAsia="仿宋_GB2312"/>
          <w:b w:val="0"/>
          <w:bCs/>
          <w:snapToGrid w:val="0"/>
          <w:kern w:val="0"/>
          <w:sz w:val="32"/>
          <w:szCs w:val="32"/>
          <w:highlight w:val="none"/>
          <w:lang w:val="en-US" w:eastAsia="zh-CN"/>
        </w:rPr>
        <w:t>100</w:t>
      </w:r>
      <w:r>
        <w:rPr>
          <w:rFonts w:eastAsia="仿宋_GB2312"/>
          <w:b w:val="0"/>
          <w:bCs/>
          <w:snapToGrid w:val="0"/>
          <w:kern w:val="0"/>
          <w:sz w:val="32"/>
          <w:szCs w:val="32"/>
          <w:highlight w:val="none"/>
        </w:rPr>
        <w:t>%。</w:t>
      </w:r>
      <w:r>
        <w:rPr>
          <w:rFonts w:hint="eastAsia" w:eastAsia="仿宋_GB2312"/>
          <w:b w:val="0"/>
          <w:bCs/>
          <w:snapToGrid w:val="0"/>
          <w:kern w:val="0"/>
          <w:sz w:val="32"/>
          <w:szCs w:val="32"/>
          <w:highlight w:val="none"/>
          <w:lang w:eastAsia="zh-CN"/>
        </w:rPr>
        <w:t>该项目</w:t>
      </w:r>
      <w:r>
        <w:rPr>
          <w:rFonts w:hint="eastAsia" w:ascii="仿宋_GB2312" w:hAnsi="仿宋_GB2312" w:eastAsia="仿宋_GB2312" w:cs="仿宋_GB2312"/>
          <w:sz w:val="32"/>
          <w:szCs w:val="32"/>
        </w:rPr>
        <w:t>促使巴蜀文化的社会影响力不断扩大。出版阶段性成果荣获教育部“第八届高等学校科学研究优秀成果（人文社会科学）”一等奖1项，《巴蜀全书》知名度不断提升；全年召开了专题会议3次，学术会议7次，学术交流9次，学术讲座16次；赠送阶段性出版成果553册；编纂工作简报4期；出版学术刊物1期，完成编纂2期。</w:t>
      </w:r>
    </w:p>
    <w:tbl>
      <w:tblPr>
        <w:tblStyle w:val="12"/>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1050"/>
        <w:gridCol w:w="1275"/>
        <w:gridCol w:w="1650"/>
        <w:gridCol w:w="2460"/>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61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1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《巴蜀全书》编纂经费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中共四川省委宣传部</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中国共产党四川省委员会宣传部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2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况</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联合目录系列规划内项目《巴蜀文献版本目录》《巴蜀文献提要》剩余任务的所有编纂、撰写和审稿，精品集萃系列经史子集四部剩余任务的校点和注释任务，推进《巴蜀全书》三大系列的资料搜集、数据整理、审稿、会议、宣传和出版等各项工作。</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成《巴蜀文献版本目录》（80万字）《巴蜀文献提要》（100万字）。2.精品集萃系列完成新校点99种，修订130种，共3611万字。3.审稿2959万字。4.出版阶段性成果13种。提交出版书稿15种，专家评审通过书稿24种，已完成齐清定书稿33种。5.出版阶段性成果荣获教育部“第八届高等学校科学研究优秀成果（人文社会科学）”一等奖1项。6.召开专题会议3次，学术会议7次，学术交流9次，学术讲座16次。7.赠送阶段性出版成果553册。8.编纂工作简报4期。出版学术刊物1期，完成编纂2期。公众号发布信息202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完成《巴蜀文献版本目录》编纂；完成《巴蜀文献提要》撰写；完成精品集萃系列</w:t>
            </w:r>
            <w:r>
              <w:rPr>
                <w:rFonts w:ascii="Arial" w:hAnsi="Arial" w:eastAsia="宋体" w:cs="Arial"/>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种的校点和注释</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分别处理信息</w:t>
            </w:r>
            <w:r>
              <w:rPr>
                <w:rFonts w:ascii="Arial" w:hAnsi="Arial" w:eastAsia="宋体" w:cs="Arial"/>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万字、</w:t>
            </w:r>
            <w:r>
              <w:rPr>
                <w:rFonts w:ascii="Arial" w:hAnsi="Arial" w:eastAsia="宋体" w:cs="Arial"/>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万字、</w:t>
            </w:r>
            <w:r>
              <w:rPr>
                <w:rFonts w:ascii="Arial" w:hAnsi="Arial" w:eastAsia="宋体" w:cs="Arial"/>
                <w:i w:val="0"/>
                <w:iCs w:val="0"/>
                <w:color w:val="000000"/>
                <w:kern w:val="0"/>
                <w:sz w:val="20"/>
                <w:szCs w:val="20"/>
                <w:u w:val="none"/>
                <w:lang w:val="en-US" w:eastAsia="zh-CN" w:bidi="ar"/>
              </w:rPr>
              <w:t>3000</w:t>
            </w:r>
            <w:r>
              <w:rPr>
                <w:rFonts w:hint="eastAsia" w:ascii="宋体" w:hAnsi="宋体" w:eastAsia="宋体" w:cs="宋体"/>
                <w:i w:val="0"/>
                <w:iCs w:val="0"/>
                <w:color w:val="000000"/>
                <w:kern w:val="0"/>
                <w:sz w:val="20"/>
                <w:szCs w:val="20"/>
                <w:u w:val="none"/>
                <w:lang w:val="en-US" w:eastAsia="zh-CN" w:bidi="ar"/>
              </w:rPr>
              <w:t>万字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完成《巴蜀文献版本目录》（</w:t>
            </w:r>
            <w:r>
              <w:rPr>
                <w:rFonts w:ascii="Arial" w:hAnsi="Arial" w:eastAsia="宋体" w:cs="Arial"/>
                <w:i w:val="0"/>
                <w:iCs w:val="0"/>
                <w:color w:val="000000"/>
                <w:kern w:val="0"/>
                <w:sz w:val="20"/>
                <w:szCs w:val="20"/>
                <w:u w:val="none"/>
                <w:lang w:val="en-US" w:eastAsia="zh-CN" w:bidi="ar"/>
              </w:rPr>
              <w:t>80</w:t>
            </w:r>
            <w:r>
              <w:rPr>
                <w:rFonts w:hint="eastAsia" w:ascii="宋体" w:hAnsi="宋体" w:eastAsia="宋体" w:cs="宋体"/>
                <w:i w:val="0"/>
                <w:iCs w:val="0"/>
                <w:color w:val="000000"/>
                <w:kern w:val="0"/>
                <w:sz w:val="20"/>
                <w:szCs w:val="20"/>
                <w:u w:val="none"/>
                <w:lang w:val="en-US" w:eastAsia="zh-CN" w:bidi="ar"/>
              </w:rPr>
              <w:t>万字）、《巴蜀文献提要》（</w:t>
            </w:r>
            <w:r>
              <w:rPr>
                <w:rFonts w:ascii="Arial" w:hAnsi="Arial" w:eastAsia="宋体" w:cs="Arial"/>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万字）；完成精品集萃系列新校点</w:t>
            </w:r>
            <w:r>
              <w:rPr>
                <w:rFonts w:ascii="Arial" w:hAnsi="Arial" w:eastAsia="宋体" w:cs="Arial"/>
                <w:i w:val="0"/>
                <w:iCs w:val="0"/>
                <w:color w:val="000000"/>
                <w:kern w:val="0"/>
                <w:sz w:val="20"/>
                <w:szCs w:val="20"/>
                <w:u w:val="none"/>
                <w:lang w:val="en-US" w:eastAsia="zh-CN" w:bidi="ar"/>
              </w:rPr>
              <w:t>99</w:t>
            </w:r>
            <w:r>
              <w:rPr>
                <w:rFonts w:hint="eastAsia" w:ascii="宋体" w:hAnsi="宋体" w:eastAsia="宋体" w:cs="宋体"/>
                <w:i w:val="0"/>
                <w:iCs w:val="0"/>
                <w:color w:val="000000"/>
                <w:kern w:val="0"/>
                <w:sz w:val="20"/>
                <w:szCs w:val="20"/>
                <w:u w:val="none"/>
                <w:lang w:val="en-US" w:eastAsia="zh-CN" w:bidi="ar"/>
              </w:rPr>
              <w:t>种，修订</w:t>
            </w:r>
            <w:r>
              <w:rPr>
                <w:rFonts w:ascii="Arial" w:hAnsi="Arial" w:eastAsia="宋体" w:cs="Arial"/>
                <w:i w:val="0"/>
                <w:iCs w:val="0"/>
                <w:color w:val="000000"/>
                <w:kern w:val="0"/>
                <w:sz w:val="20"/>
                <w:szCs w:val="20"/>
                <w:u w:val="none"/>
                <w:lang w:val="en-US" w:eastAsia="zh-CN" w:bidi="ar"/>
              </w:rPr>
              <w:t>130</w:t>
            </w:r>
            <w:r>
              <w:rPr>
                <w:rFonts w:hint="eastAsia" w:ascii="宋体" w:hAnsi="宋体" w:eastAsia="宋体" w:cs="宋体"/>
                <w:i w:val="0"/>
                <w:iCs w:val="0"/>
                <w:color w:val="000000"/>
                <w:kern w:val="0"/>
                <w:sz w:val="20"/>
                <w:szCs w:val="20"/>
                <w:u w:val="none"/>
                <w:lang w:val="en-US" w:eastAsia="zh-CN" w:bidi="ar"/>
              </w:rPr>
              <w:t>种（点校</w:t>
            </w:r>
            <w:r>
              <w:rPr>
                <w:rFonts w:ascii="Arial" w:hAnsi="Arial" w:eastAsia="宋体" w:cs="Arial"/>
                <w:i w:val="0"/>
                <w:iCs w:val="0"/>
                <w:color w:val="000000"/>
                <w:kern w:val="0"/>
                <w:sz w:val="20"/>
                <w:szCs w:val="20"/>
                <w:u w:val="none"/>
                <w:lang w:val="en-US" w:eastAsia="zh-CN" w:bidi="ar"/>
              </w:rPr>
              <w:t>1680</w:t>
            </w:r>
            <w:r>
              <w:rPr>
                <w:rFonts w:hint="eastAsia" w:ascii="宋体" w:hAnsi="宋体" w:eastAsia="宋体" w:cs="宋体"/>
                <w:i w:val="0"/>
                <w:iCs w:val="0"/>
                <w:color w:val="000000"/>
                <w:kern w:val="0"/>
                <w:sz w:val="20"/>
                <w:szCs w:val="20"/>
                <w:u w:val="none"/>
                <w:lang w:val="en-US" w:eastAsia="zh-CN" w:bidi="ar"/>
              </w:rPr>
              <w:t>万字，录入、校对、修改等处理</w:t>
            </w:r>
            <w:r>
              <w:rPr>
                <w:rFonts w:ascii="Arial" w:hAnsi="Arial" w:eastAsia="宋体" w:cs="Arial"/>
                <w:i w:val="0"/>
                <w:iCs w:val="0"/>
                <w:color w:val="000000"/>
                <w:kern w:val="0"/>
                <w:sz w:val="20"/>
                <w:szCs w:val="20"/>
                <w:u w:val="none"/>
                <w:lang w:val="en-US" w:eastAsia="zh-CN" w:bidi="ar"/>
              </w:rPr>
              <w:t>1931</w:t>
            </w:r>
            <w:r>
              <w:rPr>
                <w:rFonts w:hint="eastAsia" w:ascii="宋体" w:hAnsi="宋体" w:eastAsia="宋体" w:cs="宋体"/>
                <w:i w:val="0"/>
                <w:iCs w:val="0"/>
                <w:color w:val="000000"/>
                <w:kern w:val="0"/>
                <w:sz w:val="20"/>
                <w:szCs w:val="20"/>
                <w:u w:val="none"/>
                <w:lang w:val="en-US" w:eastAsia="zh-CN" w:bidi="ar"/>
              </w:rPr>
              <w:t>万字，共计</w:t>
            </w:r>
            <w:r>
              <w:rPr>
                <w:rFonts w:ascii="Arial" w:hAnsi="Arial" w:eastAsia="宋体" w:cs="Arial"/>
                <w:i w:val="0"/>
                <w:iCs w:val="0"/>
                <w:color w:val="000000"/>
                <w:kern w:val="0"/>
                <w:sz w:val="20"/>
                <w:szCs w:val="20"/>
                <w:u w:val="none"/>
                <w:lang w:val="en-US" w:eastAsia="zh-CN" w:bidi="ar"/>
              </w:rPr>
              <w:t>3611</w:t>
            </w:r>
            <w:r>
              <w:rPr>
                <w:rFonts w:hint="eastAsia" w:ascii="宋体" w:hAnsi="宋体" w:eastAsia="宋体" w:cs="宋体"/>
                <w:i w:val="0"/>
                <w:iCs w:val="0"/>
                <w:color w:val="000000"/>
                <w:kern w:val="0"/>
                <w:sz w:val="20"/>
                <w:szCs w:val="20"/>
                <w:u w:val="none"/>
                <w:lang w:val="en-US" w:eastAsia="zh-CN" w:bidi="ar"/>
              </w:rPr>
              <w:t>万字）。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《巴蜀全书》审稿</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4000</w:t>
            </w:r>
            <w:r>
              <w:rPr>
                <w:rFonts w:hint="eastAsia" w:ascii="宋体" w:hAnsi="宋体" w:eastAsia="宋体" w:cs="宋体"/>
                <w:i w:val="0"/>
                <w:iCs w:val="0"/>
                <w:color w:val="000000"/>
                <w:kern w:val="0"/>
                <w:sz w:val="20"/>
                <w:szCs w:val="20"/>
                <w:u w:val="none"/>
                <w:lang w:val="en-US" w:eastAsia="zh-CN" w:bidi="ar"/>
              </w:rPr>
              <w:t>万字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审稿</w:t>
            </w:r>
            <w:r>
              <w:rPr>
                <w:rFonts w:ascii="Arial" w:hAnsi="Arial" w:eastAsia="宋体" w:cs="Arial"/>
                <w:i w:val="0"/>
                <w:iCs w:val="0"/>
                <w:color w:val="000000"/>
                <w:kern w:val="0"/>
                <w:sz w:val="20"/>
                <w:szCs w:val="20"/>
                <w:u w:val="none"/>
                <w:lang w:val="en-US" w:eastAsia="zh-CN" w:bidi="ar"/>
              </w:rPr>
              <w:t>2959</w:t>
            </w:r>
            <w:r>
              <w:rPr>
                <w:rFonts w:hint="eastAsia" w:ascii="宋体" w:hAnsi="宋体" w:eastAsia="宋体" w:cs="宋体"/>
                <w:i w:val="0"/>
                <w:iCs w:val="0"/>
                <w:color w:val="000000"/>
                <w:kern w:val="0"/>
                <w:sz w:val="20"/>
                <w:szCs w:val="20"/>
                <w:u w:val="none"/>
                <w:lang w:val="en-US" w:eastAsia="zh-CN" w:bidi="ar"/>
              </w:rPr>
              <w:t>万字。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图书采购；网站维护、简报、刊物、微信公众号</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图书采购</w:t>
            </w:r>
            <w:r>
              <w:rPr>
                <w:rFonts w:ascii="Arial" w:hAnsi="Arial" w:eastAsia="宋体" w:cs="Arial"/>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种；简报</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期，刊物</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期，公众号</w:t>
            </w:r>
            <w:r>
              <w:rPr>
                <w:rFonts w:ascii="Arial" w:hAnsi="Arial" w:eastAsia="宋体" w:cs="Arial"/>
                <w:i w:val="0"/>
                <w:iCs w:val="0"/>
                <w:color w:val="000000"/>
                <w:kern w:val="0"/>
                <w:sz w:val="20"/>
                <w:szCs w:val="20"/>
                <w:u w:val="none"/>
                <w:lang w:val="en-US" w:eastAsia="zh-CN" w:bidi="ar"/>
              </w:rPr>
              <w:t>365</w:t>
            </w:r>
            <w:r>
              <w:rPr>
                <w:rFonts w:hint="eastAsia" w:ascii="宋体" w:hAnsi="宋体" w:eastAsia="宋体" w:cs="宋体"/>
                <w:i w:val="0"/>
                <w:iCs w:val="0"/>
                <w:color w:val="000000"/>
                <w:kern w:val="0"/>
                <w:sz w:val="20"/>
                <w:szCs w:val="20"/>
                <w:u w:val="none"/>
                <w:lang w:val="en-US" w:eastAsia="zh-CN" w:bidi="ar"/>
              </w:rPr>
              <w:t>条以上信息</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图书采购</w:t>
            </w:r>
            <w:r>
              <w:rPr>
                <w:rFonts w:ascii="Arial" w:hAnsi="Arial" w:eastAsia="宋体" w:cs="Arial"/>
                <w:i w:val="0"/>
                <w:iCs w:val="0"/>
                <w:color w:val="000000"/>
                <w:kern w:val="0"/>
                <w:sz w:val="20"/>
                <w:szCs w:val="20"/>
                <w:u w:val="none"/>
                <w:lang w:val="en-US" w:eastAsia="zh-CN" w:bidi="ar"/>
              </w:rPr>
              <w:t>300</w:t>
            </w:r>
            <w:r>
              <w:rPr>
                <w:rFonts w:hint="eastAsia" w:ascii="宋体" w:hAnsi="宋体" w:eastAsia="宋体" w:cs="宋体"/>
                <w:i w:val="0"/>
                <w:iCs w:val="0"/>
                <w:color w:val="000000"/>
                <w:kern w:val="0"/>
                <w:sz w:val="20"/>
                <w:szCs w:val="20"/>
                <w:u w:val="none"/>
                <w:lang w:val="en-US" w:eastAsia="zh-CN" w:bidi="ar"/>
              </w:rPr>
              <w:t>余套，</w:t>
            </w:r>
            <w:r>
              <w:rPr>
                <w:rFonts w:ascii="Arial" w:hAnsi="Arial" w:eastAsia="宋体" w:cs="Arial"/>
                <w:i w:val="0"/>
                <w:iCs w:val="0"/>
                <w:color w:val="000000"/>
                <w:kern w:val="0"/>
                <w:sz w:val="20"/>
                <w:szCs w:val="20"/>
                <w:u w:val="none"/>
                <w:lang w:val="en-US" w:eastAsia="zh-CN" w:bidi="ar"/>
              </w:rPr>
              <w:t>700</w:t>
            </w:r>
            <w:r>
              <w:rPr>
                <w:rFonts w:hint="eastAsia" w:ascii="宋体" w:hAnsi="宋体" w:eastAsia="宋体" w:cs="宋体"/>
                <w:i w:val="0"/>
                <w:iCs w:val="0"/>
                <w:color w:val="000000"/>
                <w:kern w:val="0"/>
                <w:sz w:val="20"/>
                <w:szCs w:val="20"/>
                <w:u w:val="none"/>
                <w:lang w:val="en-US" w:eastAsia="zh-CN" w:bidi="ar"/>
              </w:rPr>
              <w:t>余册；编纂简报</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期；出版学术刊物</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期，完成编纂</w:t>
            </w:r>
            <w:r>
              <w:rPr>
                <w:rFonts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期；公众号上传信息</w:t>
            </w:r>
            <w:r>
              <w:rPr>
                <w:rFonts w:ascii="Arial" w:hAnsi="Arial" w:eastAsia="宋体" w:cs="Arial"/>
                <w:i w:val="0"/>
                <w:iCs w:val="0"/>
                <w:color w:val="000000"/>
                <w:kern w:val="0"/>
                <w:sz w:val="20"/>
                <w:szCs w:val="20"/>
                <w:u w:val="none"/>
                <w:lang w:val="en-US" w:eastAsia="zh-CN" w:bidi="ar"/>
              </w:rPr>
              <w:t>202</w:t>
            </w: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出版精品集萃系列及《蜀学丛刊》等系列</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种</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出版阶段性成果</w:t>
            </w:r>
            <w:r>
              <w:rPr>
                <w:rFonts w:ascii="Arial" w:hAnsi="Arial" w:eastAsia="宋体" w:cs="Arial"/>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种，提出出版书稿</w:t>
            </w:r>
            <w:r>
              <w:rPr>
                <w:rFonts w:ascii="Arial" w:hAnsi="Arial" w:eastAsia="宋体" w:cs="Arial"/>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任务完成率</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44166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2020</w:t>
            </w:r>
            <w:r>
              <w:rPr>
                <w:rFonts w:hint="eastAsia" w:ascii="宋体" w:hAnsi="宋体" w:eastAsia="宋体" w:cs="宋体"/>
                <w:i w:val="0"/>
                <w:iCs w:val="0"/>
                <w:color w:val="000000"/>
                <w:kern w:val="0"/>
                <w:sz w:val="20"/>
                <w:szCs w:val="2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《巴蜀文献版本目录》《巴蜀文献提要》；</w:t>
            </w:r>
            <w:r>
              <w:rPr>
                <w:rFonts w:ascii="Arial" w:hAnsi="Arial" w:eastAsia="宋体" w:cs="Arial"/>
                <w:i w:val="0"/>
                <w:iCs w:val="0"/>
                <w:color w:val="000000"/>
                <w:kern w:val="0"/>
                <w:sz w:val="20"/>
                <w:szCs w:val="20"/>
                <w:u w:val="none"/>
                <w:lang w:val="en-US" w:eastAsia="zh-CN" w:bidi="ar"/>
              </w:rPr>
              <w:t>2020</w:t>
            </w:r>
            <w:r>
              <w:rPr>
                <w:rFonts w:hint="eastAsia" w:ascii="宋体" w:hAnsi="宋体" w:eastAsia="宋体" w:cs="宋体"/>
                <w:i w:val="0"/>
                <w:iCs w:val="0"/>
                <w:color w:val="000000"/>
                <w:kern w:val="0"/>
                <w:sz w:val="20"/>
                <w:szCs w:val="20"/>
                <w:u w:val="none"/>
                <w:lang w:val="en-US" w:eastAsia="zh-CN" w:bidi="ar"/>
              </w:rPr>
              <w:t>年度完成精品集萃系列；《巴蜀全书》审稿；《巴蜀全书》录入、排版、耗材</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分别为</w:t>
            </w:r>
            <w:r>
              <w:rPr>
                <w:rFonts w:ascii="Arial" w:hAnsi="Arial" w:eastAsia="宋体" w:cs="Arial"/>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万；</w:t>
            </w:r>
            <w:r>
              <w:rPr>
                <w:rFonts w:ascii="Arial" w:hAnsi="Arial" w:eastAsia="宋体" w:cs="Arial"/>
                <w:i w:val="0"/>
                <w:iCs w:val="0"/>
                <w:color w:val="000000"/>
                <w:kern w:val="0"/>
                <w:sz w:val="20"/>
                <w:szCs w:val="20"/>
                <w:u w:val="none"/>
                <w:lang w:val="en-US" w:eastAsia="zh-CN" w:bidi="ar"/>
              </w:rPr>
              <w:t>120</w:t>
            </w:r>
            <w:r>
              <w:rPr>
                <w:rFonts w:hint="eastAsia" w:ascii="宋体" w:hAnsi="宋体" w:eastAsia="宋体" w:cs="宋体"/>
                <w:i w:val="0"/>
                <w:iCs w:val="0"/>
                <w:color w:val="000000"/>
                <w:kern w:val="0"/>
                <w:sz w:val="20"/>
                <w:szCs w:val="20"/>
                <w:u w:val="none"/>
                <w:lang w:val="en-US" w:eastAsia="zh-CN" w:bidi="ar"/>
              </w:rPr>
              <w:t>万；</w:t>
            </w:r>
            <w:r>
              <w:rPr>
                <w:rFonts w:ascii="Arial" w:hAnsi="Arial" w:eastAsia="宋体" w:cs="Arial"/>
                <w:i w:val="0"/>
                <w:iCs w:val="0"/>
                <w:color w:val="000000"/>
                <w:kern w:val="0"/>
                <w:sz w:val="20"/>
                <w:szCs w:val="20"/>
                <w:u w:val="none"/>
                <w:lang w:val="en-US" w:eastAsia="zh-CN" w:bidi="ar"/>
              </w:rPr>
              <w:t xml:space="preserve"> 40</w:t>
            </w:r>
            <w:r>
              <w:rPr>
                <w:rFonts w:hint="eastAsia" w:ascii="宋体" w:hAnsi="宋体" w:eastAsia="宋体" w:cs="宋体"/>
                <w:i w:val="0"/>
                <w:iCs w:val="0"/>
                <w:color w:val="000000"/>
                <w:kern w:val="0"/>
                <w:sz w:val="20"/>
                <w:szCs w:val="20"/>
                <w:u w:val="none"/>
                <w:lang w:val="en-US" w:eastAsia="zh-CN" w:bidi="ar"/>
              </w:rPr>
              <w:t>万</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科研劳务费</w:t>
            </w:r>
            <w:r>
              <w:rPr>
                <w:rFonts w:ascii="Arial" w:hAnsi="Arial" w:eastAsia="宋体" w:cs="Arial"/>
                <w:i w:val="0"/>
                <w:iCs w:val="0"/>
                <w:color w:val="000000"/>
                <w:kern w:val="0"/>
                <w:sz w:val="20"/>
                <w:szCs w:val="20"/>
                <w:u w:val="none"/>
                <w:lang w:val="en-US" w:eastAsia="zh-CN" w:bidi="ar"/>
              </w:rPr>
              <w:t>67</w:t>
            </w:r>
            <w:r>
              <w:rPr>
                <w:rFonts w:hint="eastAsia" w:ascii="宋体" w:hAnsi="宋体" w:eastAsia="宋体" w:cs="宋体"/>
                <w:i w:val="0"/>
                <w:iCs w:val="0"/>
                <w:color w:val="000000"/>
                <w:kern w:val="0"/>
                <w:sz w:val="20"/>
                <w:szCs w:val="20"/>
                <w:u w:val="none"/>
                <w:lang w:val="en-US" w:eastAsia="zh-CN" w:bidi="ar"/>
              </w:rPr>
              <w:t>万、出版印刷费</w:t>
            </w:r>
            <w:r>
              <w:rPr>
                <w:rFonts w:ascii="Arial" w:hAnsi="Arial" w:eastAsia="宋体" w:cs="Arial"/>
                <w:i w:val="0"/>
                <w:iCs w:val="0"/>
                <w:color w:val="000000"/>
                <w:kern w:val="0"/>
                <w:sz w:val="20"/>
                <w:szCs w:val="20"/>
                <w:u w:val="none"/>
                <w:lang w:val="en-US" w:eastAsia="zh-CN" w:bidi="ar"/>
              </w:rPr>
              <w:t>118</w:t>
            </w:r>
            <w:r>
              <w:rPr>
                <w:rFonts w:hint="eastAsia" w:ascii="宋体" w:hAnsi="宋体" w:eastAsia="宋体" w:cs="宋体"/>
                <w:i w:val="0"/>
                <w:iCs w:val="0"/>
                <w:color w:val="000000"/>
                <w:kern w:val="0"/>
                <w:sz w:val="20"/>
                <w:szCs w:val="20"/>
                <w:u w:val="none"/>
                <w:lang w:val="en-US" w:eastAsia="zh-CN" w:bidi="ar"/>
              </w:rPr>
              <w:t>万、评审会议费等</w:t>
            </w:r>
            <w:r>
              <w:rPr>
                <w:rFonts w:ascii="Arial" w:hAnsi="Arial" w:eastAsia="宋体" w:cs="Arial"/>
                <w:i w:val="0"/>
                <w:iCs w:val="0"/>
                <w:color w:val="000000"/>
                <w:kern w:val="0"/>
                <w:sz w:val="20"/>
                <w:szCs w:val="20"/>
                <w:u w:val="none"/>
                <w:lang w:val="en-US" w:eastAsia="zh-CN" w:bidi="ar"/>
              </w:rPr>
              <w:t>23</w:t>
            </w:r>
            <w:r>
              <w:rPr>
                <w:rFonts w:hint="eastAsia" w:ascii="宋体" w:hAnsi="宋体" w:eastAsia="宋体" w:cs="宋体"/>
                <w:i w:val="0"/>
                <w:iCs w:val="0"/>
                <w:color w:val="000000"/>
                <w:kern w:val="0"/>
                <w:sz w:val="20"/>
                <w:szCs w:val="20"/>
                <w:u w:val="none"/>
                <w:lang w:val="en-US" w:eastAsia="zh-CN" w:bidi="ar"/>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图书采购；网站维护、简报、刊物、微信公众号等</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r>
              <w:rPr>
                <w:rFonts w:hint="eastAsia" w:ascii="宋体" w:hAnsi="宋体" w:eastAsia="宋体" w:cs="宋体"/>
                <w:i w:val="0"/>
                <w:iCs w:val="0"/>
                <w:color w:val="000000"/>
                <w:kern w:val="0"/>
                <w:sz w:val="20"/>
                <w:szCs w:val="20"/>
                <w:u w:val="none"/>
                <w:lang w:val="en-US" w:eastAsia="zh-CN" w:bidi="ar"/>
              </w:rPr>
              <w:t>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图书采购及杂支</w:t>
            </w:r>
            <w:r>
              <w:rPr>
                <w:rFonts w:ascii="Arial" w:hAnsi="Arial" w:eastAsia="宋体" w:cs="Arial"/>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推进《巴蜀全书》的编纂与研究</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规范整理案卷归档，有效保存工作资料，方便档案查询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稳步推进《巴蜀全书》的编纂与研究，</w:t>
            </w:r>
            <w:r>
              <w:rPr>
                <w:rFonts w:ascii="Arial" w:hAnsi="Arial" w:eastAsia="宋体" w:cs="Arial"/>
                <w:i w:val="0"/>
                <w:iCs w:val="0"/>
                <w:color w:val="000000"/>
                <w:kern w:val="0"/>
                <w:sz w:val="20"/>
                <w:szCs w:val="20"/>
                <w:u w:val="none"/>
                <w:lang w:val="en-US" w:eastAsia="zh-CN" w:bidi="ar"/>
              </w:rPr>
              <w:t>2020</w:t>
            </w:r>
            <w:r>
              <w:rPr>
                <w:rFonts w:hint="eastAsia" w:ascii="宋体" w:hAnsi="宋体" w:eastAsia="宋体" w:cs="宋体"/>
                <w:i w:val="0"/>
                <w:iCs w:val="0"/>
                <w:color w:val="000000"/>
                <w:kern w:val="0"/>
                <w:sz w:val="20"/>
                <w:szCs w:val="20"/>
                <w:u w:val="none"/>
                <w:lang w:val="en-US" w:eastAsia="zh-CN" w:bidi="ar"/>
              </w:rPr>
              <w:t>年度：</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完成《巴蜀文献版本目录》《巴蜀文献提要》。</w:t>
            </w:r>
            <w:r>
              <w:rPr>
                <w:rFonts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精品集萃系列完成新校点</w:t>
            </w:r>
            <w:r>
              <w:rPr>
                <w:rFonts w:ascii="Arial" w:hAnsi="Arial" w:eastAsia="宋体" w:cs="Arial"/>
                <w:i w:val="0"/>
                <w:iCs w:val="0"/>
                <w:color w:val="000000"/>
                <w:kern w:val="0"/>
                <w:sz w:val="20"/>
                <w:szCs w:val="20"/>
                <w:u w:val="none"/>
                <w:lang w:val="en-US" w:eastAsia="zh-CN" w:bidi="ar"/>
              </w:rPr>
              <w:t>99</w:t>
            </w:r>
            <w:r>
              <w:rPr>
                <w:rFonts w:hint="eastAsia" w:ascii="宋体" w:hAnsi="宋体" w:eastAsia="宋体" w:cs="宋体"/>
                <w:i w:val="0"/>
                <w:iCs w:val="0"/>
                <w:color w:val="000000"/>
                <w:kern w:val="0"/>
                <w:sz w:val="20"/>
                <w:szCs w:val="20"/>
                <w:u w:val="none"/>
                <w:lang w:val="en-US" w:eastAsia="zh-CN" w:bidi="ar"/>
              </w:rPr>
              <w:t>种，修订</w:t>
            </w:r>
            <w:r>
              <w:rPr>
                <w:rFonts w:ascii="Arial" w:hAnsi="Arial" w:eastAsia="宋体" w:cs="Arial"/>
                <w:i w:val="0"/>
                <w:iCs w:val="0"/>
                <w:color w:val="000000"/>
                <w:kern w:val="0"/>
                <w:sz w:val="20"/>
                <w:szCs w:val="20"/>
                <w:u w:val="none"/>
                <w:lang w:val="en-US" w:eastAsia="zh-CN" w:bidi="ar"/>
              </w:rPr>
              <w:t>130</w:t>
            </w:r>
            <w:r>
              <w:rPr>
                <w:rFonts w:hint="eastAsia" w:ascii="宋体" w:hAnsi="宋体" w:eastAsia="宋体" w:cs="宋体"/>
                <w:i w:val="0"/>
                <w:iCs w:val="0"/>
                <w:color w:val="000000"/>
                <w:kern w:val="0"/>
                <w:sz w:val="20"/>
                <w:szCs w:val="20"/>
                <w:u w:val="none"/>
                <w:lang w:val="en-US" w:eastAsia="zh-CN" w:bidi="ar"/>
              </w:rPr>
              <w:t>种，共</w:t>
            </w:r>
            <w:r>
              <w:rPr>
                <w:rFonts w:ascii="Arial" w:hAnsi="Arial" w:eastAsia="宋体" w:cs="Arial"/>
                <w:i w:val="0"/>
                <w:iCs w:val="0"/>
                <w:color w:val="000000"/>
                <w:kern w:val="0"/>
                <w:sz w:val="20"/>
                <w:szCs w:val="20"/>
                <w:u w:val="none"/>
                <w:lang w:val="en-US" w:eastAsia="zh-CN" w:bidi="ar"/>
              </w:rPr>
              <w:t>3611</w:t>
            </w:r>
            <w:r>
              <w:rPr>
                <w:rFonts w:hint="eastAsia" w:ascii="宋体" w:hAnsi="宋体" w:eastAsia="宋体" w:cs="宋体"/>
                <w:i w:val="0"/>
                <w:iCs w:val="0"/>
                <w:color w:val="000000"/>
                <w:kern w:val="0"/>
                <w:sz w:val="20"/>
                <w:szCs w:val="20"/>
                <w:u w:val="none"/>
                <w:lang w:val="en-US" w:eastAsia="zh-CN" w:bidi="ar"/>
              </w:rPr>
              <w:t>万字。</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审稿</w:t>
            </w:r>
            <w:r>
              <w:rPr>
                <w:rFonts w:ascii="Arial" w:hAnsi="Arial" w:eastAsia="宋体" w:cs="Arial"/>
                <w:i w:val="0"/>
                <w:iCs w:val="0"/>
                <w:color w:val="000000"/>
                <w:kern w:val="0"/>
                <w:sz w:val="20"/>
                <w:szCs w:val="20"/>
                <w:u w:val="none"/>
                <w:lang w:val="en-US" w:eastAsia="zh-CN" w:bidi="ar"/>
              </w:rPr>
              <w:t>2959</w:t>
            </w:r>
            <w:r>
              <w:rPr>
                <w:rFonts w:hint="eastAsia" w:ascii="宋体" w:hAnsi="宋体" w:eastAsia="宋体" w:cs="宋体"/>
                <w:i w:val="0"/>
                <w:iCs w:val="0"/>
                <w:color w:val="000000"/>
                <w:kern w:val="0"/>
                <w:sz w:val="20"/>
                <w:szCs w:val="20"/>
                <w:u w:val="none"/>
                <w:lang w:val="en-US" w:eastAsia="zh-CN" w:bidi="ar"/>
              </w:rPr>
              <w:t>万字。</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出版阶段性成果</w:t>
            </w:r>
            <w:r>
              <w:rPr>
                <w:rFonts w:ascii="Arial" w:hAnsi="Arial" w:eastAsia="宋体" w:cs="Arial"/>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种。提交出版书稿</w:t>
            </w:r>
            <w:r>
              <w:rPr>
                <w:rFonts w:ascii="Arial" w:hAnsi="Arial" w:eastAsia="宋体" w:cs="Arial"/>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种，专家评审通过书稿</w:t>
            </w:r>
            <w:r>
              <w:rPr>
                <w:rFonts w:ascii="Arial" w:hAnsi="Arial" w:eastAsia="宋体" w:cs="Arial"/>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种，已完成齐清定书稿</w:t>
            </w:r>
            <w:r>
              <w:rPr>
                <w:rFonts w:ascii="Arial" w:hAnsi="Arial" w:eastAsia="宋体" w:cs="Arial"/>
                <w:i w:val="0"/>
                <w:iCs w:val="0"/>
                <w:color w:val="000000"/>
                <w:kern w:val="0"/>
                <w:sz w:val="20"/>
                <w:szCs w:val="20"/>
                <w:u w:val="none"/>
                <w:lang w:val="en-US" w:eastAsia="zh-CN" w:bidi="ar"/>
              </w:rPr>
              <w:t>33</w:t>
            </w:r>
            <w:r>
              <w:rPr>
                <w:rFonts w:hint="eastAsia" w:ascii="宋体" w:hAnsi="宋体" w:eastAsia="宋体" w:cs="宋体"/>
                <w:i w:val="0"/>
                <w:iCs w:val="0"/>
                <w:color w:val="000000"/>
                <w:kern w:val="0"/>
                <w:sz w:val="20"/>
                <w:szCs w:val="20"/>
                <w:u w:val="none"/>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弘扬巴蜀文化、培养人才</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会议召开、网络平台的宣传</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出版阶段性成果荣获教育部</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第八届高等学校科学研究优秀成果（人文社会科学）</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一等奖</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项，《巴蜀全书》知名度不断提升。</w:t>
            </w:r>
            <w:r>
              <w:rPr>
                <w:rFonts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召开专题会议</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次，学术会议</w:t>
            </w:r>
            <w:r>
              <w:rPr>
                <w:rFonts w:ascii="Arial" w:hAnsi="Arial" w:eastAsia="宋体" w:cs="Arial"/>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次，学术交流</w:t>
            </w:r>
            <w:r>
              <w:rPr>
                <w:rFonts w:ascii="Arial" w:hAnsi="Arial" w:eastAsia="宋体" w:cs="Arial"/>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次，学术讲座</w:t>
            </w:r>
            <w:r>
              <w:rPr>
                <w:rFonts w:ascii="Arial" w:hAnsi="Arial" w:eastAsia="宋体" w:cs="Arial"/>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次。</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赠送阶段性出版成果</w:t>
            </w:r>
            <w:r>
              <w:rPr>
                <w:rFonts w:ascii="Arial" w:hAnsi="Arial" w:eastAsia="宋体" w:cs="Arial"/>
                <w:i w:val="0"/>
                <w:iCs w:val="0"/>
                <w:color w:val="000000"/>
                <w:kern w:val="0"/>
                <w:sz w:val="20"/>
                <w:szCs w:val="20"/>
                <w:u w:val="none"/>
                <w:lang w:val="en-US" w:eastAsia="zh-CN" w:bidi="ar"/>
              </w:rPr>
              <w:t>553</w:t>
            </w:r>
            <w:r>
              <w:rPr>
                <w:rFonts w:hint="eastAsia" w:ascii="宋体" w:hAnsi="宋体" w:eastAsia="宋体" w:cs="宋体"/>
                <w:i w:val="0"/>
                <w:iCs w:val="0"/>
                <w:color w:val="000000"/>
                <w:kern w:val="0"/>
                <w:sz w:val="20"/>
                <w:szCs w:val="20"/>
                <w:u w:val="none"/>
                <w:lang w:val="en-US" w:eastAsia="zh-CN" w:bidi="ar"/>
              </w:rPr>
              <w:t>册。</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编纂工作简报</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期。出版学术刊物</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期，完成编纂</w:t>
            </w:r>
            <w:r>
              <w:rPr>
                <w:rFonts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期。公众号发布信息</w:t>
            </w:r>
            <w:r>
              <w:rPr>
                <w:rFonts w:ascii="Arial" w:hAnsi="Arial" w:eastAsia="宋体" w:cs="Arial"/>
                <w:i w:val="0"/>
                <w:iCs w:val="0"/>
                <w:color w:val="000000"/>
                <w:kern w:val="0"/>
                <w:sz w:val="20"/>
                <w:szCs w:val="20"/>
                <w:u w:val="none"/>
                <w:lang w:val="en-US" w:eastAsia="zh-CN" w:bidi="ar"/>
              </w:rPr>
              <w:t>202</w:t>
            </w:r>
            <w:r>
              <w:rPr>
                <w:rFonts w:hint="eastAsia" w:ascii="宋体" w:hAnsi="宋体" w:eastAsia="宋体" w:cs="宋体"/>
                <w:i w:val="0"/>
                <w:iCs w:val="0"/>
                <w:color w:val="000000"/>
                <w:kern w:val="0"/>
                <w:sz w:val="20"/>
                <w:szCs w:val="20"/>
                <w:u w:val="none"/>
                <w:lang w:val="en-US" w:eastAsia="zh-CN" w:bidi="ar"/>
              </w:rPr>
              <w:t>条。社会影响不断扩大。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最新学术研究水平</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年</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意</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ascii="Arial" w:hAnsi="Arial" w:eastAsia="宋体" w:cs="Arial"/>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学术管理部门满意度</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文献使用者满意度</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r>
    </w:tbl>
    <w:p>
      <w:pPr>
        <w:pStyle w:val="2"/>
        <w:rPr>
          <w:rFonts w:hint="eastAsia" w:ascii="楷体_GB2312" w:hAnsi="楷体_GB2312" w:eastAsia="楷体_GB2312" w:cs="楷体_GB2312"/>
          <w:sz w:val="32"/>
          <w:szCs w:val="32"/>
          <w:highlight w:val="none"/>
        </w:rPr>
      </w:pPr>
    </w:p>
    <w:p>
      <w:pPr>
        <w:spacing w:line="580" w:lineRule="exact"/>
        <w:ind w:left="63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）单位</w:t>
      </w:r>
      <w:r>
        <w:rPr>
          <w:rFonts w:hint="eastAsia" w:ascii="楷体_GB2312" w:hAnsi="楷体_GB2312" w:eastAsia="楷体_GB2312" w:cs="楷体_GB2312"/>
          <w:color w:val="auto"/>
          <w:sz w:val="32"/>
          <w:szCs w:val="32"/>
        </w:rPr>
        <w:t>绩效评价结果。</w:t>
      </w:r>
    </w:p>
    <w:p>
      <w:pPr>
        <w:snapToGrid w:val="0"/>
        <w:spacing w:line="60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单位自行组织</w:t>
      </w:r>
      <w:r>
        <w:rPr>
          <w:rFonts w:hint="eastAsia" w:ascii="仿宋_GB2312" w:hAnsi="仿宋_GB2312" w:eastAsia="仿宋_GB2312" w:cs="仿宋_GB2312"/>
          <w:sz w:val="32"/>
          <w:szCs w:val="32"/>
          <w:highlight w:val="none"/>
        </w:rPr>
        <w:t>对20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年《巴蜀全书》编纂经费项目支出绩效开展自评，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巴蜀全书》编纂经费项目支出绩效自评报告见附件</w:t>
      </w:r>
      <w:r>
        <w:rPr>
          <w:rFonts w:hint="eastAsia" w:ascii="仿宋_GB2312" w:hAnsi="仿宋_GB2312" w:eastAsia="仿宋_GB2312" w:cs="仿宋_GB2312"/>
          <w:sz w:val="32"/>
          <w:szCs w:val="32"/>
          <w:highlight w:val="none"/>
          <w:lang w:eastAsia="zh-CN"/>
        </w:rPr>
        <w:t>（第四部分）。</w:t>
      </w:r>
    </w:p>
    <w:p>
      <w:pPr>
        <w:snapToGrid w:val="0"/>
        <w:spacing w:line="600" w:lineRule="exact"/>
        <w:ind w:firstLine="640" w:firstLineChars="200"/>
        <w:jc w:val="left"/>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numPr>
          <w:ilvl w:val="0"/>
          <w:numId w:val="5"/>
        </w:numPr>
        <w:spacing w:line="600" w:lineRule="exact"/>
        <w:ind w:firstLine="660" w:firstLineChars="150"/>
        <w:jc w:val="center"/>
        <w:outlineLvl w:val="0"/>
        <w:rPr>
          <w:rStyle w:val="24"/>
          <w:rFonts w:ascii="黑体" w:hAnsi="黑体" w:eastAsia="黑体"/>
          <w:b w:val="0"/>
          <w:highlight w:val="none"/>
        </w:rPr>
      </w:pPr>
      <w:bookmarkStart w:id="49" w:name="_Toc15396613"/>
      <w:bookmarkStart w:id="50" w:name="_Toc15377225"/>
      <w:r>
        <w:rPr>
          <w:rFonts w:hint="eastAsia" w:ascii="黑体" w:hAnsi="黑体" w:eastAsia="黑体"/>
          <w:color w:val="000000"/>
          <w:sz w:val="44"/>
          <w:szCs w:val="44"/>
          <w:highlight w:val="none"/>
        </w:rPr>
        <w:t>名</w:t>
      </w:r>
      <w:r>
        <w:rPr>
          <w:rStyle w:val="24"/>
          <w:rFonts w:hint="eastAsia" w:ascii="黑体" w:hAnsi="黑体" w:eastAsia="黑体"/>
          <w:b w:val="0"/>
          <w:highlight w:val="none"/>
        </w:rPr>
        <w:t>词解释</w:t>
      </w:r>
      <w:bookmarkEnd w:id="49"/>
      <w:bookmarkEnd w:id="50"/>
    </w:p>
    <w:p>
      <w:pPr>
        <w:spacing w:line="600" w:lineRule="exact"/>
        <w:jc w:val="left"/>
        <w:rPr>
          <w:rFonts w:ascii="宋体"/>
          <w:b/>
          <w:color w:val="000000"/>
          <w:sz w:val="44"/>
          <w:szCs w:val="44"/>
          <w:highlight w:val="none"/>
        </w:rPr>
      </w:pPr>
    </w:p>
    <w:p>
      <w:pPr>
        <w:pStyle w:val="22"/>
        <w:spacing w:line="560" w:lineRule="exact"/>
        <w:ind w:firstLine="640" w:firstLineChars="200"/>
        <w:rPr>
          <w:rFonts w:hint="eastAsia" w:ascii="仿宋_GB2312" w:eastAsia="仿宋_GB2312"/>
          <w:sz w:val="32"/>
          <w:szCs w:val="32"/>
          <w:highlight w:val="none"/>
        </w:rPr>
      </w:pPr>
      <w:r>
        <w:rPr>
          <w:rFonts w:ascii="Times New Roman" w:hAnsi="Times New Roman" w:eastAsia="楷体_GB2312" w:cs="Times New Roman"/>
          <w:b w:val="0"/>
          <w:bCs/>
          <w:snapToGrid w:val="0"/>
          <w:color w:val="000000"/>
          <w:kern w:val="0"/>
          <w:sz w:val="32"/>
          <w:szCs w:val="32"/>
          <w:highlight w:val="none"/>
          <w:lang w:val="en-US" w:eastAsia="zh-CN" w:bidi="ar-SA"/>
        </w:rPr>
        <w:t>1.</w:t>
      </w:r>
      <w:r>
        <w:rPr>
          <w:rFonts w:hint="eastAsia" w:ascii="Times New Roman" w:hAnsi="Times New Roman" w:eastAsia="楷体_GB2312" w:cs="Times New Roman"/>
          <w:b w:val="0"/>
          <w:bCs/>
          <w:snapToGrid w:val="0"/>
          <w:color w:val="000000"/>
          <w:kern w:val="0"/>
          <w:sz w:val="32"/>
          <w:szCs w:val="32"/>
          <w:highlight w:val="none"/>
          <w:lang w:val="en-US" w:eastAsia="zh-CN" w:bidi="ar-SA"/>
        </w:rPr>
        <w:t>财政拨款收入：</w:t>
      </w:r>
      <w:r>
        <w:rPr>
          <w:rFonts w:hint="eastAsia" w:ascii="仿宋_GB2312" w:eastAsia="仿宋_GB2312"/>
          <w:sz w:val="32"/>
          <w:szCs w:val="32"/>
          <w:highlight w:val="none"/>
        </w:rPr>
        <w:t>指单位从同级财政部门取得的财政预算资金。</w:t>
      </w:r>
    </w:p>
    <w:p>
      <w:pPr>
        <w:pStyle w:val="22"/>
        <w:spacing w:line="560" w:lineRule="exact"/>
        <w:ind w:firstLine="640" w:firstLineChars="200"/>
        <w:rPr>
          <w:rFonts w:hint="eastAsia" w:ascii="仿宋_GB2312" w:eastAsia="仿宋_GB2312"/>
          <w:sz w:val="32"/>
          <w:szCs w:val="32"/>
          <w:highlight w:val="none"/>
          <w:lang w:eastAsia="zh-CN"/>
        </w:rPr>
      </w:pPr>
      <w:r>
        <w:rPr>
          <w:rFonts w:hint="eastAsia" w:ascii="Times New Roman" w:hAnsi="Times New Roman" w:eastAsia="楷体_GB2312" w:cs="Times New Roman"/>
          <w:b w:val="0"/>
          <w:bCs/>
          <w:snapToGrid w:val="0"/>
          <w:color w:val="000000"/>
          <w:kern w:val="0"/>
          <w:sz w:val="32"/>
          <w:szCs w:val="32"/>
          <w:highlight w:val="none"/>
          <w:lang w:val="en-US" w:eastAsia="zh-CN" w:bidi="ar-SA"/>
        </w:rPr>
        <w:t>2</w:t>
      </w:r>
      <w:r>
        <w:rPr>
          <w:rFonts w:ascii="Times New Roman" w:hAnsi="Times New Roman" w:eastAsia="楷体_GB2312" w:cs="Times New Roman"/>
          <w:b w:val="0"/>
          <w:bCs/>
          <w:snapToGrid w:val="0"/>
          <w:color w:val="000000"/>
          <w:kern w:val="0"/>
          <w:sz w:val="32"/>
          <w:szCs w:val="32"/>
          <w:highlight w:val="none"/>
          <w:lang w:val="en-US" w:eastAsia="zh-CN" w:bidi="ar-SA"/>
        </w:rPr>
        <w:t>.</w:t>
      </w:r>
      <w:r>
        <w:rPr>
          <w:rFonts w:hint="eastAsia" w:ascii="Times New Roman" w:hAnsi="Times New Roman" w:eastAsia="楷体_GB2312" w:cs="Times New Roman"/>
          <w:b w:val="0"/>
          <w:bCs/>
          <w:snapToGrid w:val="0"/>
          <w:color w:val="000000"/>
          <w:kern w:val="0"/>
          <w:sz w:val="32"/>
          <w:szCs w:val="32"/>
          <w:highlight w:val="none"/>
          <w:lang w:val="en-US" w:eastAsia="zh-CN" w:bidi="ar-SA"/>
        </w:rPr>
        <w:t>其他收入：</w:t>
      </w:r>
      <w:r>
        <w:rPr>
          <w:rFonts w:hint="eastAsia" w:ascii="仿宋_GB2312" w:eastAsia="仿宋_GB2312"/>
          <w:sz w:val="32"/>
          <w:szCs w:val="32"/>
          <w:highlight w:val="none"/>
        </w:rPr>
        <w:t>指单位取得的除上述收入以外的各项收入。</w:t>
      </w:r>
    </w:p>
    <w:p>
      <w:pPr>
        <w:pStyle w:val="22"/>
        <w:spacing w:line="560" w:lineRule="exact"/>
        <w:ind w:firstLine="640" w:firstLineChars="200"/>
        <w:rPr>
          <w:rFonts w:hint="eastAsia" w:ascii="仿宋_GB2312" w:eastAsia="仿宋_GB2312"/>
          <w:sz w:val="32"/>
          <w:szCs w:val="32"/>
          <w:highlight w:val="none"/>
        </w:rPr>
      </w:pPr>
      <w:r>
        <w:rPr>
          <w:rFonts w:hint="eastAsia" w:ascii="Times New Roman" w:hAnsi="Times New Roman" w:eastAsia="楷体_GB2312" w:cs="Times New Roman"/>
          <w:b w:val="0"/>
          <w:bCs/>
          <w:snapToGrid w:val="0"/>
          <w:color w:val="000000"/>
          <w:kern w:val="0"/>
          <w:sz w:val="32"/>
          <w:szCs w:val="32"/>
          <w:highlight w:val="none"/>
          <w:lang w:val="en-US" w:eastAsia="zh-CN" w:bidi="ar-SA"/>
        </w:rPr>
        <w:t>3</w:t>
      </w:r>
      <w:r>
        <w:rPr>
          <w:rFonts w:ascii="Times New Roman" w:hAnsi="Times New Roman" w:eastAsia="楷体_GB2312" w:cs="Times New Roman"/>
          <w:b w:val="0"/>
          <w:bCs/>
          <w:snapToGrid w:val="0"/>
          <w:color w:val="000000"/>
          <w:kern w:val="0"/>
          <w:sz w:val="32"/>
          <w:szCs w:val="32"/>
          <w:highlight w:val="none"/>
          <w:lang w:val="en-US" w:eastAsia="zh-CN" w:bidi="ar-SA"/>
        </w:rPr>
        <w:t>.</w:t>
      </w:r>
      <w:r>
        <w:rPr>
          <w:rFonts w:hint="eastAsia" w:ascii="Times New Roman" w:hAnsi="Times New Roman" w:eastAsia="楷体_GB2312" w:cs="Times New Roman"/>
          <w:b w:val="0"/>
          <w:bCs/>
          <w:snapToGrid w:val="0"/>
          <w:color w:val="000000"/>
          <w:kern w:val="0"/>
          <w:sz w:val="32"/>
          <w:szCs w:val="32"/>
          <w:highlight w:val="none"/>
          <w:lang w:val="en-US" w:eastAsia="zh-CN" w:bidi="ar-SA"/>
        </w:rPr>
        <w:t>年初结转和结余：</w:t>
      </w:r>
      <w:r>
        <w:rPr>
          <w:rFonts w:hint="eastAsia" w:ascii="仿宋_GB2312" w:eastAsia="仿宋_GB2312"/>
          <w:sz w:val="32"/>
          <w:szCs w:val="32"/>
          <w:highlight w:val="none"/>
        </w:rPr>
        <w:t xml:space="preserve">指以前年度尚未完成、结转到本年按有关规定继续使用的资金。 </w:t>
      </w:r>
    </w:p>
    <w:p>
      <w:pPr>
        <w:pStyle w:val="22"/>
        <w:spacing w:line="560" w:lineRule="exact"/>
        <w:ind w:firstLine="640" w:firstLineChars="200"/>
        <w:rPr>
          <w:rFonts w:ascii="仿宋_GB2312" w:eastAsia="仿宋_GB2312"/>
          <w:sz w:val="32"/>
          <w:szCs w:val="32"/>
          <w:highlight w:val="none"/>
        </w:rPr>
      </w:pPr>
      <w:r>
        <w:rPr>
          <w:rFonts w:hint="eastAsia" w:ascii="Times New Roman" w:hAnsi="Times New Roman" w:eastAsia="楷体_GB2312" w:cs="Times New Roman"/>
          <w:b w:val="0"/>
          <w:bCs/>
          <w:snapToGrid w:val="0"/>
          <w:color w:val="000000"/>
          <w:kern w:val="0"/>
          <w:sz w:val="32"/>
          <w:szCs w:val="32"/>
          <w:highlight w:val="none"/>
          <w:lang w:val="en-US" w:eastAsia="zh-CN" w:bidi="ar-SA"/>
        </w:rPr>
        <w:t>4、年末结转和结余</w:t>
      </w:r>
      <w:r>
        <w:rPr>
          <w:rFonts w:hint="eastAsia" w:ascii="仿宋_GB2312" w:eastAsia="仿宋_GB2312"/>
          <w:sz w:val="32"/>
          <w:szCs w:val="32"/>
          <w:highlight w:val="none"/>
        </w:rPr>
        <w:t>：指单位按有关规定结转到下年或以后年度继续使用的资金。</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5</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一般公共服务（类）宣传事务（款）行政运行（项）：</w:t>
      </w:r>
      <w:r>
        <w:rPr>
          <w:rFonts w:eastAsia="仿宋_GB2312"/>
          <w:b w:val="0"/>
          <w:bCs/>
          <w:snapToGrid w:val="0"/>
          <w:color w:val="000000"/>
          <w:kern w:val="0"/>
          <w:sz w:val="32"/>
          <w:szCs w:val="32"/>
          <w:highlight w:val="none"/>
        </w:rPr>
        <w:t>指宣传部</w:t>
      </w:r>
      <w:r>
        <w:rPr>
          <w:rFonts w:hint="eastAsia" w:eastAsia="仿宋_GB2312"/>
          <w:b w:val="0"/>
          <w:bCs/>
          <w:snapToGrid w:val="0"/>
          <w:color w:val="000000"/>
          <w:kern w:val="0"/>
          <w:sz w:val="32"/>
          <w:szCs w:val="32"/>
          <w:highlight w:val="none"/>
          <w:lang w:eastAsia="zh-CN"/>
        </w:rPr>
        <w:t>机关</w:t>
      </w:r>
      <w:r>
        <w:rPr>
          <w:rFonts w:eastAsia="仿宋_GB2312"/>
          <w:b w:val="0"/>
          <w:bCs/>
          <w:snapToGrid w:val="0"/>
          <w:color w:val="000000"/>
          <w:kern w:val="0"/>
          <w:sz w:val="32"/>
          <w:szCs w:val="32"/>
          <w:highlight w:val="none"/>
        </w:rPr>
        <w:t>用于保障机构正常运行、开展日常工作的基本支出。</w:t>
      </w:r>
    </w:p>
    <w:p>
      <w:pPr>
        <w:overflowPunct w:val="0"/>
        <w:adjustRightInd w:val="0"/>
        <w:snapToGrid w:val="0"/>
        <w:spacing w:line="600" w:lineRule="exact"/>
        <w:ind w:firstLine="640" w:firstLineChars="200"/>
        <w:rPr>
          <w:rStyle w:val="30"/>
          <w:rFonts w:hint="default" w:ascii="Times New Roman"/>
          <w:b w:val="0"/>
          <w:bCs/>
          <w:snapToGrid w:val="0"/>
          <w:kern w:val="0"/>
          <w:highlight w:val="none"/>
        </w:rPr>
      </w:pPr>
      <w:r>
        <w:rPr>
          <w:rFonts w:hint="eastAsia" w:eastAsia="仿宋_GB2312"/>
          <w:b w:val="0"/>
          <w:bCs/>
          <w:snapToGrid w:val="0"/>
          <w:color w:val="000000"/>
          <w:kern w:val="0"/>
          <w:sz w:val="32"/>
          <w:szCs w:val="32"/>
          <w:highlight w:val="none"/>
          <w:lang w:val="en-US" w:eastAsia="zh-CN"/>
        </w:rPr>
        <w:t>6</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一般公共服务（类）宣传事务（款）一般行政管理事务（项）：</w:t>
      </w:r>
      <w:r>
        <w:rPr>
          <w:rStyle w:val="30"/>
          <w:rFonts w:hint="default" w:ascii="Times New Roman"/>
          <w:b w:val="0"/>
          <w:bCs/>
          <w:snapToGrid w:val="0"/>
          <w:kern w:val="0"/>
          <w:highlight w:val="none"/>
        </w:rPr>
        <w:t>指宣传部</w:t>
      </w:r>
      <w:r>
        <w:rPr>
          <w:rStyle w:val="30"/>
          <w:rFonts w:hint="eastAsia" w:eastAsia="仿宋_GB2312"/>
          <w:b w:val="0"/>
          <w:bCs/>
          <w:snapToGrid w:val="0"/>
          <w:kern w:val="0"/>
          <w:highlight w:val="none"/>
          <w:lang w:eastAsia="zh-CN"/>
        </w:rPr>
        <w:t>机关</w:t>
      </w:r>
      <w:r>
        <w:rPr>
          <w:rStyle w:val="30"/>
          <w:rFonts w:hint="default" w:ascii="Times New Roman"/>
          <w:b w:val="0"/>
          <w:bCs/>
          <w:snapToGrid w:val="0"/>
          <w:kern w:val="0"/>
          <w:highlight w:val="none"/>
        </w:rPr>
        <w:t>未单独设置项级科目的其他项目支出。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7</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文化体育与传媒支出（类）新闻出版广播影视（款）其他新闻出版广播影视支出（项）：</w:t>
      </w:r>
      <w:r>
        <w:rPr>
          <w:rFonts w:eastAsia="仿宋_GB2312"/>
          <w:b w:val="0"/>
          <w:bCs/>
          <w:snapToGrid w:val="0"/>
          <w:color w:val="000000"/>
          <w:kern w:val="0"/>
          <w:sz w:val="32"/>
          <w:szCs w:val="32"/>
          <w:highlight w:val="none"/>
        </w:rPr>
        <w:t>指宣传部</w:t>
      </w:r>
      <w:r>
        <w:rPr>
          <w:rFonts w:hint="eastAsia" w:eastAsia="仿宋_GB2312"/>
          <w:b w:val="0"/>
          <w:bCs/>
          <w:snapToGrid w:val="0"/>
          <w:color w:val="000000"/>
          <w:kern w:val="0"/>
          <w:sz w:val="32"/>
          <w:szCs w:val="32"/>
          <w:highlight w:val="none"/>
          <w:lang w:eastAsia="zh-CN"/>
        </w:rPr>
        <w:t>机关</w:t>
      </w:r>
      <w:r>
        <w:rPr>
          <w:rFonts w:eastAsia="仿宋_GB2312"/>
          <w:b w:val="0"/>
          <w:bCs/>
          <w:snapToGrid w:val="0"/>
          <w:color w:val="000000"/>
          <w:kern w:val="0"/>
          <w:sz w:val="32"/>
          <w:szCs w:val="32"/>
          <w:highlight w:val="none"/>
        </w:rPr>
        <w:t>按照国家有关政策开展其他新闻出版影视工作的专项支出。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8</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文化体育与传媒支出（类）其他文化体育与传媒支出（款）宣传文化发展专项支出（项）：</w:t>
      </w:r>
      <w:r>
        <w:rPr>
          <w:rFonts w:eastAsia="仿宋_GB2312"/>
          <w:b w:val="0"/>
          <w:bCs/>
          <w:snapToGrid w:val="0"/>
          <w:color w:val="000000"/>
          <w:kern w:val="0"/>
          <w:sz w:val="32"/>
          <w:szCs w:val="32"/>
          <w:highlight w:val="none"/>
        </w:rPr>
        <w:t>指宣传部</w:t>
      </w:r>
      <w:r>
        <w:rPr>
          <w:rFonts w:hint="eastAsia" w:eastAsia="仿宋_GB2312"/>
          <w:b w:val="0"/>
          <w:bCs/>
          <w:snapToGrid w:val="0"/>
          <w:color w:val="000000"/>
          <w:kern w:val="0"/>
          <w:sz w:val="32"/>
          <w:szCs w:val="32"/>
          <w:highlight w:val="none"/>
          <w:lang w:eastAsia="zh-CN"/>
        </w:rPr>
        <w:t>机关</w:t>
      </w:r>
      <w:r>
        <w:rPr>
          <w:rFonts w:eastAsia="仿宋_GB2312"/>
          <w:b w:val="0"/>
          <w:bCs/>
          <w:snapToGrid w:val="0"/>
          <w:color w:val="000000"/>
          <w:kern w:val="0"/>
          <w:sz w:val="32"/>
          <w:szCs w:val="32"/>
          <w:highlight w:val="none"/>
        </w:rPr>
        <w:t>按照国家有关政策支持宣传文化单位发展的专项支出。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9</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文化体育与传媒支出（类）其他文化体育与传媒支出（款）文化产业发展专项支出（项）：</w:t>
      </w:r>
      <w:r>
        <w:rPr>
          <w:rFonts w:eastAsia="仿宋_GB2312"/>
          <w:b w:val="0"/>
          <w:bCs/>
          <w:snapToGrid w:val="0"/>
          <w:color w:val="000000"/>
          <w:kern w:val="0"/>
          <w:sz w:val="32"/>
          <w:szCs w:val="32"/>
          <w:highlight w:val="none"/>
        </w:rPr>
        <w:t>指宣传部</w:t>
      </w:r>
      <w:r>
        <w:rPr>
          <w:rFonts w:hint="eastAsia" w:eastAsia="仿宋_GB2312"/>
          <w:b w:val="0"/>
          <w:bCs/>
          <w:snapToGrid w:val="0"/>
          <w:color w:val="000000"/>
          <w:kern w:val="0"/>
          <w:sz w:val="32"/>
          <w:szCs w:val="32"/>
          <w:highlight w:val="none"/>
          <w:lang w:eastAsia="zh-CN"/>
        </w:rPr>
        <w:t>机关</w:t>
      </w:r>
      <w:r>
        <w:rPr>
          <w:rFonts w:eastAsia="仿宋_GB2312"/>
          <w:b w:val="0"/>
          <w:bCs/>
          <w:snapToGrid w:val="0"/>
          <w:color w:val="000000"/>
          <w:kern w:val="0"/>
          <w:sz w:val="32"/>
          <w:szCs w:val="32"/>
          <w:highlight w:val="none"/>
        </w:rPr>
        <w:t>按照国家有关政策开展文化产业发展工作的专项支出。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10</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文化体育与传媒支出（类）其他文化体育与传媒支出（款）其他文化体育与传媒支出（项）：</w:t>
      </w:r>
      <w:r>
        <w:rPr>
          <w:rFonts w:eastAsia="仿宋_GB2312"/>
          <w:b w:val="0"/>
          <w:bCs/>
          <w:snapToGrid w:val="0"/>
          <w:color w:val="000000"/>
          <w:kern w:val="0"/>
          <w:sz w:val="32"/>
          <w:szCs w:val="32"/>
          <w:highlight w:val="none"/>
        </w:rPr>
        <w:t>指宣传部</w:t>
      </w:r>
      <w:r>
        <w:rPr>
          <w:rFonts w:hint="eastAsia" w:eastAsia="仿宋_GB2312"/>
          <w:b w:val="0"/>
          <w:bCs/>
          <w:snapToGrid w:val="0"/>
          <w:color w:val="000000"/>
          <w:kern w:val="0"/>
          <w:sz w:val="32"/>
          <w:szCs w:val="32"/>
          <w:highlight w:val="none"/>
          <w:lang w:eastAsia="zh-CN"/>
        </w:rPr>
        <w:t>机关</w:t>
      </w:r>
      <w:r>
        <w:rPr>
          <w:rFonts w:eastAsia="仿宋_GB2312"/>
          <w:b w:val="0"/>
          <w:bCs/>
          <w:snapToGrid w:val="0"/>
          <w:color w:val="000000"/>
          <w:kern w:val="0"/>
          <w:sz w:val="32"/>
          <w:szCs w:val="32"/>
          <w:highlight w:val="none"/>
        </w:rPr>
        <w:t>按照国家有关政策开展除宣传文化、文化产业发展以外的文化体育与传媒方面工作的支出。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11</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社会保障和就业支出（类）行政事业单位离退休（款）事业单位离休费（项）：</w:t>
      </w:r>
      <w:r>
        <w:rPr>
          <w:rFonts w:eastAsia="仿宋_GB2312"/>
          <w:b w:val="0"/>
          <w:bCs/>
          <w:snapToGrid w:val="0"/>
          <w:color w:val="000000"/>
          <w:kern w:val="0"/>
          <w:sz w:val="32"/>
          <w:szCs w:val="32"/>
          <w:highlight w:val="none"/>
        </w:rPr>
        <w:t>指实行归口管理的事业单位开支的离退休经费。</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12</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社会保障和就业支出（类）行政事业单位离退休（款）未归口管理的行政单位离退休（项）：</w:t>
      </w:r>
      <w:r>
        <w:rPr>
          <w:rFonts w:eastAsia="仿宋_GB2312"/>
          <w:b w:val="0"/>
          <w:bCs/>
          <w:snapToGrid w:val="0"/>
          <w:color w:val="000000"/>
          <w:kern w:val="0"/>
          <w:sz w:val="32"/>
          <w:szCs w:val="32"/>
          <w:highlight w:val="none"/>
        </w:rPr>
        <w:t>指未实行归口管理的行政事业单位开支的离退休支出。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13</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社会保障和就业支出（类）行政事业单位离退休（款）机关事业单位基本养老保险缴费支出（项）：</w:t>
      </w:r>
      <w:r>
        <w:rPr>
          <w:rFonts w:eastAsia="仿宋_GB2312"/>
          <w:b w:val="0"/>
          <w:bCs/>
          <w:snapToGrid w:val="0"/>
          <w:color w:val="000000"/>
          <w:kern w:val="0"/>
          <w:sz w:val="32"/>
          <w:szCs w:val="32"/>
          <w:highlight w:val="none"/>
        </w:rPr>
        <w:t>指机关事业单位实施养老保险制度由单位缴纳的基本养老保险。</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14</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社会保障和就业支出（类）行政事业单位离退休（款）机关事业单位职业年金缴费支出（项）：</w:t>
      </w:r>
      <w:r>
        <w:rPr>
          <w:rFonts w:eastAsia="仿宋_GB2312"/>
          <w:b w:val="0"/>
          <w:bCs/>
          <w:snapToGrid w:val="0"/>
          <w:color w:val="000000"/>
          <w:kern w:val="0"/>
          <w:sz w:val="32"/>
          <w:szCs w:val="32"/>
          <w:highlight w:val="none"/>
        </w:rPr>
        <w:t>指机关事业单位实施养老保险制度由单位缴纳的职业年金支出。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15</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社会保障和就业支出（类）抚恤（款）死亡抚恤（项）：</w:t>
      </w:r>
      <w:r>
        <w:rPr>
          <w:rFonts w:eastAsia="仿宋_GB2312"/>
          <w:b w:val="0"/>
          <w:bCs/>
          <w:snapToGrid w:val="0"/>
          <w:color w:val="000000"/>
          <w:kern w:val="0"/>
          <w:sz w:val="32"/>
          <w:szCs w:val="32"/>
          <w:highlight w:val="none"/>
        </w:rPr>
        <w:t>指按规定用于病故人员家属的一次性和定期抚恤金以及丧葬补助经费。</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color w:val="000000"/>
          <w:kern w:val="0"/>
          <w:sz w:val="32"/>
          <w:szCs w:val="32"/>
          <w:highlight w:val="none"/>
          <w:lang w:val="en-US" w:eastAsia="zh-CN"/>
        </w:rPr>
        <w:t>16</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社会保障和就业支出（类）其他社会保障和就业支出（款）其他社会保障和就业支出（项）：</w:t>
      </w:r>
      <w:r>
        <w:rPr>
          <w:rFonts w:eastAsia="仿宋_GB2312"/>
          <w:b w:val="0"/>
          <w:bCs/>
          <w:snapToGrid w:val="0"/>
          <w:color w:val="000000"/>
          <w:kern w:val="0"/>
          <w:sz w:val="32"/>
          <w:szCs w:val="32"/>
          <w:highlight w:val="none"/>
        </w:rPr>
        <w:t>指其他用于社会保障和就业方面的支出。</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17</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行政事业单位医疗</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行政单位医疗</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指用于行政单位基本医疗保险缴费经费，未参加医疗保险的行政单位的公费医疗经费，按国家规定享受离休人员、红军老战士待遇人员的医疗经费。</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hint="eastAsia" w:eastAsia="仿宋_GB2312"/>
          <w:b w:val="0"/>
          <w:bCs/>
          <w:snapToGrid w:val="0"/>
          <w:kern w:val="0"/>
          <w:sz w:val="32"/>
          <w:szCs w:val="32"/>
          <w:highlight w:val="none"/>
          <w:lang w:val="en-US" w:eastAsia="zh-CN"/>
        </w:rPr>
        <w:t>18</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行政事业单位医疗</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公务员医疗补助</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指用于安排的公务员医疗补助经费。</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kern w:val="0"/>
          <w:sz w:val="32"/>
          <w:szCs w:val="32"/>
          <w:highlight w:val="none"/>
          <w:lang w:val="en-US" w:eastAsia="zh-CN"/>
        </w:rPr>
        <w:t>19</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其他卫生健康支出</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其他卫生健康支出</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指用于安排</w:t>
      </w:r>
      <w:r>
        <w:rPr>
          <w:rFonts w:eastAsia="楷体_GB2312"/>
          <w:b w:val="0"/>
          <w:bCs/>
          <w:snapToGrid w:val="0"/>
          <w:color w:val="000000"/>
          <w:kern w:val="0"/>
          <w:sz w:val="32"/>
          <w:szCs w:val="32"/>
          <w:highlight w:val="none"/>
        </w:rPr>
        <w:t>其他医疗卫生与计划生育方面的支出</w:t>
      </w:r>
      <w:r>
        <w:rPr>
          <w:rFonts w:eastAsia="仿宋_GB2312"/>
          <w:b w:val="0"/>
          <w:bCs/>
          <w:snapToGrid w:val="0"/>
          <w:color w:val="00000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楷体_GB2312"/>
          <w:b w:val="0"/>
          <w:bCs/>
          <w:snapToGrid w:val="0"/>
          <w:color w:val="000000"/>
          <w:kern w:val="0"/>
          <w:sz w:val="32"/>
          <w:szCs w:val="32"/>
          <w:highlight w:val="none"/>
          <w:lang w:val="en-US" w:eastAsia="zh-CN"/>
        </w:rPr>
        <w:t>20</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住房保障支出（类）住房改革支出（款）住房公积金（项）：</w:t>
      </w:r>
      <w:r>
        <w:rPr>
          <w:rFonts w:eastAsia="仿宋_GB2312"/>
          <w:b w:val="0"/>
          <w:bCs/>
          <w:snapToGrid w:val="0"/>
          <w:color w:val="000000"/>
          <w:kern w:val="0"/>
          <w:sz w:val="32"/>
          <w:szCs w:val="32"/>
          <w:highlight w:val="none"/>
        </w:rPr>
        <w:t>指用于行政事业单位按人力资源和社会保障部、财政部规定的基本工资和津贴补贴以及规定比例为职工缴纳的住房公积金。</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楷体_GB2312"/>
          <w:b w:val="0"/>
          <w:bCs/>
          <w:snapToGrid w:val="0"/>
          <w:color w:val="000000"/>
          <w:kern w:val="0"/>
          <w:sz w:val="32"/>
          <w:szCs w:val="32"/>
          <w:highlight w:val="none"/>
          <w:lang w:val="en-US" w:eastAsia="zh-CN"/>
        </w:rPr>
        <w:t>21</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住房保障支出（类）住房改革支出（款）购房补贴（项）：</w:t>
      </w:r>
      <w:r>
        <w:rPr>
          <w:rFonts w:eastAsia="仿宋_GB2312"/>
          <w:b w:val="0"/>
          <w:bCs/>
          <w:snapToGrid w:val="0"/>
          <w:color w:val="000000"/>
          <w:kern w:val="0"/>
          <w:sz w:val="32"/>
          <w:szCs w:val="32"/>
          <w:highlight w:val="none"/>
        </w:rPr>
        <w:t>指用于按房改政策规定，行政事业单位向符合条件职工发放的用于购买住房的补贴。</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楷体_GB2312"/>
          <w:b w:val="0"/>
          <w:bCs/>
          <w:snapToGrid w:val="0"/>
          <w:color w:val="000000"/>
          <w:kern w:val="0"/>
          <w:sz w:val="32"/>
          <w:szCs w:val="32"/>
          <w:highlight w:val="none"/>
          <w:lang w:val="en-US" w:eastAsia="zh-CN"/>
        </w:rPr>
        <w:t>22</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其他支出（类）其他支出（款）其他支出（项）：</w:t>
      </w:r>
      <w:r>
        <w:rPr>
          <w:rFonts w:eastAsia="仿宋_GB2312"/>
          <w:b w:val="0"/>
          <w:bCs/>
          <w:snapToGrid w:val="0"/>
          <w:color w:val="000000"/>
          <w:kern w:val="0"/>
          <w:sz w:val="32"/>
          <w:szCs w:val="32"/>
          <w:highlight w:val="none"/>
        </w:rPr>
        <w:t>指不能划分到具体功能科目中的支出项目。</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楷体_GB2312"/>
          <w:b w:val="0"/>
          <w:bCs/>
          <w:snapToGrid w:val="0"/>
          <w:color w:val="000000"/>
          <w:kern w:val="0"/>
          <w:sz w:val="32"/>
          <w:szCs w:val="32"/>
          <w:highlight w:val="none"/>
          <w:lang w:val="en-US" w:eastAsia="zh-CN"/>
        </w:rPr>
        <w:t>23</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基本支出：</w:t>
      </w:r>
      <w:r>
        <w:rPr>
          <w:rFonts w:eastAsia="仿宋_GB2312"/>
          <w:b w:val="0"/>
          <w:bCs/>
          <w:snapToGrid w:val="0"/>
          <w:color w:val="000000"/>
          <w:kern w:val="0"/>
          <w:sz w:val="32"/>
          <w:szCs w:val="32"/>
          <w:highlight w:val="none"/>
        </w:rPr>
        <w:t>指为保障机构正常运转、完成日常工作任务而发生的人员支出和公用支出。</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楷体_GB2312"/>
          <w:b w:val="0"/>
          <w:bCs/>
          <w:snapToGrid w:val="0"/>
          <w:color w:val="000000"/>
          <w:kern w:val="0"/>
          <w:sz w:val="32"/>
          <w:szCs w:val="32"/>
          <w:highlight w:val="none"/>
          <w:lang w:val="en-US" w:eastAsia="zh-CN"/>
        </w:rPr>
        <w:t>24</w:t>
      </w:r>
      <w:r>
        <w:rPr>
          <w:rFonts w:eastAsia="仿宋_GB2312"/>
          <w:b w:val="0"/>
          <w:bCs/>
          <w:snapToGrid w:val="0"/>
          <w:color w:val="000000"/>
          <w:kern w:val="0"/>
          <w:sz w:val="32"/>
          <w:highlight w:val="none"/>
        </w:rPr>
        <w:t>．</w:t>
      </w:r>
      <w:r>
        <w:rPr>
          <w:rFonts w:eastAsia="楷体_GB2312"/>
          <w:b w:val="0"/>
          <w:bCs/>
          <w:snapToGrid w:val="0"/>
          <w:color w:val="000000"/>
          <w:kern w:val="0"/>
          <w:sz w:val="32"/>
          <w:szCs w:val="32"/>
          <w:highlight w:val="none"/>
        </w:rPr>
        <w:t>项目支出：</w:t>
      </w:r>
      <w:r>
        <w:rPr>
          <w:rFonts w:eastAsia="仿宋_GB2312"/>
          <w:b w:val="0"/>
          <w:bCs/>
          <w:snapToGrid w:val="0"/>
          <w:color w:val="000000"/>
          <w:kern w:val="0"/>
          <w:sz w:val="32"/>
          <w:szCs w:val="32"/>
          <w:highlight w:val="none"/>
        </w:rPr>
        <w:t>指在基本支出之外为完成特定行政任务和事业发展目标所发生的支出。</w:t>
      </w:r>
    </w:p>
    <w:p>
      <w:pPr>
        <w:pStyle w:val="22"/>
        <w:overflowPunct w:val="0"/>
        <w:autoSpaceDE/>
        <w:autoSpaceDN/>
        <w:snapToGrid w:val="0"/>
        <w:spacing w:line="600" w:lineRule="exact"/>
        <w:ind w:firstLine="640" w:firstLineChars="200"/>
        <w:jc w:val="both"/>
        <w:rPr>
          <w:rFonts w:ascii="Times New Roman" w:hAnsi="Times New Roman" w:eastAsia="仿宋_GB2312" w:cs="Times New Roman"/>
          <w:b w:val="0"/>
          <w:bCs/>
          <w:snapToGrid w:val="0"/>
          <w:sz w:val="32"/>
          <w:szCs w:val="32"/>
          <w:highlight w:val="none"/>
        </w:rPr>
      </w:pPr>
      <w:r>
        <w:rPr>
          <w:rFonts w:hint="eastAsia" w:ascii="Times New Roman" w:hAnsi="Times New Roman" w:eastAsia="楷体_GB2312" w:cs="Times New Roman"/>
          <w:b w:val="0"/>
          <w:bCs/>
          <w:snapToGrid w:val="0"/>
          <w:sz w:val="32"/>
          <w:szCs w:val="32"/>
          <w:highlight w:val="none"/>
          <w:lang w:val="en-US" w:eastAsia="zh-CN"/>
        </w:rPr>
        <w:t>25</w:t>
      </w:r>
      <w:r>
        <w:rPr>
          <w:rFonts w:ascii="Times New Roman" w:hAnsi="Times New Roman" w:eastAsia="仿宋_GB2312" w:cs="Times New Roman"/>
          <w:b w:val="0"/>
          <w:bCs/>
          <w:snapToGrid w:val="0"/>
          <w:sz w:val="32"/>
          <w:highlight w:val="none"/>
        </w:rPr>
        <w:t>．</w:t>
      </w:r>
      <w:r>
        <w:rPr>
          <w:rFonts w:ascii="Times New Roman" w:hAnsi="Times New Roman" w:eastAsia="楷体_GB2312" w:cs="Times New Roman"/>
          <w:b w:val="0"/>
          <w:bCs/>
          <w:snapToGrid w:val="0"/>
          <w:sz w:val="32"/>
          <w:szCs w:val="32"/>
          <w:highlight w:val="none"/>
        </w:rPr>
        <w:t>“三公”经费：</w:t>
      </w:r>
      <w:r>
        <w:rPr>
          <w:rFonts w:ascii="Times New Roman" w:hAnsi="Times New Roman" w:eastAsia="仿宋_GB2312" w:cs="Times New Roman"/>
          <w:b w:val="0"/>
          <w:bCs/>
          <w:snapToGrid w:val="0"/>
          <w:sz w:val="32"/>
          <w:szCs w:val="32"/>
          <w:highlight w:val="none"/>
        </w:rPr>
        <w:t>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overflowPunct w:val="0"/>
        <w:autoSpaceDE/>
        <w:autoSpaceDN/>
        <w:snapToGrid w:val="0"/>
        <w:spacing w:line="600" w:lineRule="exact"/>
        <w:ind w:firstLine="640" w:firstLineChars="200"/>
        <w:jc w:val="both"/>
        <w:rPr>
          <w:rFonts w:ascii="Times New Roman" w:hAnsi="Times New Roman" w:eastAsia="仿宋_GB2312" w:cs="Times New Roman"/>
          <w:b w:val="0"/>
          <w:bCs/>
          <w:snapToGrid w:val="0"/>
          <w:sz w:val="32"/>
          <w:szCs w:val="32"/>
          <w:highlight w:val="none"/>
        </w:rPr>
      </w:pPr>
      <w:r>
        <w:rPr>
          <w:rFonts w:hint="eastAsia" w:ascii="Times New Roman" w:hAnsi="Times New Roman" w:eastAsia="楷体_GB2312" w:cs="Times New Roman"/>
          <w:b w:val="0"/>
          <w:bCs/>
          <w:snapToGrid w:val="0"/>
          <w:sz w:val="32"/>
          <w:szCs w:val="32"/>
          <w:highlight w:val="none"/>
          <w:lang w:val="en-US" w:eastAsia="zh-CN"/>
        </w:rPr>
        <w:t>26</w:t>
      </w:r>
      <w:r>
        <w:rPr>
          <w:rFonts w:ascii="Times New Roman" w:hAnsi="Times New Roman" w:eastAsia="仿宋_GB2312" w:cs="Times New Roman"/>
          <w:b w:val="0"/>
          <w:bCs/>
          <w:snapToGrid w:val="0"/>
          <w:sz w:val="32"/>
          <w:highlight w:val="none"/>
        </w:rPr>
        <w:t>．</w:t>
      </w:r>
      <w:r>
        <w:rPr>
          <w:rFonts w:ascii="Times New Roman" w:hAnsi="Times New Roman" w:eastAsia="楷体_GB2312" w:cs="Times New Roman"/>
          <w:b w:val="0"/>
          <w:bCs/>
          <w:snapToGrid w:val="0"/>
          <w:sz w:val="32"/>
          <w:szCs w:val="32"/>
          <w:highlight w:val="none"/>
        </w:rPr>
        <w:t>机关运行经费：</w:t>
      </w:r>
      <w:r>
        <w:rPr>
          <w:rFonts w:ascii="Times New Roman" w:hAnsi="Times New Roman" w:eastAsia="仿宋_GB2312" w:cs="Times New Roman"/>
          <w:b w:val="0"/>
          <w:bCs/>
          <w:snapToGrid w:val="0"/>
          <w:sz w:val="32"/>
          <w:szCs w:val="32"/>
          <w:highlight w:val="none"/>
        </w:rPr>
        <w:t>为保障行政单位（含参照公务员法管理的事业单位）运行用于购买货物和服务的各项资金，包括办公及印</w:t>
      </w:r>
      <w:bookmarkStart w:id="54" w:name="_GoBack"/>
      <w:bookmarkEnd w:id="54"/>
      <w:r>
        <w:rPr>
          <w:rFonts w:ascii="Times New Roman" w:hAnsi="Times New Roman" w:eastAsia="仿宋_GB2312" w:cs="Times New Roman"/>
          <w:b w:val="0"/>
          <w:bCs/>
          <w:snapToGrid w:val="0"/>
          <w:sz w:val="32"/>
          <w:szCs w:val="32"/>
          <w:highlight w:val="none"/>
        </w:rPr>
        <w:t>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highlight w:val="none"/>
        </w:rPr>
      </w:pPr>
      <w:bookmarkStart w:id="51" w:name="_Toc15377226"/>
      <w:r>
        <w:rPr>
          <w:rFonts w:ascii="宋体"/>
          <w:b/>
          <w:color w:val="000000"/>
          <w:sz w:val="44"/>
          <w:szCs w:val="44"/>
          <w:highlight w:val="none"/>
        </w:rPr>
        <w:br w:type="page"/>
      </w:r>
      <w:bookmarkStart w:id="52" w:name="_Toc15396614"/>
      <w:r>
        <w:rPr>
          <w:rFonts w:hint="eastAsia" w:ascii="黑体" w:hAnsi="黑体" w:eastAsia="黑体"/>
          <w:color w:val="000000"/>
          <w:sz w:val="44"/>
          <w:szCs w:val="44"/>
          <w:highlight w:val="none"/>
        </w:rPr>
        <w:t>第</w:t>
      </w:r>
      <w:r>
        <w:rPr>
          <w:rStyle w:val="24"/>
          <w:rFonts w:hint="eastAsia" w:ascii="黑体" w:hAnsi="黑体" w:eastAsia="黑体"/>
          <w:b w:val="0"/>
          <w:highlight w:val="none"/>
        </w:rPr>
        <w:t>四部分 附件</w:t>
      </w:r>
      <w:bookmarkEnd w:id="52"/>
    </w:p>
    <w:p>
      <w:pPr>
        <w:snapToGrid w:val="0"/>
        <w:spacing w:line="600" w:lineRule="exact"/>
        <w:jc w:val="center"/>
        <w:rPr>
          <w:rFonts w:hint="eastAsia" w:ascii="方正小标宋简体" w:hAnsi="宋体" w:eastAsia="方正小标宋简体"/>
          <w:sz w:val="44"/>
          <w:szCs w:val="44"/>
        </w:rPr>
      </w:pP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《巴蜀全书》编纂经费项目支出</w:t>
      </w:r>
    </w:p>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绩效自评报告</w:t>
      </w:r>
    </w:p>
    <w:p>
      <w:pPr>
        <w:tabs>
          <w:tab w:val="left" w:pos="3885"/>
        </w:tabs>
        <w:snapToGrid w:val="0"/>
        <w:spacing w:line="600" w:lineRule="exact"/>
        <w:jc w:val="center"/>
        <w:rPr>
          <w:rFonts w:hAnsi="宋体"/>
        </w:rPr>
      </w:pPr>
    </w:p>
    <w:p>
      <w:pPr>
        <w:numPr>
          <w:ilvl w:val="0"/>
          <w:numId w:val="6"/>
        </w:num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基本情况</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（一）项目基本情况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巴蜀全书》编纂经费项目（以下简称“项目”）于2012年正式启动，由四川大学牵头，省委宣传部（《巴蜀全书》编纂领导小组办公室）为省财政补助经费的主管部门，负责制定每个年度省政府补助经费的安排使用计划，并负责补助资金的管理监督。</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巴蜀全书》编纂经费项目预计完成联合目录系列规划内项目《巴蜀文献版本目录》《巴蜀文献提要》剩余任务的所有编纂、撰写和审稿，精品集萃系列经史子集四部剩余任务的校点和注释任务，推进《巴蜀全书》三大系列的资料搜集、数据整理、审稿、会议、宣传和出版等各项工作。</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（二）资金投入使用情况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2020年度项目资金总投入300万元，均为财政补助拨款经费。我部于2020年9月全额拨付项目资金至牵头单位，其中明确将此前项目结余资金和本年度项目资金中的108万元用于成果出版，保证专款专用。</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（三）项目绩效目标</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绩效目标实现程度的评价指标设8个三级指标。其中：项目产出类设三级指标4个；项目效益类设三级指标4个，指标名称及评价标准如下：</w:t>
      </w:r>
    </w:p>
    <w:tbl>
      <w:tblPr>
        <w:tblStyle w:val="12"/>
        <w:tblW w:w="5000" w:type="pct"/>
        <w:tblInd w:w="0" w:type="dxa"/>
        <w:tblLayout w:type="fixed"/>
        <w:tblCellMar>
          <w:top w:w="0" w:type="dxa"/>
          <w:left w:w="108" w:type="dxa"/>
          <w:bottom w:w="0" w:type="dxa"/>
          <w:right w:w="108" w:type="dxa"/>
        </w:tblCellMar>
      </w:tblPr>
      <w:tblGrid>
        <w:gridCol w:w="933"/>
        <w:gridCol w:w="1432"/>
        <w:gridCol w:w="5262"/>
        <w:gridCol w:w="895"/>
      </w:tblGrid>
      <w:tr>
        <w:tblPrEx>
          <w:tblCellMar>
            <w:top w:w="0" w:type="dxa"/>
            <w:left w:w="108" w:type="dxa"/>
            <w:bottom w:w="0" w:type="dxa"/>
            <w:right w:w="108" w:type="dxa"/>
          </w:tblCellMar>
        </w:tblPrEx>
        <w:trPr>
          <w:trHeight w:val="588" w:hRule="atLeast"/>
        </w:trPr>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评价内容</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三级指标名称</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指标解释</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评价方法</w:t>
            </w:r>
          </w:p>
        </w:tc>
      </w:tr>
      <w:tr>
        <w:tblPrEx>
          <w:tblCellMar>
            <w:top w:w="0" w:type="dxa"/>
            <w:left w:w="108" w:type="dxa"/>
            <w:bottom w:w="0" w:type="dxa"/>
            <w:right w:w="108" w:type="dxa"/>
          </w:tblCellMar>
        </w:tblPrEx>
        <w:trPr>
          <w:trHeight w:val="864" w:hRule="atLeast"/>
        </w:trPr>
        <w:tc>
          <w:tcPr>
            <w:tcW w:w="54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项目产出</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实际完成率</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项目实施的实际产出数与计划产出数的比率，用以反映和考核项目产出数量目标的实现程度。</w:t>
            </w:r>
          </w:p>
        </w:tc>
        <w:tc>
          <w:tcPr>
            <w:tcW w:w="52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比率分值法</w:t>
            </w:r>
          </w:p>
        </w:tc>
      </w:tr>
      <w:tr>
        <w:tblPrEx>
          <w:tblCellMar>
            <w:top w:w="0" w:type="dxa"/>
            <w:left w:w="108" w:type="dxa"/>
            <w:bottom w:w="0" w:type="dxa"/>
            <w:right w:w="108" w:type="dxa"/>
          </w:tblCellMar>
        </w:tblPrEx>
        <w:trPr>
          <w:trHeight w:val="864"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质量达标率</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项目完成的质量达标产出数与实际产出数的比率，用以反映和考核项目产出质量目标的实现程度。</w:t>
            </w:r>
          </w:p>
        </w:tc>
        <w:tc>
          <w:tcPr>
            <w:tcW w:w="52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55"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完成及时性</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项目实际完成时间与计划完成时间的比较，用以反映和考核项目产出时效目标的实现程度。</w:t>
            </w:r>
          </w:p>
        </w:tc>
        <w:tc>
          <w:tcPr>
            <w:tcW w:w="52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864"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成本节约率</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完成项目计划工作目标的实际节约成本与计划成本的比率，用以反映和考核项目的成本节约程度。</w:t>
            </w:r>
          </w:p>
        </w:tc>
        <w:tc>
          <w:tcPr>
            <w:tcW w:w="525"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88" w:hRule="atLeast"/>
        </w:trPr>
        <w:tc>
          <w:tcPr>
            <w:tcW w:w="54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项目效益</w:t>
            </w: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推进《巴蜀全书》的编纂与研究</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稳步推进《巴蜀全书》的编纂与研究的情况</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分级评分法</w:t>
            </w:r>
          </w:p>
        </w:tc>
      </w:tr>
      <w:tr>
        <w:tblPrEx>
          <w:tblCellMar>
            <w:top w:w="0" w:type="dxa"/>
            <w:left w:w="108" w:type="dxa"/>
            <w:bottom w:w="0" w:type="dxa"/>
            <w:right w:w="108" w:type="dxa"/>
          </w:tblCellMar>
        </w:tblPrEx>
        <w:trPr>
          <w:trHeight w:val="576"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弘扬巴蜀文化</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是否通过网络平台宣传巴蜀文化</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是否评分法</w:t>
            </w:r>
          </w:p>
        </w:tc>
      </w:tr>
      <w:tr>
        <w:tblPrEx>
          <w:tblCellMar>
            <w:top w:w="0" w:type="dxa"/>
            <w:left w:w="108" w:type="dxa"/>
            <w:bottom w:w="0" w:type="dxa"/>
            <w:right w:w="108" w:type="dxa"/>
          </w:tblCellMar>
        </w:tblPrEx>
        <w:trPr>
          <w:trHeight w:val="576"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参与地方文化建设</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是否将《巴蜀全书》编纂成果和经验运用于地方文化建设</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是否评分法</w:t>
            </w:r>
          </w:p>
        </w:tc>
      </w:tr>
      <w:tr>
        <w:tblPrEx>
          <w:tblCellMar>
            <w:top w:w="0" w:type="dxa"/>
            <w:left w:w="108" w:type="dxa"/>
            <w:bottom w:w="0" w:type="dxa"/>
            <w:right w:w="108" w:type="dxa"/>
          </w:tblCellMar>
        </w:tblPrEx>
        <w:trPr>
          <w:trHeight w:val="1164"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文献使用者及学术管理部门满意度</w:t>
            </w:r>
          </w:p>
        </w:tc>
        <w:tc>
          <w:tcPr>
            <w:tcW w:w="30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社会公众或服务对象是指因项目实施而受到影响的部门（单位）、群体或个人。一般采取社会调查的方式。</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满意值赋分法</w:t>
            </w:r>
          </w:p>
        </w:tc>
      </w:tr>
    </w:tbl>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二、评价工作开展情况</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财政厅关于开展2021年部门、政策和项目支出绩效评价工作的通知》（川财绩〔2021〕6号），按照设定的绩效评价指标体系，对项目决策、项目管理、项目产出、项目效益单独或综合运用是否评分法、分级评分法、比率分值法、错项扣分法、满意值赋分法等，对项目绩效目标与实施结果对比，在合理量化绩效目标实现程度的基础上，对各项指标逐项评分，汇总得出评价综合结果。</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三、综合评价结论（附评分表）</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项目立项依据充分、绩效目标较为清晰、基本合理，绩效管理规范、审核程序严谨，绩效目标完成情况总体较好，在产出及效益方面基本达到了预期，但在项目开展过程中，部分预期目标执行进度滞后。项目适用分值100分，评价得分为85分。见下表：</w:t>
      </w:r>
    </w:p>
    <w:tbl>
      <w:tblPr>
        <w:tblStyle w:val="12"/>
        <w:tblW w:w="0" w:type="auto"/>
        <w:tblInd w:w="0" w:type="dxa"/>
        <w:tblLayout w:type="autofit"/>
        <w:tblCellMar>
          <w:top w:w="0" w:type="dxa"/>
          <w:left w:w="108" w:type="dxa"/>
          <w:bottom w:w="0" w:type="dxa"/>
          <w:right w:w="108" w:type="dxa"/>
        </w:tblCellMar>
      </w:tblPr>
      <w:tblGrid>
        <w:gridCol w:w="953"/>
        <w:gridCol w:w="884"/>
        <w:gridCol w:w="1072"/>
        <w:gridCol w:w="637"/>
        <w:gridCol w:w="1267"/>
        <w:gridCol w:w="986"/>
        <w:gridCol w:w="2723"/>
      </w:tblGrid>
      <w:tr>
        <w:tblPrEx>
          <w:tblCellMar>
            <w:top w:w="0" w:type="dxa"/>
            <w:left w:w="108" w:type="dxa"/>
            <w:bottom w:w="0" w:type="dxa"/>
            <w:right w:w="108" w:type="dxa"/>
          </w:tblCellMar>
        </w:tblPrEx>
        <w:trPr>
          <w:trHeight w:val="435" w:hRule="atLeast"/>
        </w:trPr>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一级指标</w:t>
            </w:r>
          </w:p>
        </w:tc>
        <w:tc>
          <w:tcPr>
            <w:tcW w:w="8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二级指标</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三级指标</w:t>
            </w:r>
          </w:p>
        </w:tc>
        <w:tc>
          <w:tcPr>
            <w:tcW w:w="5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分值</w:t>
            </w:r>
          </w:p>
        </w:tc>
        <w:tc>
          <w:tcPr>
            <w:tcW w:w="12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评分方法</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得分</w:t>
            </w:r>
          </w:p>
        </w:tc>
        <w:tc>
          <w:tcPr>
            <w:tcW w:w="27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扣分说明</w:t>
            </w:r>
          </w:p>
        </w:tc>
      </w:tr>
      <w:tr>
        <w:tblPrEx>
          <w:tblCellMar>
            <w:top w:w="0" w:type="dxa"/>
            <w:left w:w="108" w:type="dxa"/>
            <w:bottom w:w="0" w:type="dxa"/>
            <w:right w:w="108" w:type="dxa"/>
          </w:tblCellMar>
        </w:tblPrEx>
        <w:trPr>
          <w:trHeight w:val="435"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r>
      <w:tr>
        <w:tblPrEx>
          <w:tblCellMar>
            <w:top w:w="0" w:type="dxa"/>
            <w:left w:w="108" w:type="dxa"/>
            <w:bottom w:w="0" w:type="dxa"/>
            <w:right w:w="108" w:type="dxa"/>
          </w:tblCellMar>
        </w:tblPrEx>
        <w:trPr>
          <w:trHeight w:val="435"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1276" w:type="dxa"/>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b/>
                <w:bCs/>
                <w:color w:val="000000"/>
                <w:kern w:val="0"/>
                <w:sz w:val="28"/>
                <w:szCs w:val="28"/>
              </w:rPr>
            </w:pPr>
          </w:p>
        </w:tc>
      </w:tr>
      <w:tr>
        <w:tblPrEx>
          <w:tblCellMar>
            <w:top w:w="0" w:type="dxa"/>
            <w:left w:w="108" w:type="dxa"/>
            <w:bottom w:w="0" w:type="dxa"/>
            <w:right w:w="108" w:type="dxa"/>
          </w:tblCellMar>
        </w:tblPrEx>
        <w:trPr>
          <w:trHeight w:val="624" w:hRule="atLeast"/>
        </w:trPr>
        <w:tc>
          <w:tcPr>
            <w:tcW w:w="959"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项目决策（15分）</w:t>
            </w:r>
          </w:p>
        </w:tc>
        <w:tc>
          <w:tcPr>
            <w:tcW w:w="89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项目立项</w:t>
            </w: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立项依据充分性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分级评分法</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立项程序规范性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分级评分法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1221"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绩效目标</w:t>
            </w: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绩效目标合理性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错项评分法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1248"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绩效指标明确性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错项评分法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557"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资金投入</w:t>
            </w: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预算编制科学性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错项评分法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资金分配合理性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14" w:hRule="atLeast"/>
        </w:trPr>
        <w:tc>
          <w:tcPr>
            <w:tcW w:w="959"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项目管理（15分）</w:t>
            </w:r>
          </w:p>
        </w:tc>
        <w:tc>
          <w:tcPr>
            <w:tcW w:w="89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资金管理</w:t>
            </w: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资金到位率</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比率分值法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551"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预算执行率</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比率分值法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772"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资金使用合规性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错项评分法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936"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组织实施</w:t>
            </w: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管理制度健全性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错项评分法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856"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制度执行有效性</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错项评分法</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3.00 </w:t>
            </w:r>
          </w:p>
        </w:tc>
        <w:tc>
          <w:tcPr>
            <w:tcW w:w="274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1077" w:hRule="atLeast"/>
        </w:trPr>
        <w:tc>
          <w:tcPr>
            <w:tcW w:w="959"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项目产出（40分）</w:t>
            </w:r>
          </w:p>
        </w:tc>
        <w:tc>
          <w:tcPr>
            <w:tcW w:w="890"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产出数量</w:t>
            </w:r>
          </w:p>
        </w:tc>
        <w:tc>
          <w:tcPr>
            <w:tcW w:w="1079"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实际完成率</w:t>
            </w:r>
          </w:p>
        </w:tc>
        <w:tc>
          <w:tcPr>
            <w:tcW w:w="58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比率分值法</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6.00</w:t>
            </w:r>
          </w:p>
        </w:tc>
        <w:tc>
          <w:tcPr>
            <w:tcW w:w="2744" w:type="dxa"/>
            <w:vMerge w:val="restart"/>
            <w:tcBorders>
              <w:top w:val="nil"/>
              <w:left w:val="single" w:color="auto" w:sz="4" w:space="0"/>
              <w:bottom w:val="nil"/>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完成精品集萃系列85种的校点，共1311万字；《巴蜀全书》审稿2959万字，公众号上传信息187条；13种阶段性成果,部分不在项目规划中,出版成果体例不统一，且在省外出版单位出版，不符合项目最新要求。</w:t>
            </w:r>
          </w:p>
        </w:tc>
      </w:tr>
      <w:tr>
        <w:tblPrEx>
          <w:tblCellMar>
            <w:top w:w="0" w:type="dxa"/>
            <w:left w:w="108" w:type="dxa"/>
            <w:bottom w:w="0" w:type="dxa"/>
            <w:right w:w="108" w:type="dxa"/>
          </w:tblCellMar>
        </w:tblPrEx>
        <w:trPr>
          <w:trHeight w:val="1121"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tcBorders>
              <w:top w:val="nil"/>
              <w:left w:val="nil"/>
              <w:bottom w:val="nil"/>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产出质量</w:t>
            </w:r>
          </w:p>
        </w:tc>
        <w:tc>
          <w:tcPr>
            <w:tcW w:w="1079" w:type="dxa"/>
            <w:tcBorders>
              <w:top w:val="nil"/>
              <w:left w:val="nil"/>
              <w:bottom w:val="nil"/>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质量达标率</w:t>
            </w:r>
          </w:p>
        </w:tc>
        <w:tc>
          <w:tcPr>
            <w:tcW w:w="582" w:type="dxa"/>
            <w:tcBorders>
              <w:top w:val="nil"/>
              <w:left w:val="nil"/>
              <w:bottom w:val="nil"/>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c>
          <w:tcPr>
            <w:tcW w:w="1276" w:type="dxa"/>
            <w:tcBorders>
              <w:top w:val="nil"/>
              <w:left w:val="nil"/>
              <w:bottom w:val="nil"/>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比率分值法</w:t>
            </w:r>
          </w:p>
        </w:tc>
        <w:tc>
          <w:tcPr>
            <w:tcW w:w="992" w:type="dxa"/>
            <w:tcBorders>
              <w:top w:val="nil"/>
              <w:left w:val="nil"/>
              <w:bottom w:val="nil"/>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6.00 </w:t>
            </w:r>
          </w:p>
        </w:tc>
        <w:tc>
          <w:tcPr>
            <w:tcW w:w="2744" w:type="dxa"/>
            <w:vMerge w:val="continue"/>
            <w:tcBorders>
              <w:left w:val="single" w:color="auto" w:sz="4" w:space="0"/>
              <w:right w:val="single" w:color="auto" w:sz="4" w:space="0"/>
            </w:tcBorders>
            <w:shd w:val="clear" w:color="auto" w:fill="auto"/>
            <w:vAlign w:val="center"/>
          </w:tcPr>
          <w:p>
            <w:pPr>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1144"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产出时效</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完成及时性</w:t>
            </w:r>
          </w:p>
        </w:tc>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比率分值法</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6.00 </w:t>
            </w:r>
          </w:p>
        </w:tc>
        <w:tc>
          <w:tcPr>
            <w:tcW w:w="2744" w:type="dxa"/>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435"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产出成本</w:t>
            </w:r>
          </w:p>
        </w:tc>
        <w:tc>
          <w:tcPr>
            <w:tcW w:w="1079"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成本节约率</w:t>
            </w:r>
          </w:p>
        </w:tc>
        <w:tc>
          <w:tcPr>
            <w:tcW w:w="58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比率分值法</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10.00 </w:t>
            </w:r>
          </w:p>
        </w:tc>
        <w:tc>
          <w:tcPr>
            <w:tcW w:w="2744"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435"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5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99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2744"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435"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5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99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2744"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11"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58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27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992"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2744"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936" w:hRule="atLeast"/>
        </w:trPr>
        <w:tc>
          <w:tcPr>
            <w:tcW w:w="959"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项目效益（30分）</w:t>
            </w:r>
          </w:p>
        </w:tc>
        <w:tc>
          <w:tcPr>
            <w:tcW w:w="890" w:type="dxa"/>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项目效益</w:t>
            </w: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推进《巴蜀全书》的编纂与研究</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7.5</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分级评分法</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4.50 </w:t>
            </w:r>
          </w:p>
        </w:tc>
        <w:tc>
          <w:tcPr>
            <w:tcW w:w="2744" w:type="dxa"/>
            <w:tcBorders>
              <w:top w:val="nil"/>
              <w:left w:val="nil"/>
              <w:bottom w:val="single" w:color="auto" w:sz="4" w:space="0"/>
              <w:right w:val="single" w:color="auto" w:sz="4" w:space="0"/>
            </w:tcBorders>
            <w:shd w:val="clear" w:color="auto" w:fill="auto"/>
            <w:noWrap/>
            <w:vAlign w:val="center"/>
          </w:tcPr>
          <w:p>
            <w:pPr>
              <w:widowControl/>
              <w:adjustRightInd w:val="0"/>
              <w:snapToGrid w:val="0"/>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12"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弘扬巴蜀文化</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7.5</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是否评分法</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7.50 </w:t>
            </w:r>
          </w:p>
        </w:tc>
        <w:tc>
          <w:tcPr>
            <w:tcW w:w="274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624"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参与地方文化建设</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7.5</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是否评分法</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7.50 </w:t>
            </w:r>
          </w:p>
        </w:tc>
        <w:tc>
          <w:tcPr>
            <w:tcW w:w="274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58" w:hRule="atLeast"/>
        </w:trPr>
        <w:tc>
          <w:tcPr>
            <w:tcW w:w="95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89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c>
          <w:tcPr>
            <w:tcW w:w="10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文献使用者及学术管理部门满意度</w:t>
            </w:r>
          </w:p>
        </w:tc>
        <w:tc>
          <w:tcPr>
            <w:tcW w:w="582"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7.5</w:t>
            </w:r>
          </w:p>
        </w:tc>
        <w:tc>
          <w:tcPr>
            <w:tcW w:w="12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满意值赋分法</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7.50 </w:t>
            </w:r>
          </w:p>
        </w:tc>
        <w:tc>
          <w:tcPr>
            <w:tcW w:w="274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12" w:hRule="atLeast"/>
        </w:trPr>
        <w:tc>
          <w:tcPr>
            <w:tcW w:w="29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合计</w:t>
            </w:r>
          </w:p>
        </w:tc>
        <w:tc>
          <w:tcPr>
            <w:tcW w:w="58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100</w:t>
            </w:r>
          </w:p>
        </w:tc>
        <w:tc>
          <w:tcPr>
            <w:tcW w:w="1276"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b/>
                <w:color w:val="000000"/>
                <w:kern w:val="0"/>
                <w:sz w:val="28"/>
                <w:szCs w:val="28"/>
              </w:rPr>
            </w:pP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 xml:space="preserve">85.00 </w:t>
            </w:r>
          </w:p>
        </w:tc>
        <w:tc>
          <w:tcPr>
            <w:tcW w:w="2744"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仿宋_GB2312" w:hAnsi="仿宋_GB2312" w:eastAsia="仿宋_GB2312" w:cs="仿宋_GB2312"/>
                <w:color w:val="000000"/>
                <w:kern w:val="0"/>
                <w:sz w:val="28"/>
                <w:szCs w:val="28"/>
              </w:rPr>
            </w:pPr>
          </w:p>
        </w:tc>
      </w:tr>
    </w:tbl>
    <w:p>
      <w:pPr>
        <w:snapToGrid w:val="0"/>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四、绩效评价分析</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（一）项目决策情况</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1.项目立项</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四川省人民政府对省政协十届二次会议第194号提案的答复》（川办理〔2009〕47号）精神，整理和研究悠久的巴蜀文化造产，打造四川文化建设的标志性成果，推进我省精神文明建设，四川大学主动请缨为这巨大文化工程献计献策，为四川文化强省建设作出积极贡献。2010年1月省委常委会议定将四川大学申请编纂的《巴蜀全书》纳入全省古籍文献整理规划项目，并成立省《巴蜀全书》编纂领导小组，由省委宣传部部长任组长，省直有关部门和单位负责同志为成员，确保项目顺利进行。2012年省委宣传部发布了《关于正式启动四川省重大文化工程〈巴蜀全书〉编纂与研究的通知》，项目于2012年10月正式启动。</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2.绩效目标</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我部按照《四川省省级项目支出绩效管理办法》申报并编制2020年度省级部门预算项目绩效目标表，项目绩效目标设置的政策依据充分、目标合理、明确，与项目预期目标相关。</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3.资金投入</w:t>
      </w:r>
    </w:p>
    <w:p>
      <w:pPr>
        <w:pStyle w:val="23"/>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（1）预算编制科学性</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2020年度项目预算编制内容与项目内容匹配，预算确定的项目资金量与工作任务相匹配。</w:t>
      </w:r>
    </w:p>
    <w:p>
      <w:pPr>
        <w:pStyle w:val="23"/>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（2）资金分配合理性</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根据四川大学2020年度项目工作总结，资金全年总预算数为300万元，主要用于科研劳务费、出版印刷费、评审会议费等、图书采购。项目资金分配额度合理。</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（二）项目管理情况</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1.资金管理</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（1）资金到位率</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2020年度项目预算数300万元，全部实际到位，资金到位率100%。</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（2）预算执行率</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2020年度项目预算数300万元，实际支出300万元，预算执行率为100%</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（3）资金使用合规性</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和加强《巴蜀全书》编纂出版省财政补助经费的管理，提高经费使用效益，根据《编纂出版巴蜀全书省财政补助经费安排使用总体方案及管理办法》(川财教〔2013〕292号)、《关于做好〈巴蜀全书〉编纂出版工作的通知》（《巴蜀全书》组办发〔2014〕1号)以及国家有关财政财务管理制度，制订了《〈巴蜀全书〉编纂出版经费管理实施细则（试行）》。明确了项目资金使用管理、财务监管、责任主体等，制度健全、规范、有效。资金使用中履行了规范的审批流程，资金拨付有完整的审批程序且资金使用符合项目预算批复，不存在截留、挤占、挪用、虚列支出等情况。</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2.组织实施</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2011年根据《省委常委会会议决定事项通知》（九届〔2010〕第9号）精神，成立《巴蜀全书》编纂领导小组，《〈巴蜀全书〉编纂出版工作总体方案》《〈巴蜀全书〉项目管理实行办法》由领导小组会议通过。该工作方案及项目管理办法参照《国家社会科学基金重大项目管理办法》及其它有关规定，加强了组织领导，树立使命意识，确保实施进度，加强学术研究。对项目的资金使用、过程监管、责任落实作出了相应规定。执行中，项目责任部门以职设岗、明确责任边界、完善人员分工及协调机制，保障了项目管理制度的有效执行。</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（三）项目产出情况</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1.产出数量</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2020年度项目完成情况如下：</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（1）《巴蜀文献版本目录》4册、《巴蜀文脉要籍解题》4册；</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（2）精品集萃系列完成新校点85种，共1311万字；</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（3）《巴蜀全书》审稿2959万字；</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（4）图书采购300余套，约700册；编纂简报4期，出版学术刊物1期，完成编纂2期；公众号上传信息187条；</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（5）出版阶段性成果13种，提交出版书稿15种，专家评审通过书稿24种，已完成齐清定书稿33种。</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产出数量中（1）达到了预期绩效目标；（2）精品集萃系列预期完成200种的校点和注释，实际完成新校点85种；（3）预期实现4000万字审稿，实际完成2959万字；（4）预期在微信公众号上传365条以上的信息，实际公众号上传信息187条；（5）出版阶段性成果13种，但部分成果不属于《巴蜀全书》精品集萃系列，且出版成果装帖设计不符合统一出版要求，综上，（2）（3）（4）（5）未达到预期绩效目标。</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2.产出质量</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2020年度预期项目任务完成率≥95%，实际任务完成率为60%，未达到了预期绩效目标。</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3.产出时效</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截至2020年12月31日，项目部分任务指标未能在年初计划完成时间内执行完毕。</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4.产出成本</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截止2020年年底，项目实际完成成本300万元，预算完成成本为300元。根据实际执行情况，未发现项目超预算。</w:t>
      </w:r>
    </w:p>
    <w:p>
      <w:pPr>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（四）项目效益情况</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2020年度工作虽受疫情影响，部分任务未能按计划实施完毕，项目成效未达到预期效果。但总体进展顺利，在阶段性成果、学术会议、学术交流以及平台建设运营、斩获奖项等方面完成情况较好。</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项目的开展促使巴蜀文化的社会影响力不断扩大。出版阶段性成果荣获教育部“第八届高等学校科学研究优秀成果（人文社会科学）”一等奖1项，《巴蜀全书》知名度不断提升；全年召开了专题会议3次，学术会议7次，学术交流9次，学术讲座16次；赠送阶段性出版成果553册；编纂工作简报4期；出版学术刊物1期，完成编纂2期。</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巴蜀全书》编纂成果和经验为四川省历史名人文化工程、地方城镇、乡村和书院等建设项目，提供了比较成熟的成果和经验。由《巴蜀全书》编纂组与校内相关机构共同成立的“中华文化研究院”，也纳入了全省重点文化研究院建设的规划之中。</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文献使用者及学术管理部门的满意度达到了预期绩效目标。</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五、存在主要问题</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开展过程中，由于疫情影响，导致项目执行进度滞后，部分项目实际任务完成情况未达到预期指标。如出版阶段成果部分不属于《巴蜀全书》精品集萃系列，部分成果出版物装帧设计等不符合统一出版要求，出版单位未按要求由省内出版单位承担。</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六、相关措施建议</w:t>
      </w:r>
    </w:p>
    <w:p>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完善项目管理相关措施，优化项目绩效评价管理办法，针对疫情等突发情况，对绩效指标及绩效完成值进行调整。同时加强项目进度跟踪，按项目计划的阶段性完成情况进行监督检查、监控分析，及时跟进并整改项目执行过程中存在的问题，切实提高项目监督监管的效力。</w:t>
      </w:r>
    </w:p>
    <w:p>
      <w:pPr>
        <w:widowControl/>
        <w:spacing w:line="600" w:lineRule="exact"/>
        <w:jc w:val="center"/>
        <w:rPr>
          <w:rFonts w:hint="eastAsia" w:ascii="仿宋_GB2312" w:hAnsi="仿宋_GB2312" w:eastAsia="仿宋_GB2312" w:cs="仿宋_GB2312"/>
          <w:b/>
          <w:sz w:val="32"/>
          <w:szCs w:val="32"/>
          <w:highlight w:val="none"/>
          <w:shd w:val="clear" w:color="auto" w:fill="FFFFFF"/>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600" w:lineRule="exact"/>
        <w:rPr>
          <w:rStyle w:val="24"/>
          <w:rFonts w:ascii="黑体" w:hAnsi="黑体" w:eastAsia="黑体"/>
          <w:b w:val="0"/>
          <w:highlight w:val="none"/>
        </w:rPr>
      </w:pPr>
    </w:p>
    <w:p>
      <w:pPr>
        <w:spacing w:line="600" w:lineRule="exact"/>
        <w:jc w:val="center"/>
        <w:outlineLvl w:val="0"/>
        <w:rPr>
          <w:rStyle w:val="24"/>
          <w:rFonts w:ascii="黑体" w:hAnsi="黑体" w:eastAsia="黑体"/>
          <w:b w:val="0"/>
          <w:highlight w:val="none"/>
        </w:rPr>
      </w:pPr>
    </w:p>
    <w:p>
      <w:pPr>
        <w:spacing w:line="600" w:lineRule="exact"/>
        <w:jc w:val="center"/>
        <w:outlineLvl w:val="0"/>
        <w:rPr>
          <w:rStyle w:val="24"/>
          <w:rFonts w:ascii="黑体" w:hAnsi="黑体" w:eastAsia="黑体"/>
          <w:b w:val="0"/>
          <w:highlight w:val="none"/>
        </w:rPr>
      </w:pPr>
      <w:bookmarkStart w:id="53" w:name="_Toc15396618"/>
      <w:r>
        <w:rPr>
          <w:rFonts w:hint="eastAsia" w:ascii="黑体" w:hAnsi="黑体" w:eastAsia="黑体"/>
          <w:color w:val="000000"/>
          <w:sz w:val="44"/>
          <w:szCs w:val="44"/>
          <w:highlight w:val="none"/>
        </w:rPr>
        <w:t>第</w:t>
      </w:r>
      <w:r>
        <w:rPr>
          <w:rStyle w:val="24"/>
          <w:rFonts w:hint="eastAsia" w:ascii="黑体" w:hAnsi="黑体" w:eastAsia="黑体"/>
          <w:b w:val="0"/>
          <w:highlight w:val="none"/>
        </w:rPr>
        <w:t>五部分 附表</w:t>
      </w:r>
      <w:bookmarkEnd w:id="51"/>
      <w:bookmarkEnd w:id="53"/>
    </w:p>
    <w:p>
      <w:pPr>
        <w:spacing w:line="600" w:lineRule="exact"/>
        <w:jc w:val="center"/>
        <w:outlineLvl w:val="0"/>
        <w:rPr>
          <w:rFonts w:ascii="仿宋" w:hAnsi="仿宋" w:eastAsia="仿宋"/>
          <w:b/>
          <w:color w:val="000000"/>
          <w:sz w:val="44"/>
          <w:szCs w:val="44"/>
          <w:highlight w:val="none"/>
        </w:rPr>
      </w:pP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一、收入支出决算总表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二、收入决算表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三、支出决算表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四、财政拨款收入支出决算总表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五、财政拨款支出决算明细表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六、一般公共预算财政拨款支出决算表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七、一般公共预算财政拨款支出决算明细表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八、一般公共预算财政拨款基本支出决算表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九、一般公共预算财政拨款项目支出决算表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十、一般公共预算财政拨款“三公”经费支出决算表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十一、政府性基金预算财政拨款收入支出决算表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十二、政府性基金预算财政拨款“三公”经费支出决算表</w:t>
      </w:r>
    </w:p>
    <w:p>
      <w:pPr>
        <w:pStyle w:val="11"/>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十三、国有资本经营预算财政拨款收入支出决算表</w:t>
      </w:r>
    </w:p>
    <w:p>
      <w:pPr>
        <w:pStyle w:val="11"/>
        <w:adjustRightInd w:val="0"/>
        <w:snapToGrid w:val="0"/>
        <w:spacing w:line="44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十四、国有资本经营预算财政拨款支出决算表</w:t>
      </w:r>
    </w:p>
    <w:p>
      <w:pPr>
        <w:pStyle w:val="4"/>
        <w:rPr>
          <w:rFonts w:ascii="仿宋" w:hAnsi="仿宋" w:eastAsia="仿宋"/>
          <w:color w:val="000000"/>
          <w:highlight w:val="none"/>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CDA7744-DB11-4258-B8DD-27F2BC4997B3}"/>
  </w:font>
  <w:font w:name="黑体">
    <w:panose1 w:val="02010609060101010101"/>
    <w:charset w:val="86"/>
    <w:family w:val="auto"/>
    <w:pitch w:val="default"/>
    <w:sig w:usb0="800002BF" w:usb1="38CF7CFA" w:usb2="00000016" w:usb3="00000000" w:csb0="00040001" w:csb1="00000000"/>
    <w:embedRegular r:id="rId2" w:fontKey="{8DE7C055-784C-432B-A30A-654021DACD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503BA14-67A6-4E3D-BDBD-B5D6AC141361}"/>
  </w:font>
  <w:font w:name="仿宋">
    <w:panose1 w:val="02010609060101010101"/>
    <w:charset w:val="86"/>
    <w:family w:val="modern"/>
    <w:pitch w:val="default"/>
    <w:sig w:usb0="800002BF" w:usb1="38CF7CFA" w:usb2="00000016" w:usb3="00000000" w:csb0="00040001" w:csb1="00000000"/>
    <w:embedRegular r:id="rId4" w:fontKey="{5EF4E75D-9C73-418F-ABAF-B9F2600A7254}"/>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embedRegular r:id="rId5" w:fontKey="{2B25F7F8-32BE-4FC2-A53F-8CF202C60CE6}"/>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embedRegular r:id="rId6" w:fontKey="{C377FC68-90DA-4C75-A8A4-9B5BECE933A8}"/>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7" w:fontKey="{29C95512-9F4D-4904-B961-BF8E6CA11A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5</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0CE92"/>
    <w:multiLevelType w:val="singleLevel"/>
    <w:tmpl w:val="83E0CE92"/>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ED09CE"/>
    <w:multiLevelType w:val="singleLevel"/>
    <w:tmpl w:val="16ED09CE"/>
    <w:lvl w:ilvl="0" w:tentative="0">
      <w:start w:val="1"/>
      <w:numFmt w:val="decimal"/>
      <w:suff w:val="nothing"/>
      <w:lvlText w:val="%1．"/>
      <w:lvlJc w:val="left"/>
      <w:pPr>
        <w:ind w:left="-10"/>
      </w:pPr>
    </w:lvl>
  </w:abstractNum>
  <w:abstractNum w:abstractNumId="5">
    <w:nsid w:val="3064A595"/>
    <w:multiLevelType w:val="singleLevel"/>
    <w:tmpl w:val="3064A595"/>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0BC1"/>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5E00"/>
    <w:rsid w:val="0083706E"/>
    <w:rsid w:val="008408F6"/>
    <w:rsid w:val="008423A5"/>
    <w:rsid w:val="00850625"/>
    <w:rsid w:val="00853718"/>
    <w:rsid w:val="00855221"/>
    <w:rsid w:val="00860645"/>
    <w:rsid w:val="00864F8A"/>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C7BDC"/>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53D4"/>
    <w:rsid w:val="00BF5BD6"/>
    <w:rsid w:val="00C03E31"/>
    <w:rsid w:val="00C33E72"/>
    <w:rsid w:val="00C354B2"/>
    <w:rsid w:val="00C35554"/>
    <w:rsid w:val="00C36E21"/>
    <w:rsid w:val="00C42709"/>
    <w:rsid w:val="00C533CC"/>
    <w:rsid w:val="00C55410"/>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6AC6"/>
    <w:rsid w:val="00D7035F"/>
    <w:rsid w:val="00DA634F"/>
    <w:rsid w:val="00DA65AC"/>
    <w:rsid w:val="00DB1913"/>
    <w:rsid w:val="00DC410D"/>
    <w:rsid w:val="00DC5A81"/>
    <w:rsid w:val="00DC68CA"/>
    <w:rsid w:val="00DC7CBA"/>
    <w:rsid w:val="00DD73B7"/>
    <w:rsid w:val="00DF28BC"/>
    <w:rsid w:val="00DF34B9"/>
    <w:rsid w:val="00E01053"/>
    <w:rsid w:val="00E07ACF"/>
    <w:rsid w:val="00E222DE"/>
    <w:rsid w:val="00E331A1"/>
    <w:rsid w:val="00E33202"/>
    <w:rsid w:val="00E336A9"/>
    <w:rsid w:val="00E472B1"/>
    <w:rsid w:val="00E50624"/>
    <w:rsid w:val="00E568DF"/>
    <w:rsid w:val="00E64269"/>
    <w:rsid w:val="00E66797"/>
    <w:rsid w:val="00E82267"/>
    <w:rsid w:val="00E853CE"/>
    <w:rsid w:val="00E867B6"/>
    <w:rsid w:val="00E87F08"/>
    <w:rsid w:val="00E9683D"/>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741D3"/>
    <w:rsid w:val="01684FC7"/>
    <w:rsid w:val="01825CE0"/>
    <w:rsid w:val="01847408"/>
    <w:rsid w:val="018B764B"/>
    <w:rsid w:val="01B13FF2"/>
    <w:rsid w:val="01D54608"/>
    <w:rsid w:val="01E16855"/>
    <w:rsid w:val="020D1EB2"/>
    <w:rsid w:val="021128A5"/>
    <w:rsid w:val="02180D99"/>
    <w:rsid w:val="02930784"/>
    <w:rsid w:val="02CD451F"/>
    <w:rsid w:val="02F625CE"/>
    <w:rsid w:val="03184D37"/>
    <w:rsid w:val="031C2F22"/>
    <w:rsid w:val="03343EFB"/>
    <w:rsid w:val="03A826ED"/>
    <w:rsid w:val="03B40533"/>
    <w:rsid w:val="04310FA0"/>
    <w:rsid w:val="043C3371"/>
    <w:rsid w:val="046C4457"/>
    <w:rsid w:val="04990CF6"/>
    <w:rsid w:val="049C7DF0"/>
    <w:rsid w:val="04CE00C1"/>
    <w:rsid w:val="05230174"/>
    <w:rsid w:val="055E126B"/>
    <w:rsid w:val="0593053C"/>
    <w:rsid w:val="05DE1339"/>
    <w:rsid w:val="06150C42"/>
    <w:rsid w:val="06892A4C"/>
    <w:rsid w:val="06C02F9C"/>
    <w:rsid w:val="06D36485"/>
    <w:rsid w:val="07044728"/>
    <w:rsid w:val="073A0ECA"/>
    <w:rsid w:val="074A67C7"/>
    <w:rsid w:val="0779775E"/>
    <w:rsid w:val="07CF70E7"/>
    <w:rsid w:val="07FA7161"/>
    <w:rsid w:val="08255AED"/>
    <w:rsid w:val="08767776"/>
    <w:rsid w:val="08B84C5E"/>
    <w:rsid w:val="08D242CD"/>
    <w:rsid w:val="08FF24CE"/>
    <w:rsid w:val="09185204"/>
    <w:rsid w:val="09272B12"/>
    <w:rsid w:val="0943097C"/>
    <w:rsid w:val="09461AA7"/>
    <w:rsid w:val="095825F0"/>
    <w:rsid w:val="095C78F4"/>
    <w:rsid w:val="09785D8B"/>
    <w:rsid w:val="09836E65"/>
    <w:rsid w:val="09853F22"/>
    <w:rsid w:val="0996754B"/>
    <w:rsid w:val="09AF7055"/>
    <w:rsid w:val="09E430F4"/>
    <w:rsid w:val="0AA62AD3"/>
    <w:rsid w:val="0AA95700"/>
    <w:rsid w:val="0AB211AC"/>
    <w:rsid w:val="0B3A5CA2"/>
    <w:rsid w:val="0B5B17DB"/>
    <w:rsid w:val="0B8B6BED"/>
    <w:rsid w:val="0BDF492B"/>
    <w:rsid w:val="0C1B78DD"/>
    <w:rsid w:val="0C9B7131"/>
    <w:rsid w:val="0CA831AA"/>
    <w:rsid w:val="0DB25072"/>
    <w:rsid w:val="0DD10E49"/>
    <w:rsid w:val="0E23443E"/>
    <w:rsid w:val="0E3A2CC5"/>
    <w:rsid w:val="0E7A3663"/>
    <w:rsid w:val="0E816010"/>
    <w:rsid w:val="0EEC6F2B"/>
    <w:rsid w:val="0EF030AB"/>
    <w:rsid w:val="0F067447"/>
    <w:rsid w:val="0F0F4F61"/>
    <w:rsid w:val="0F205C6F"/>
    <w:rsid w:val="0F465450"/>
    <w:rsid w:val="0F667DCA"/>
    <w:rsid w:val="0FB15EE2"/>
    <w:rsid w:val="0FD53FA5"/>
    <w:rsid w:val="101817DC"/>
    <w:rsid w:val="10402A4F"/>
    <w:rsid w:val="10637A77"/>
    <w:rsid w:val="106B3CE1"/>
    <w:rsid w:val="107643C6"/>
    <w:rsid w:val="10C055FF"/>
    <w:rsid w:val="10D80026"/>
    <w:rsid w:val="117C329C"/>
    <w:rsid w:val="11915E2D"/>
    <w:rsid w:val="11E62C3C"/>
    <w:rsid w:val="12185F2F"/>
    <w:rsid w:val="121D35D3"/>
    <w:rsid w:val="123F75F1"/>
    <w:rsid w:val="124417B8"/>
    <w:rsid w:val="12D1709B"/>
    <w:rsid w:val="12FF5740"/>
    <w:rsid w:val="133E26DD"/>
    <w:rsid w:val="137814E3"/>
    <w:rsid w:val="13792B73"/>
    <w:rsid w:val="13902397"/>
    <w:rsid w:val="13AE130F"/>
    <w:rsid w:val="13F6635F"/>
    <w:rsid w:val="14077715"/>
    <w:rsid w:val="14372601"/>
    <w:rsid w:val="1445343C"/>
    <w:rsid w:val="147A75C4"/>
    <w:rsid w:val="15066803"/>
    <w:rsid w:val="1541691B"/>
    <w:rsid w:val="155C0986"/>
    <w:rsid w:val="15B84C4E"/>
    <w:rsid w:val="15D65236"/>
    <w:rsid w:val="16421E1B"/>
    <w:rsid w:val="165D4A31"/>
    <w:rsid w:val="16B05A11"/>
    <w:rsid w:val="16B94A2F"/>
    <w:rsid w:val="16BB723D"/>
    <w:rsid w:val="17452528"/>
    <w:rsid w:val="177361B5"/>
    <w:rsid w:val="17B72A4D"/>
    <w:rsid w:val="184333AC"/>
    <w:rsid w:val="18466F23"/>
    <w:rsid w:val="18D95160"/>
    <w:rsid w:val="18EC1B72"/>
    <w:rsid w:val="18F73A5F"/>
    <w:rsid w:val="196B7A73"/>
    <w:rsid w:val="1973380C"/>
    <w:rsid w:val="19935024"/>
    <w:rsid w:val="19C5420E"/>
    <w:rsid w:val="19FC2C23"/>
    <w:rsid w:val="1A146D6A"/>
    <w:rsid w:val="1A1E4619"/>
    <w:rsid w:val="1A3741AF"/>
    <w:rsid w:val="1AA57336"/>
    <w:rsid w:val="1AA72AFC"/>
    <w:rsid w:val="1B0334B5"/>
    <w:rsid w:val="1B044315"/>
    <w:rsid w:val="1B256F64"/>
    <w:rsid w:val="1B257A9E"/>
    <w:rsid w:val="1BC01E31"/>
    <w:rsid w:val="1CAA7653"/>
    <w:rsid w:val="1CB4657F"/>
    <w:rsid w:val="1CC97101"/>
    <w:rsid w:val="1D5F17F5"/>
    <w:rsid w:val="1D7D08D1"/>
    <w:rsid w:val="1DC42D0F"/>
    <w:rsid w:val="1DF670D6"/>
    <w:rsid w:val="1E637C7F"/>
    <w:rsid w:val="1E8416B0"/>
    <w:rsid w:val="1EB917A5"/>
    <w:rsid w:val="1F0C380E"/>
    <w:rsid w:val="1F1179E9"/>
    <w:rsid w:val="1F155E81"/>
    <w:rsid w:val="1F657DE4"/>
    <w:rsid w:val="1F8B27E6"/>
    <w:rsid w:val="1FAE5F52"/>
    <w:rsid w:val="1FD35783"/>
    <w:rsid w:val="1FE52701"/>
    <w:rsid w:val="200038B0"/>
    <w:rsid w:val="200F37F3"/>
    <w:rsid w:val="205E0900"/>
    <w:rsid w:val="209A0D3B"/>
    <w:rsid w:val="213A5DBF"/>
    <w:rsid w:val="21542AAA"/>
    <w:rsid w:val="217867F5"/>
    <w:rsid w:val="21D624BD"/>
    <w:rsid w:val="21FD1AEA"/>
    <w:rsid w:val="22203121"/>
    <w:rsid w:val="22392823"/>
    <w:rsid w:val="225C3A9B"/>
    <w:rsid w:val="22D66E40"/>
    <w:rsid w:val="22F3210E"/>
    <w:rsid w:val="23CD2E56"/>
    <w:rsid w:val="23E851DB"/>
    <w:rsid w:val="23EE0472"/>
    <w:rsid w:val="240371BF"/>
    <w:rsid w:val="241E4C06"/>
    <w:rsid w:val="243044BE"/>
    <w:rsid w:val="243E76F8"/>
    <w:rsid w:val="24523E00"/>
    <w:rsid w:val="247C7DD8"/>
    <w:rsid w:val="248C7451"/>
    <w:rsid w:val="248C7614"/>
    <w:rsid w:val="25351C9E"/>
    <w:rsid w:val="25985DC6"/>
    <w:rsid w:val="259A1782"/>
    <w:rsid w:val="26201AC6"/>
    <w:rsid w:val="268B014E"/>
    <w:rsid w:val="269E4425"/>
    <w:rsid w:val="26D86B6B"/>
    <w:rsid w:val="27342C61"/>
    <w:rsid w:val="27AE2D44"/>
    <w:rsid w:val="27EC7891"/>
    <w:rsid w:val="28423D3E"/>
    <w:rsid w:val="28D07E93"/>
    <w:rsid w:val="28FA070F"/>
    <w:rsid w:val="293074EC"/>
    <w:rsid w:val="29DC377D"/>
    <w:rsid w:val="29F808BF"/>
    <w:rsid w:val="29FD04D3"/>
    <w:rsid w:val="2A106E30"/>
    <w:rsid w:val="2A1D4EB4"/>
    <w:rsid w:val="2A226923"/>
    <w:rsid w:val="2A3F4F36"/>
    <w:rsid w:val="2A7B0A47"/>
    <w:rsid w:val="2A832F1E"/>
    <w:rsid w:val="2A9A5E13"/>
    <w:rsid w:val="2AE011E8"/>
    <w:rsid w:val="2B04645B"/>
    <w:rsid w:val="2B337334"/>
    <w:rsid w:val="2B6C5533"/>
    <w:rsid w:val="2B7607EC"/>
    <w:rsid w:val="2C083197"/>
    <w:rsid w:val="2C3A5E99"/>
    <w:rsid w:val="2C663603"/>
    <w:rsid w:val="2C7338E8"/>
    <w:rsid w:val="2C737751"/>
    <w:rsid w:val="2CC34627"/>
    <w:rsid w:val="2CC44245"/>
    <w:rsid w:val="2CD957D4"/>
    <w:rsid w:val="2CF70A7B"/>
    <w:rsid w:val="2D383AE3"/>
    <w:rsid w:val="2D6F0BF9"/>
    <w:rsid w:val="2D814736"/>
    <w:rsid w:val="2DA17B37"/>
    <w:rsid w:val="2DE912DD"/>
    <w:rsid w:val="2E443989"/>
    <w:rsid w:val="2E466824"/>
    <w:rsid w:val="2E4E0330"/>
    <w:rsid w:val="2E5D2AC9"/>
    <w:rsid w:val="2E8277DD"/>
    <w:rsid w:val="2E9F5058"/>
    <w:rsid w:val="2EDE0664"/>
    <w:rsid w:val="2F4B2A1C"/>
    <w:rsid w:val="2F6121AE"/>
    <w:rsid w:val="2F7829A8"/>
    <w:rsid w:val="2FDE6EB5"/>
    <w:rsid w:val="30617512"/>
    <w:rsid w:val="3067470E"/>
    <w:rsid w:val="30E47F63"/>
    <w:rsid w:val="31264CDA"/>
    <w:rsid w:val="31693321"/>
    <w:rsid w:val="319E4309"/>
    <w:rsid w:val="319F7F4E"/>
    <w:rsid w:val="31B10B62"/>
    <w:rsid w:val="32463CFB"/>
    <w:rsid w:val="3251152C"/>
    <w:rsid w:val="3251199F"/>
    <w:rsid w:val="32A11F86"/>
    <w:rsid w:val="32B20A55"/>
    <w:rsid w:val="32C12FFD"/>
    <w:rsid w:val="32C5424F"/>
    <w:rsid w:val="330979E4"/>
    <w:rsid w:val="330D11F1"/>
    <w:rsid w:val="33182CA7"/>
    <w:rsid w:val="33324122"/>
    <w:rsid w:val="33777E69"/>
    <w:rsid w:val="33B52496"/>
    <w:rsid w:val="33C32435"/>
    <w:rsid w:val="33D55CAE"/>
    <w:rsid w:val="33D93AC2"/>
    <w:rsid w:val="33DC7AB4"/>
    <w:rsid w:val="33F9583E"/>
    <w:rsid w:val="343B46AD"/>
    <w:rsid w:val="349A753E"/>
    <w:rsid w:val="349E19DE"/>
    <w:rsid w:val="34A33D3A"/>
    <w:rsid w:val="34D31609"/>
    <w:rsid w:val="34E000F5"/>
    <w:rsid w:val="34E67F8F"/>
    <w:rsid w:val="351F67AC"/>
    <w:rsid w:val="35611ED2"/>
    <w:rsid w:val="356964ED"/>
    <w:rsid w:val="357C31A2"/>
    <w:rsid w:val="3597558F"/>
    <w:rsid w:val="35B415A9"/>
    <w:rsid w:val="36182744"/>
    <w:rsid w:val="36342DCF"/>
    <w:rsid w:val="36502975"/>
    <w:rsid w:val="366F315B"/>
    <w:rsid w:val="36F06734"/>
    <w:rsid w:val="376D6127"/>
    <w:rsid w:val="37776623"/>
    <w:rsid w:val="377A541E"/>
    <w:rsid w:val="37831654"/>
    <w:rsid w:val="37EA5E9F"/>
    <w:rsid w:val="37EE0E60"/>
    <w:rsid w:val="37FD1727"/>
    <w:rsid w:val="38DB27D3"/>
    <w:rsid w:val="38DF5BD6"/>
    <w:rsid w:val="390E31DE"/>
    <w:rsid w:val="3920565B"/>
    <w:rsid w:val="39BC3FB4"/>
    <w:rsid w:val="39C70A18"/>
    <w:rsid w:val="39DD753D"/>
    <w:rsid w:val="3A4828FA"/>
    <w:rsid w:val="3A854423"/>
    <w:rsid w:val="3A8715F3"/>
    <w:rsid w:val="3AB4337C"/>
    <w:rsid w:val="3AC631BB"/>
    <w:rsid w:val="3AFB5C34"/>
    <w:rsid w:val="3B075F7A"/>
    <w:rsid w:val="3B2016B6"/>
    <w:rsid w:val="3B3A1695"/>
    <w:rsid w:val="3B950CC2"/>
    <w:rsid w:val="3B9E4B52"/>
    <w:rsid w:val="3BFD2543"/>
    <w:rsid w:val="3C227D5A"/>
    <w:rsid w:val="3C624F95"/>
    <w:rsid w:val="3C66278E"/>
    <w:rsid w:val="3C8C54CD"/>
    <w:rsid w:val="3C8D1612"/>
    <w:rsid w:val="3C916160"/>
    <w:rsid w:val="3CAE1AC6"/>
    <w:rsid w:val="3CE0667F"/>
    <w:rsid w:val="3D0A6B1E"/>
    <w:rsid w:val="3D172A64"/>
    <w:rsid w:val="3D2006DF"/>
    <w:rsid w:val="3D21144E"/>
    <w:rsid w:val="3DDA58DD"/>
    <w:rsid w:val="3E1D5D30"/>
    <w:rsid w:val="3E28203C"/>
    <w:rsid w:val="3E6C41C7"/>
    <w:rsid w:val="3EE9185B"/>
    <w:rsid w:val="3F0B2120"/>
    <w:rsid w:val="3F1B487F"/>
    <w:rsid w:val="3F30761C"/>
    <w:rsid w:val="3F4615E8"/>
    <w:rsid w:val="3F483C7D"/>
    <w:rsid w:val="3F5526C5"/>
    <w:rsid w:val="3FA55857"/>
    <w:rsid w:val="3FC018F6"/>
    <w:rsid w:val="3FDF1D8E"/>
    <w:rsid w:val="3FEE53A6"/>
    <w:rsid w:val="406F5C27"/>
    <w:rsid w:val="40EC79BB"/>
    <w:rsid w:val="413A3582"/>
    <w:rsid w:val="414A33E1"/>
    <w:rsid w:val="41A1476F"/>
    <w:rsid w:val="41A24C4A"/>
    <w:rsid w:val="421E6550"/>
    <w:rsid w:val="422D20E2"/>
    <w:rsid w:val="42602C8E"/>
    <w:rsid w:val="426939AB"/>
    <w:rsid w:val="427368A5"/>
    <w:rsid w:val="42AF7971"/>
    <w:rsid w:val="42C630E2"/>
    <w:rsid w:val="42F9471E"/>
    <w:rsid w:val="43016394"/>
    <w:rsid w:val="432B3E13"/>
    <w:rsid w:val="439B1F1F"/>
    <w:rsid w:val="439F36D1"/>
    <w:rsid w:val="4403484F"/>
    <w:rsid w:val="44123317"/>
    <w:rsid w:val="44231B07"/>
    <w:rsid w:val="44F227B7"/>
    <w:rsid w:val="44F80A77"/>
    <w:rsid w:val="454D5211"/>
    <w:rsid w:val="45587107"/>
    <w:rsid w:val="4585128E"/>
    <w:rsid w:val="459D3683"/>
    <w:rsid w:val="464B0D98"/>
    <w:rsid w:val="46680FCF"/>
    <w:rsid w:val="46764775"/>
    <w:rsid w:val="46A00F6E"/>
    <w:rsid w:val="46F7429A"/>
    <w:rsid w:val="47047701"/>
    <w:rsid w:val="471714B8"/>
    <w:rsid w:val="476A62F5"/>
    <w:rsid w:val="479F4334"/>
    <w:rsid w:val="47F432E3"/>
    <w:rsid w:val="47FE33FB"/>
    <w:rsid w:val="484A6FF4"/>
    <w:rsid w:val="48642795"/>
    <w:rsid w:val="491A2ABC"/>
    <w:rsid w:val="4940058A"/>
    <w:rsid w:val="494561BC"/>
    <w:rsid w:val="495F7DE5"/>
    <w:rsid w:val="49B0772F"/>
    <w:rsid w:val="49E23198"/>
    <w:rsid w:val="49F81C53"/>
    <w:rsid w:val="4A344AC8"/>
    <w:rsid w:val="4A363305"/>
    <w:rsid w:val="4AAE0EF4"/>
    <w:rsid w:val="4AD63FAD"/>
    <w:rsid w:val="4AE946E3"/>
    <w:rsid w:val="4B103D5C"/>
    <w:rsid w:val="4B2C4585"/>
    <w:rsid w:val="4B406B44"/>
    <w:rsid w:val="4B5461AE"/>
    <w:rsid w:val="4B670E4B"/>
    <w:rsid w:val="4B7E1A16"/>
    <w:rsid w:val="4BCA3891"/>
    <w:rsid w:val="4BE23B04"/>
    <w:rsid w:val="4BF557B4"/>
    <w:rsid w:val="4BFE21D3"/>
    <w:rsid w:val="4C2253C1"/>
    <w:rsid w:val="4C260F86"/>
    <w:rsid w:val="4C274B2D"/>
    <w:rsid w:val="4C2D3F82"/>
    <w:rsid w:val="4C685989"/>
    <w:rsid w:val="4C85668E"/>
    <w:rsid w:val="4CD52543"/>
    <w:rsid w:val="4D9B7942"/>
    <w:rsid w:val="4E77267E"/>
    <w:rsid w:val="4EA65971"/>
    <w:rsid w:val="4ECE2238"/>
    <w:rsid w:val="4EDD2BDC"/>
    <w:rsid w:val="4EF93AA6"/>
    <w:rsid w:val="4F0216F8"/>
    <w:rsid w:val="4F057DB9"/>
    <w:rsid w:val="4F457DB3"/>
    <w:rsid w:val="4F6F0F00"/>
    <w:rsid w:val="4F7F0E07"/>
    <w:rsid w:val="4F83765C"/>
    <w:rsid w:val="50615511"/>
    <w:rsid w:val="50885602"/>
    <w:rsid w:val="509D5850"/>
    <w:rsid w:val="50A371E3"/>
    <w:rsid w:val="50D05EF7"/>
    <w:rsid w:val="51B06596"/>
    <w:rsid w:val="51C862E2"/>
    <w:rsid w:val="520B0236"/>
    <w:rsid w:val="525E615E"/>
    <w:rsid w:val="529D600A"/>
    <w:rsid w:val="52D17D7B"/>
    <w:rsid w:val="53000C86"/>
    <w:rsid w:val="53BC0349"/>
    <w:rsid w:val="53C55FC5"/>
    <w:rsid w:val="541205BD"/>
    <w:rsid w:val="541313ED"/>
    <w:rsid w:val="54423DE3"/>
    <w:rsid w:val="54724D5C"/>
    <w:rsid w:val="547A3E82"/>
    <w:rsid w:val="54C027D7"/>
    <w:rsid w:val="54DB7AF9"/>
    <w:rsid w:val="54F4447F"/>
    <w:rsid w:val="55902477"/>
    <w:rsid w:val="55CA76E3"/>
    <w:rsid w:val="55EC1601"/>
    <w:rsid w:val="5651457E"/>
    <w:rsid w:val="565B4EA1"/>
    <w:rsid w:val="56B6347C"/>
    <w:rsid w:val="56BD3168"/>
    <w:rsid w:val="56C50EBF"/>
    <w:rsid w:val="56D96076"/>
    <w:rsid w:val="56E06ECF"/>
    <w:rsid w:val="56EF28B3"/>
    <w:rsid w:val="56F85CDD"/>
    <w:rsid w:val="573F2D51"/>
    <w:rsid w:val="5750245C"/>
    <w:rsid w:val="576B4772"/>
    <w:rsid w:val="57AB472D"/>
    <w:rsid w:val="5846666B"/>
    <w:rsid w:val="588E6743"/>
    <w:rsid w:val="59416BCB"/>
    <w:rsid w:val="595C5702"/>
    <w:rsid w:val="596630D9"/>
    <w:rsid w:val="59960F5D"/>
    <w:rsid w:val="59C3406B"/>
    <w:rsid w:val="59D368BA"/>
    <w:rsid w:val="59DD16C2"/>
    <w:rsid w:val="59E3101A"/>
    <w:rsid w:val="5A4E6532"/>
    <w:rsid w:val="5A5E521A"/>
    <w:rsid w:val="5A7B2667"/>
    <w:rsid w:val="5AAB7DAC"/>
    <w:rsid w:val="5B165832"/>
    <w:rsid w:val="5B2E32D3"/>
    <w:rsid w:val="5B384CD9"/>
    <w:rsid w:val="5B416A12"/>
    <w:rsid w:val="5B4608EE"/>
    <w:rsid w:val="5B7425AE"/>
    <w:rsid w:val="5BE718A7"/>
    <w:rsid w:val="5C0779DC"/>
    <w:rsid w:val="5C9942CB"/>
    <w:rsid w:val="5CD25906"/>
    <w:rsid w:val="5D3A0941"/>
    <w:rsid w:val="5D4E70E9"/>
    <w:rsid w:val="5D753E7C"/>
    <w:rsid w:val="5D7E0171"/>
    <w:rsid w:val="5D840628"/>
    <w:rsid w:val="5DA501D4"/>
    <w:rsid w:val="5DA80A4F"/>
    <w:rsid w:val="5DB639D4"/>
    <w:rsid w:val="5E1A18CF"/>
    <w:rsid w:val="5E3168C5"/>
    <w:rsid w:val="5E39797B"/>
    <w:rsid w:val="5E6A62FC"/>
    <w:rsid w:val="5EAA4785"/>
    <w:rsid w:val="5EFE4667"/>
    <w:rsid w:val="5F0E1E2A"/>
    <w:rsid w:val="5F273DD6"/>
    <w:rsid w:val="5F311AE9"/>
    <w:rsid w:val="5F3D528D"/>
    <w:rsid w:val="5F8911C1"/>
    <w:rsid w:val="5FA17013"/>
    <w:rsid w:val="5FBA15B3"/>
    <w:rsid w:val="601B7116"/>
    <w:rsid w:val="60670212"/>
    <w:rsid w:val="608064FE"/>
    <w:rsid w:val="61424817"/>
    <w:rsid w:val="6159797C"/>
    <w:rsid w:val="6176394C"/>
    <w:rsid w:val="61815314"/>
    <w:rsid w:val="61855090"/>
    <w:rsid w:val="6193756B"/>
    <w:rsid w:val="61A317B4"/>
    <w:rsid w:val="61B57F54"/>
    <w:rsid w:val="61C44218"/>
    <w:rsid w:val="621D7E36"/>
    <w:rsid w:val="624E0A96"/>
    <w:rsid w:val="62C73B19"/>
    <w:rsid w:val="62F80665"/>
    <w:rsid w:val="63252742"/>
    <w:rsid w:val="636E3EAC"/>
    <w:rsid w:val="639633DA"/>
    <w:rsid w:val="63E24C38"/>
    <w:rsid w:val="642323F7"/>
    <w:rsid w:val="643F5185"/>
    <w:rsid w:val="644221F1"/>
    <w:rsid w:val="64C07802"/>
    <w:rsid w:val="64CB5D7C"/>
    <w:rsid w:val="65421569"/>
    <w:rsid w:val="65465FA4"/>
    <w:rsid w:val="655130FD"/>
    <w:rsid w:val="65624376"/>
    <w:rsid w:val="659C21D7"/>
    <w:rsid w:val="65AB6FF2"/>
    <w:rsid w:val="66342361"/>
    <w:rsid w:val="66373036"/>
    <w:rsid w:val="663838EC"/>
    <w:rsid w:val="666134EC"/>
    <w:rsid w:val="66943F78"/>
    <w:rsid w:val="669609B8"/>
    <w:rsid w:val="6697755C"/>
    <w:rsid w:val="66A37C56"/>
    <w:rsid w:val="66E2734E"/>
    <w:rsid w:val="66FB0A11"/>
    <w:rsid w:val="673240F0"/>
    <w:rsid w:val="673478C1"/>
    <w:rsid w:val="67435B63"/>
    <w:rsid w:val="674659BD"/>
    <w:rsid w:val="67644EC5"/>
    <w:rsid w:val="6777119A"/>
    <w:rsid w:val="677820EC"/>
    <w:rsid w:val="67F00CCF"/>
    <w:rsid w:val="67F95687"/>
    <w:rsid w:val="67FB2A7A"/>
    <w:rsid w:val="684C6F67"/>
    <w:rsid w:val="68C14155"/>
    <w:rsid w:val="68ED355E"/>
    <w:rsid w:val="69043E14"/>
    <w:rsid w:val="69493EAD"/>
    <w:rsid w:val="69757575"/>
    <w:rsid w:val="6999798B"/>
    <w:rsid w:val="69AA42FF"/>
    <w:rsid w:val="69C22FD8"/>
    <w:rsid w:val="69F12F25"/>
    <w:rsid w:val="6A281191"/>
    <w:rsid w:val="6A2C0852"/>
    <w:rsid w:val="6A4306D4"/>
    <w:rsid w:val="6AD77032"/>
    <w:rsid w:val="6AFE52C5"/>
    <w:rsid w:val="6B0B7BDA"/>
    <w:rsid w:val="6B234CAE"/>
    <w:rsid w:val="6B2A4452"/>
    <w:rsid w:val="6B2F6BDD"/>
    <w:rsid w:val="6B7606B5"/>
    <w:rsid w:val="6B853745"/>
    <w:rsid w:val="6B99349E"/>
    <w:rsid w:val="6BAF1EEF"/>
    <w:rsid w:val="6BB306F9"/>
    <w:rsid w:val="6C3B6B72"/>
    <w:rsid w:val="6C525FE6"/>
    <w:rsid w:val="6C5E24E4"/>
    <w:rsid w:val="6C7D5AC2"/>
    <w:rsid w:val="6CBB185B"/>
    <w:rsid w:val="6D0A24AD"/>
    <w:rsid w:val="6D5C3E10"/>
    <w:rsid w:val="6D693925"/>
    <w:rsid w:val="6D96626D"/>
    <w:rsid w:val="6DC777F5"/>
    <w:rsid w:val="6DCA1321"/>
    <w:rsid w:val="6DCF6547"/>
    <w:rsid w:val="6E132B5D"/>
    <w:rsid w:val="6E350FA0"/>
    <w:rsid w:val="6E545C7A"/>
    <w:rsid w:val="6E886D49"/>
    <w:rsid w:val="6EA945E7"/>
    <w:rsid w:val="6EDD2199"/>
    <w:rsid w:val="6F4B322D"/>
    <w:rsid w:val="6FBB2EFC"/>
    <w:rsid w:val="70065E0F"/>
    <w:rsid w:val="701F77B3"/>
    <w:rsid w:val="70BD7CD7"/>
    <w:rsid w:val="70C11B47"/>
    <w:rsid w:val="70FA1B41"/>
    <w:rsid w:val="711907F8"/>
    <w:rsid w:val="71471C52"/>
    <w:rsid w:val="716D6FDB"/>
    <w:rsid w:val="719A554F"/>
    <w:rsid w:val="71EA5F09"/>
    <w:rsid w:val="71F23BE5"/>
    <w:rsid w:val="721B3C6D"/>
    <w:rsid w:val="7221174F"/>
    <w:rsid w:val="72330458"/>
    <w:rsid w:val="7254592F"/>
    <w:rsid w:val="726B239E"/>
    <w:rsid w:val="72734D90"/>
    <w:rsid w:val="72C0446D"/>
    <w:rsid w:val="731272A1"/>
    <w:rsid w:val="735D0447"/>
    <w:rsid w:val="736802B8"/>
    <w:rsid w:val="73D259E7"/>
    <w:rsid w:val="7478452D"/>
    <w:rsid w:val="74A152BE"/>
    <w:rsid w:val="750A6943"/>
    <w:rsid w:val="751025C7"/>
    <w:rsid w:val="7527440F"/>
    <w:rsid w:val="75563E27"/>
    <w:rsid w:val="75C858C0"/>
    <w:rsid w:val="75D52256"/>
    <w:rsid w:val="75DD7891"/>
    <w:rsid w:val="765E7852"/>
    <w:rsid w:val="7667694B"/>
    <w:rsid w:val="768300D3"/>
    <w:rsid w:val="76B118F4"/>
    <w:rsid w:val="76B52DB3"/>
    <w:rsid w:val="76BC37A7"/>
    <w:rsid w:val="76BC5639"/>
    <w:rsid w:val="770819F3"/>
    <w:rsid w:val="777B1D61"/>
    <w:rsid w:val="77FA10A2"/>
    <w:rsid w:val="780248DE"/>
    <w:rsid w:val="782C423F"/>
    <w:rsid w:val="7857041D"/>
    <w:rsid w:val="785B4819"/>
    <w:rsid w:val="787C3DBD"/>
    <w:rsid w:val="78CB179D"/>
    <w:rsid w:val="79017D6A"/>
    <w:rsid w:val="790F7705"/>
    <w:rsid w:val="79436102"/>
    <w:rsid w:val="798714C4"/>
    <w:rsid w:val="79DF4652"/>
    <w:rsid w:val="79EE6800"/>
    <w:rsid w:val="7A0030E0"/>
    <w:rsid w:val="7A064273"/>
    <w:rsid w:val="7A4F0919"/>
    <w:rsid w:val="7A6B5548"/>
    <w:rsid w:val="7AA2678F"/>
    <w:rsid w:val="7AA70998"/>
    <w:rsid w:val="7B2A13C9"/>
    <w:rsid w:val="7B6A73AD"/>
    <w:rsid w:val="7BEC2209"/>
    <w:rsid w:val="7BFC74D6"/>
    <w:rsid w:val="7C3D3A5B"/>
    <w:rsid w:val="7C6409E6"/>
    <w:rsid w:val="7C911B08"/>
    <w:rsid w:val="7C9630AE"/>
    <w:rsid w:val="7CC40974"/>
    <w:rsid w:val="7CD51FEF"/>
    <w:rsid w:val="7D1B098B"/>
    <w:rsid w:val="7D44289A"/>
    <w:rsid w:val="7D68340C"/>
    <w:rsid w:val="7D874650"/>
    <w:rsid w:val="7D8E3B27"/>
    <w:rsid w:val="7D907FAB"/>
    <w:rsid w:val="7DB10166"/>
    <w:rsid w:val="7E44657B"/>
    <w:rsid w:val="7EC33BAF"/>
    <w:rsid w:val="7ECC57B9"/>
    <w:rsid w:val="7F006991"/>
    <w:rsid w:val="7F234867"/>
    <w:rsid w:val="7F277DF7"/>
    <w:rsid w:val="7F943A1F"/>
    <w:rsid w:val="7FB723F8"/>
    <w:rsid w:val="7FB96B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fontstyle01"/>
    <w:basedOn w:val="13"/>
    <w:qFormat/>
    <w:uiPriority w:val="0"/>
    <w:rPr>
      <w:rFonts w:hint="eastAsia" w:ascii="仿宋_GB2312" w:eastAsia="仿宋_GB2312"/>
      <w:color w:val="000000"/>
      <w:sz w:val="32"/>
      <w:szCs w:val="32"/>
    </w:rPr>
  </w:style>
  <w:style w:type="character" w:customStyle="1" w:styleId="31">
    <w:name w:val="font51"/>
    <w:basedOn w:val="13"/>
    <w:qFormat/>
    <w:uiPriority w:val="0"/>
    <w:rPr>
      <w:rFonts w:ascii="方正小标宋_GBK" w:hAnsi="方正小标宋_GBK" w:eastAsia="方正小标宋_GBK" w:cs="方正小标宋_GBK"/>
      <w:color w:val="000000"/>
      <w:sz w:val="28"/>
      <w:szCs w:val="28"/>
      <w:u w:val="none"/>
    </w:rPr>
  </w:style>
  <w:style w:type="character" w:customStyle="1" w:styleId="32">
    <w:name w:val="font41"/>
    <w:basedOn w:val="13"/>
    <w:qFormat/>
    <w:uiPriority w:val="0"/>
    <w:rPr>
      <w:rFonts w:hint="default" w:ascii="Times New Roman" w:hAnsi="Times New Roman" w:cs="Times New Roman"/>
      <w:color w:val="000000"/>
      <w:sz w:val="28"/>
      <w:szCs w:val="28"/>
      <w:u w:val="none"/>
    </w:rPr>
  </w:style>
  <w:style w:type="character" w:customStyle="1" w:styleId="33">
    <w:name w:val="font81"/>
    <w:basedOn w:val="13"/>
    <w:qFormat/>
    <w:uiPriority w:val="0"/>
    <w:rPr>
      <w:rFonts w:hint="eastAsia" w:ascii="宋体" w:hAnsi="宋体" w:eastAsia="宋体" w:cs="宋体"/>
      <w:color w:val="000000"/>
      <w:sz w:val="24"/>
      <w:szCs w:val="24"/>
      <w:u w:val="none"/>
    </w:rPr>
  </w:style>
  <w:style w:type="character" w:customStyle="1" w:styleId="34">
    <w:name w:val="font61"/>
    <w:basedOn w:val="13"/>
    <w:qFormat/>
    <w:uiPriority w:val="0"/>
    <w:rPr>
      <w:rFonts w:ascii="仿宋_GB2312" w:eastAsia="仿宋_GB2312" w:cs="仿宋_GB2312"/>
      <w:color w:val="000000"/>
      <w:sz w:val="24"/>
      <w:szCs w:val="24"/>
      <w:u w:val="none"/>
    </w:rPr>
  </w:style>
  <w:style w:type="character" w:customStyle="1" w:styleId="35">
    <w:name w:val="font21"/>
    <w:basedOn w:val="13"/>
    <w:qFormat/>
    <w:uiPriority w:val="0"/>
    <w:rPr>
      <w:rFonts w:hint="default" w:ascii="Times New Roman" w:hAnsi="Times New Roman" w:cs="Times New Roman"/>
      <w:color w:val="000000"/>
      <w:sz w:val="24"/>
      <w:szCs w:val="24"/>
      <w:u w:val="none"/>
    </w:rPr>
  </w:style>
  <w:style w:type="character" w:customStyle="1" w:styleId="36">
    <w:name w:val="font31"/>
    <w:basedOn w:val="13"/>
    <w:qFormat/>
    <w:uiPriority w:val="0"/>
    <w:rPr>
      <w:rFonts w:hint="default" w:ascii="Times New Roman" w:hAnsi="Times New Roman" w:cs="Times New Roman"/>
      <w:color w:val="000000"/>
      <w:sz w:val="24"/>
      <w:szCs w:val="24"/>
      <w:u w:val="none"/>
    </w:rPr>
  </w:style>
  <w:style w:type="character" w:customStyle="1" w:styleId="37">
    <w:name w:val="font71"/>
    <w:basedOn w:val="13"/>
    <w:qFormat/>
    <w:uiPriority w:val="0"/>
    <w:rPr>
      <w:rFonts w:hint="eastAsia" w:ascii="仿宋_GB2312" w:eastAsia="仿宋_GB2312" w:cs="仿宋_GB2312"/>
      <w:color w:val="000000"/>
      <w:sz w:val="24"/>
      <w:szCs w:val="24"/>
      <w:u w:val="none"/>
    </w:rPr>
  </w:style>
  <w:style w:type="character" w:customStyle="1" w:styleId="38">
    <w:name w:val="font11"/>
    <w:basedOn w:val="13"/>
    <w:qFormat/>
    <w:uiPriority w:val="0"/>
    <w:rPr>
      <w:rFonts w:hint="eastAsia" w:ascii="宋体" w:hAnsi="宋体" w:eastAsia="宋体" w:cs="宋体"/>
      <w:color w:val="000000"/>
      <w:sz w:val="24"/>
      <w:szCs w:val="24"/>
      <w:u w:val="none"/>
    </w:rPr>
  </w:style>
  <w:style w:type="character" w:customStyle="1" w:styleId="39">
    <w:name w:val="font0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9579;&#28023;&#29141;\&#26426;&#20851;&#21450;&#24037;&#20250;&#20915;&#31639;&#24037;&#20316;\2020&#24180;&#20915;&#31639;&#20844;&#24320;\&#23459;&#20256;&#37096;2020&#24180;&#20915;&#31639;&#20844;&#24320;&#26448;&#26009;\&#26426;&#20851;&#20915;&#31639;&#20844;&#24320;&#25968;&#25454;.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E:\&#29579;&#28023;&#29141;\2019&#24180;&#23459;&#20256;&#37096;&#20915;&#31639;&#20844;&#24320;&#30456;&#20851;&#36164;&#26009;\&#26032;&#24314;%20XLSX%20&#24037;&#20316;&#3492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file:///E:\&#29579;&#28023;&#29141;\&#26426;&#20851;&#21450;&#24037;&#20250;&#20915;&#31639;&#24037;&#20316;\2020&#24180;&#20915;&#31639;&#20844;&#24320;\&#23459;&#20256;&#37096;2020&#24180;&#20915;&#31639;&#20844;&#24320;&#26448;&#26009;\&#26426;&#20851;&#20915;&#31639;&#20844;&#24320;&#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9579;&#28023;&#29141;\&#26426;&#20851;&#21450;&#24037;&#20250;&#20915;&#31639;&#24037;&#20316;\2020&#24180;&#20915;&#31639;&#20844;&#24320;\&#23459;&#20256;&#37096;2020&#24180;&#20915;&#31639;&#20844;&#24320;&#26448;&#26009;\&#26426;&#20851;&#20915;&#31639;&#20844;&#24320;&#25968;&#25454;.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9579;&#28023;&#29141;\&#26426;&#20851;&#21450;&#24037;&#20250;&#20915;&#31639;&#24037;&#20316;\2020&#24180;&#20915;&#31639;&#20844;&#24320;\&#23459;&#20256;&#37096;2020&#24180;&#20915;&#31639;&#20844;&#24320;&#26448;&#26009;\&#26426;&#20851;&#20915;&#31639;&#20844;&#24320;&#25968;&#25454;.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3.xml"/><Relationship Id="rId1" Type="http://schemas.openxmlformats.org/officeDocument/2006/relationships/oleObject" Target="file:///E:\&#29579;&#28023;&#29141;\&#26426;&#20851;&#21450;&#24037;&#20250;&#20915;&#31639;&#24037;&#20316;\2020&#24180;&#20915;&#31639;&#20844;&#24320;\&#23459;&#20256;&#37096;2020&#24180;&#20915;&#31639;&#20844;&#24320;&#26448;&#26009;\&#26426;&#20851;&#20915;&#31639;&#20844;&#24320;&#25968;&#25454;.xlsx"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4.xml"/><Relationship Id="rId1" Type="http://schemas.openxmlformats.org/officeDocument/2006/relationships/oleObject" Target="file:///E:\&#29579;&#28023;&#29141;\&#26426;&#20851;&#21450;&#24037;&#20250;&#20915;&#31639;&#24037;&#20316;\2020&#24180;&#20915;&#31639;&#20844;&#24320;\&#23459;&#20256;&#37096;2020&#24180;&#20915;&#31639;&#20844;&#24320;&#26448;&#26009;\&#26426;&#20851;&#20915;&#31639;&#20844;&#2432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a:t>
            </a:r>
            <a:r>
              <a:rPr lang="en-US" altLang="zh-CN"/>
              <a:t>2019</a:t>
            </a:r>
            <a:r>
              <a:rPr altLang="en-US"/>
              <a:t>年收支变动表（单位：万元）</a:t>
            </a:r>
            <a:endParaRPr altLang="en-US"/>
          </a:p>
        </c:rich>
      </c:tx>
      <c:layout/>
      <c:overlay val="0"/>
      <c:spPr>
        <a:noFill/>
        <a:ln>
          <a:noFill/>
        </a:ln>
        <a:effectLst/>
      </c:spPr>
    </c:title>
    <c:autoTitleDeleted val="0"/>
    <c:plotArea>
      <c:layout/>
      <c:barChart>
        <c:barDir val="col"/>
        <c:grouping val="clustered"/>
        <c:varyColors val="0"/>
        <c:ser>
          <c:idx val="0"/>
          <c:order val="0"/>
          <c:tx>
            <c:strRef>
              <c:f>[机关决算公开数据.xlsx]Sheet1!$A$3</c:f>
              <c:strCache>
                <c:ptCount val="1"/>
                <c:pt idx="0">
                  <c:v>2020年</c:v>
                </c:pt>
              </c:strCache>
            </c:strRef>
          </c:tx>
          <c:spPr>
            <a:solidFill>
              <a:schemeClr val="accent1"/>
            </a:solidFill>
            <a:ln>
              <a:noFill/>
            </a:ln>
            <a:effectLst/>
          </c:spPr>
          <c:invertIfNegative val="0"/>
          <c:dLbls>
            <c:delete val="1"/>
          </c:dLbls>
          <c:val>
            <c:numRef>
              <c:f>[机关决算公开数据.xlsx]Sheet1!$B$3:$C$3</c:f>
              <c:numCache>
                <c:formatCode>#,##0.00_ </c:formatCode>
                <c:ptCount val="2"/>
                <c:pt idx="0">
                  <c:v>15914.42</c:v>
                </c:pt>
                <c:pt idx="1">
                  <c:v>15914.42</c:v>
                </c:pt>
              </c:numCache>
            </c:numRef>
          </c:val>
        </c:ser>
        <c:ser>
          <c:idx val="1"/>
          <c:order val="1"/>
          <c:tx>
            <c:strRef>
              <c:f>[机关决算公开数据.xlsx]Sheet1!$A$4</c:f>
              <c:strCache>
                <c:ptCount val="1"/>
                <c:pt idx="0">
                  <c:v>2019年</c:v>
                </c:pt>
              </c:strCache>
            </c:strRef>
          </c:tx>
          <c:spPr>
            <a:solidFill>
              <a:schemeClr val="accent2"/>
            </a:solidFill>
            <a:ln>
              <a:noFill/>
            </a:ln>
            <a:effectLst/>
          </c:spPr>
          <c:invertIfNegative val="0"/>
          <c:dLbls>
            <c:delete val="1"/>
          </c:dLbls>
          <c:val>
            <c:numRef>
              <c:f>[机关决算公开数据.xlsx]Sheet1!$B$4:$C$4</c:f>
              <c:numCache>
                <c:formatCode>#,##0.00_ </c:formatCode>
                <c:ptCount val="2"/>
                <c:pt idx="0">
                  <c:v>14844.77</c:v>
                </c:pt>
                <c:pt idx="1">
                  <c:v>14844.77</c:v>
                </c:pt>
              </c:numCache>
            </c:numRef>
          </c:val>
        </c:ser>
        <c:dLbls>
          <c:showLegendKey val="0"/>
          <c:showVal val="0"/>
          <c:showCatName val="0"/>
          <c:showSerName val="0"/>
          <c:showPercent val="0"/>
          <c:showBubbleSize val="0"/>
        </c:dLbls>
        <c:gapWidth val="219"/>
        <c:overlap val="-27"/>
        <c:axId val="639501159"/>
        <c:axId val="269648470"/>
      </c:barChart>
      <c:catAx>
        <c:axId val="63950115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648470"/>
        <c:crosses val="autoZero"/>
        <c:auto val="1"/>
        <c:lblAlgn val="ctr"/>
        <c:lblOffset val="100"/>
        <c:noMultiLvlLbl val="0"/>
      </c:catAx>
      <c:valAx>
        <c:axId val="269648470"/>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95011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收入机构图</a:t>
            </a:r>
          </a:p>
        </c:rich>
      </c:tx>
      <c:layout/>
      <c:overlay val="0"/>
      <c:spPr>
        <a:noFill/>
        <a:ln>
          <a:noFill/>
        </a:ln>
        <a:effectLst/>
      </c:spPr>
    </c:title>
    <c:autoTitleDeleted val="0"/>
    <c:plotArea>
      <c:layout>
        <c:manualLayout>
          <c:layoutTarget val="inner"/>
          <c:xMode val="edge"/>
          <c:yMode val="edge"/>
          <c:x val="0.331504811898513"/>
          <c:y val="0.327464275298921"/>
          <c:w val="0.34254615048119"/>
          <c:h val="0.570910250801983"/>
        </c:manualLayout>
      </c:layout>
      <c:pieChart>
        <c:varyColors val="1"/>
        <c:ser>
          <c:idx val="0"/>
          <c:order val="0"/>
          <c:spPr>
            <a:solidFill>
              <a:srgbClr val="FA6600"/>
            </a:solidFill>
            <a:ln w="19050">
              <a:noFill/>
              <a:prstDash val="sysDot"/>
            </a:ln>
            <a:effectLst>
              <a:outerShdw blurRad="63500" sx="102000" sy="102000" algn="ctr" rotWithShape="0">
                <a:prstClr val="black">
                  <a:alpha val="40000"/>
                </a:prstClr>
              </a:outerShdw>
            </a:effectLst>
          </c:spPr>
          <c:explosion val="3"/>
          <c:dPt>
            <c:idx val="0"/>
            <c:bubble3D val="0"/>
            <c:spPr>
              <a:solidFill>
                <a:srgbClr val="FA6600"/>
              </a:solidFill>
              <a:ln w="19050">
                <a:solidFill>
                  <a:schemeClr val="bg1"/>
                </a:solidFill>
                <a:prstDash val="sysDot"/>
              </a:ln>
              <a:effectLst>
                <a:outerShdw blurRad="63500" sx="102000" sy="102000" algn="ctr" rotWithShape="0">
                  <a:prstClr val="black">
                    <a:alpha val="40000"/>
                  </a:prstClr>
                </a:outerShdw>
              </a:effectLst>
            </c:spPr>
          </c:dPt>
          <c:dPt>
            <c:idx val="1"/>
            <c:bubble3D val="0"/>
            <c:spPr>
              <a:solidFill>
                <a:srgbClr val="F1F5DE"/>
              </a:solidFill>
              <a:ln w="19050">
                <a:solidFill>
                  <a:schemeClr val="bg1"/>
                </a:solidFill>
                <a:prstDash val="sysDot"/>
              </a:ln>
              <a:effectLst>
                <a:outerShdw blurRad="63500" sx="102000" sy="102000" algn="ctr" rotWithShape="0">
                  <a:prstClr val="black">
                    <a:alpha val="40000"/>
                  </a:prstClr>
                </a:outerShdw>
              </a:effectLst>
            </c:spPr>
          </c:dPt>
          <c:dPt>
            <c:idx val="2"/>
            <c:bubble3D val="0"/>
            <c:spPr>
              <a:solidFill>
                <a:srgbClr val="45C4C5"/>
              </a:solidFill>
              <a:ln w="19050">
                <a:solidFill>
                  <a:schemeClr val="bg1"/>
                </a:solidFill>
                <a:prstDash val="sysDot"/>
              </a:ln>
              <a:effectLst>
                <a:outerShdw blurRad="63500" sx="102000" sy="102000" algn="ctr" rotWithShape="0">
                  <a:prstClr val="black">
                    <a:alpha val="40000"/>
                  </a:prstClr>
                </a:outerShdw>
              </a:effectLst>
            </c:spPr>
          </c:dPt>
          <c:dLbls>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工作表.xlsx]Sheet1'!$A$48:$A$50</c:f>
              <c:strCache>
                <c:ptCount val="3"/>
                <c:pt idx="0">
                  <c:v>一般公共预算财政拨款</c:v>
                </c:pt>
                <c:pt idx="1">
                  <c:v>政府性基金预算财政拨款</c:v>
                </c:pt>
                <c:pt idx="2">
                  <c:v>事业收入</c:v>
                </c:pt>
              </c:strCache>
            </c:strRef>
          </c:cat>
          <c:val>
            <c:numRef>
              <c:f>'[新建 XLSX 工作表.xlsx]Sheet1'!$B$48:$B$50</c:f>
              <c:numCache>
                <c:formatCode>General</c:formatCode>
                <c:ptCount val="3"/>
                <c:pt idx="0">
                  <c:v>28825.52</c:v>
                </c:pt>
                <c:pt idx="1">
                  <c:v>82.17</c:v>
                </c:pt>
                <c:pt idx="2">
                  <c:v>3651.18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gradFill>
      <a:gsLst>
        <a:gs pos="0">
          <a:srgbClr val="126A78"/>
        </a:gs>
        <a:gs pos="50000">
          <a:srgbClr val="168595"/>
        </a:gs>
        <a:gs pos="100000">
          <a:srgbClr val="126A78"/>
        </a:gs>
      </a:gsLst>
      <a:lin ang="5400000" scaled="0"/>
    </a:gra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支出决算结构图</a:t>
            </a:r>
          </a:p>
        </c:rich>
      </c:tx>
      <c:layout/>
      <c:overlay val="0"/>
      <c:spPr>
        <a:noFill/>
        <a:ln>
          <a:noFill/>
        </a:ln>
        <a:effectLst/>
      </c:spPr>
    </c:title>
    <c:autoTitleDeleted val="0"/>
    <c:plotArea>
      <c:layout>
        <c:manualLayout>
          <c:layoutTarget val="inner"/>
          <c:xMode val="edge"/>
          <c:yMode val="edge"/>
          <c:x val="0.331504811898513"/>
          <c:y val="0.327464275298921"/>
          <c:w val="0.34254615048119"/>
          <c:h val="0.570910250801983"/>
        </c:manualLayout>
      </c:layout>
      <c:pieChart>
        <c:varyColors val="1"/>
        <c:ser>
          <c:idx val="0"/>
          <c:order val="0"/>
          <c:spPr>
            <a:solidFill>
              <a:srgbClr val="FA6600"/>
            </a:solidFill>
            <a:ln w="19050">
              <a:noFill/>
              <a:prstDash val="sysDot"/>
            </a:ln>
            <a:effectLst>
              <a:outerShdw blurRad="63500" sx="102000" sy="102000" algn="ctr" rotWithShape="0">
                <a:prstClr val="black">
                  <a:alpha val="40000"/>
                </a:prstClr>
              </a:outerShdw>
            </a:effectLst>
          </c:spPr>
          <c:explosion val="3"/>
          <c:dPt>
            <c:idx val="0"/>
            <c:bubble3D val="0"/>
            <c:spPr>
              <a:solidFill>
                <a:srgbClr val="FA6600"/>
              </a:solidFill>
              <a:ln w="19050">
                <a:solidFill>
                  <a:schemeClr val="bg1"/>
                </a:solidFill>
                <a:prstDash val="sysDot"/>
              </a:ln>
              <a:effectLst>
                <a:outerShdw blurRad="63500" sx="102000" sy="102000" algn="ctr" rotWithShape="0">
                  <a:prstClr val="black">
                    <a:alpha val="40000"/>
                  </a:prstClr>
                </a:outerShdw>
              </a:effectLst>
            </c:spPr>
          </c:dPt>
          <c:dPt>
            <c:idx val="1"/>
            <c:bubble3D val="0"/>
            <c:spPr>
              <a:solidFill>
                <a:srgbClr val="F1F5DE"/>
              </a:solidFill>
              <a:ln w="19050">
                <a:solidFill>
                  <a:schemeClr val="bg1"/>
                </a:solidFill>
                <a:prstDash val="sysDot"/>
              </a:ln>
              <a:effectLst>
                <a:outerShdw blurRad="63500" sx="102000" sy="102000" algn="ctr" rotWithShape="0">
                  <a:prstClr val="black">
                    <a:alpha val="40000"/>
                  </a:prstClr>
                </a:outerShdw>
              </a:effectLst>
            </c:spPr>
          </c:dPt>
          <c:dLbls>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[机关决算公开数据.xlsx]Sheet1!$A$53:$A$54</c:f>
              <c:strCache>
                <c:ptCount val="2"/>
                <c:pt idx="0">
                  <c:v>基本支出</c:v>
                </c:pt>
                <c:pt idx="1">
                  <c:v>项目支出</c:v>
                </c:pt>
              </c:strCache>
            </c:strRef>
          </c:cat>
          <c:val>
            <c:numRef>
              <c:f>[机关决算公开数据.xlsx]Sheet1!$B$53:$B$54</c:f>
              <c:numCache>
                <c:formatCode>General</c:formatCode>
                <c:ptCount val="2"/>
                <c:pt idx="0">
                  <c:v>5395.27</c:v>
                </c:pt>
                <c:pt idx="1">
                  <c:v>10519.16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gradFill>
      <a:gsLst>
        <a:gs pos="0">
          <a:srgbClr val="126A78"/>
        </a:gs>
        <a:gs pos="50000">
          <a:srgbClr val="168595"/>
        </a:gs>
        <a:gs pos="100000">
          <a:srgbClr val="126A78"/>
        </a:gs>
      </a:gsLst>
      <a:lin ang="5400000" scaled="0"/>
    </a:gra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a:t>
            </a:r>
            <a:r>
              <a:rPr altLang="en-US"/>
              <a:t>年、</a:t>
            </a:r>
            <a:r>
              <a:rPr lang="en-US" altLang="zh-CN"/>
              <a:t>2019</a:t>
            </a:r>
            <a:r>
              <a:rPr altLang="en-US"/>
              <a:t>年财政拨款收支变动表（单位：万元）</a:t>
            </a:r>
            <a:endParaRPr altLang="en-US"/>
          </a:p>
        </c:rich>
      </c:tx>
      <c:layout/>
      <c:overlay val="0"/>
      <c:spPr>
        <a:noFill/>
        <a:ln>
          <a:noFill/>
        </a:ln>
        <a:effectLst/>
      </c:spPr>
    </c:title>
    <c:autoTitleDeleted val="0"/>
    <c:plotArea>
      <c:layout/>
      <c:barChart>
        <c:barDir val="col"/>
        <c:grouping val="clustered"/>
        <c:varyColors val="0"/>
        <c:ser>
          <c:idx val="0"/>
          <c:order val="0"/>
          <c:tx>
            <c:strRef>
              <c:f>[机关决算公开数据.xlsx]Sheet1!$A$3</c:f>
              <c:strCache>
                <c:ptCount val="1"/>
                <c:pt idx="0">
                  <c:v>2020年</c:v>
                </c:pt>
              </c:strCache>
            </c:strRef>
          </c:tx>
          <c:spPr>
            <a:solidFill>
              <a:schemeClr val="accent1"/>
            </a:solidFill>
            <a:ln>
              <a:noFill/>
            </a:ln>
            <a:effectLst/>
          </c:spPr>
          <c:invertIfNegative val="0"/>
          <c:dLbls>
            <c:delete val="1"/>
          </c:dLbls>
          <c:val>
            <c:numRef>
              <c:f>[机关决算公开数据.xlsx]Sheet1!$B$3:$C$3</c:f>
              <c:numCache>
                <c:formatCode>#,##0.00_ </c:formatCode>
                <c:ptCount val="2"/>
                <c:pt idx="0">
                  <c:v>15914.42</c:v>
                </c:pt>
                <c:pt idx="1">
                  <c:v>15914.42</c:v>
                </c:pt>
              </c:numCache>
            </c:numRef>
          </c:val>
        </c:ser>
        <c:ser>
          <c:idx val="1"/>
          <c:order val="1"/>
          <c:tx>
            <c:strRef>
              <c:f>[机关决算公开数据.xlsx]Sheet1!$A$4</c:f>
              <c:strCache>
                <c:ptCount val="1"/>
                <c:pt idx="0">
                  <c:v>2019年</c:v>
                </c:pt>
              </c:strCache>
            </c:strRef>
          </c:tx>
          <c:spPr>
            <a:solidFill>
              <a:schemeClr val="accent2"/>
            </a:solidFill>
            <a:ln>
              <a:noFill/>
            </a:ln>
            <a:effectLst/>
          </c:spPr>
          <c:invertIfNegative val="0"/>
          <c:dLbls>
            <c:delete val="1"/>
          </c:dLbls>
          <c:val>
            <c:numRef>
              <c:f>[机关决算公开数据.xlsx]Sheet1!$B$4:$C$4</c:f>
              <c:numCache>
                <c:formatCode>#,##0.00_ </c:formatCode>
                <c:ptCount val="2"/>
                <c:pt idx="0">
                  <c:v>14844.77</c:v>
                </c:pt>
                <c:pt idx="1">
                  <c:v>14844.77</c:v>
                </c:pt>
              </c:numCache>
            </c:numRef>
          </c:val>
        </c:ser>
        <c:dLbls>
          <c:showLegendKey val="0"/>
          <c:showVal val="0"/>
          <c:showCatName val="0"/>
          <c:showSerName val="0"/>
          <c:showPercent val="0"/>
          <c:showBubbleSize val="0"/>
        </c:dLbls>
        <c:gapWidth val="219"/>
        <c:overlap val="-27"/>
        <c:axId val="639501159"/>
        <c:axId val="269648470"/>
      </c:barChart>
      <c:catAx>
        <c:axId val="63950115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648470"/>
        <c:crosses val="autoZero"/>
        <c:auto val="1"/>
        <c:lblAlgn val="ctr"/>
        <c:lblOffset val="100"/>
        <c:noMultiLvlLbl val="0"/>
      </c:catAx>
      <c:valAx>
        <c:axId val="269648470"/>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95011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一般公共预算财政拨款收支变动图（单位：万元）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[机关决算公开数据.xlsx]Sheet1!$A$81:$A$82</c:f>
              <c:strCache>
                <c:ptCount val="2"/>
                <c:pt idx="0">
                  <c:v>2020年</c:v>
                </c:pt>
                <c:pt idx="1">
                  <c:v>2019年</c:v>
                </c:pt>
              </c:strCache>
            </c:strRef>
          </c:cat>
          <c:val>
            <c:numRef>
              <c:f>[机关决算公开数据.xlsx]Sheet1!$B$81:$B$82</c:f>
              <c:numCache>
                <c:formatCode>General</c:formatCode>
                <c:ptCount val="2"/>
                <c:pt idx="0">
                  <c:v>15060.47</c:v>
                </c:pt>
                <c:pt idx="1">
                  <c:v>14762.6</c:v>
                </c:pt>
              </c:numCache>
            </c:numRef>
          </c:val>
        </c:ser>
        <c:dLbls>
          <c:showLegendKey val="0"/>
          <c:showVal val="0"/>
          <c:showCatName val="0"/>
          <c:showSerName val="0"/>
          <c:showPercent val="0"/>
          <c:showBubbleSize val="0"/>
        </c:dLbls>
        <c:gapWidth val="219"/>
        <c:overlap val="-27"/>
        <c:axId val="13023719"/>
        <c:axId val="867304359"/>
      </c:barChart>
      <c:catAx>
        <c:axId val="130237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7304359"/>
        <c:crosses val="autoZero"/>
        <c:auto val="1"/>
        <c:lblAlgn val="ctr"/>
        <c:lblOffset val="100"/>
        <c:noMultiLvlLbl val="0"/>
      </c:catAx>
      <c:valAx>
        <c:axId val="867304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237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一般公共预算财政拨款支出决算结图</a:t>
            </a:r>
          </a:p>
        </c:rich>
      </c:tx>
      <c:layout/>
      <c:overlay val="0"/>
      <c:spPr>
        <a:noFill/>
        <a:ln>
          <a:noFill/>
        </a:ln>
        <a:effectLst/>
      </c:spPr>
    </c:title>
    <c:autoTitleDeleted val="0"/>
    <c:plotArea>
      <c:layout>
        <c:manualLayout>
          <c:layoutTarget val="inner"/>
          <c:xMode val="edge"/>
          <c:yMode val="edge"/>
          <c:x val="0.331504811898513"/>
          <c:y val="0.327464275298921"/>
          <c:w val="0.34254615048119"/>
          <c:h val="0.570910250801983"/>
        </c:manualLayout>
      </c:layout>
      <c:pieChart>
        <c:varyColors val="1"/>
        <c:ser>
          <c:idx val="0"/>
          <c:order val="0"/>
          <c:spPr>
            <a:solidFill>
              <a:srgbClr val="FA6600"/>
            </a:solidFill>
            <a:ln w="19050">
              <a:noFill/>
              <a:prstDash val="sysDot"/>
            </a:ln>
            <a:effectLst>
              <a:outerShdw blurRad="63500" sx="102000" sy="102000" algn="ctr" rotWithShape="0">
                <a:prstClr val="black">
                  <a:alpha val="40000"/>
                </a:prstClr>
              </a:outerShdw>
            </a:effectLst>
          </c:spPr>
          <c:explosion val="3"/>
          <c:dPt>
            <c:idx val="0"/>
            <c:bubble3D val="0"/>
            <c:spPr>
              <a:solidFill>
                <a:srgbClr val="FA6600"/>
              </a:solidFill>
              <a:ln w="19050">
                <a:solidFill>
                  <a:schemeClr val="bg1"/>
                </a:solidFill>
                <a:prstDash val="sysDot"/>
              </a:ln>
              <a:effectLst>
                <a:outerShdw blurRad="63500" sx="102000" sy="102000" algn="ctr" rotWithShape="0">
                  <a:prstClr val="black">
                    <a:alpha val="40000"/>
                  </a:prstClr>
                </a:outerShdw>
              </a:effectLst>
            </c:spPr>
          </c:dPt>
          <c:dPt>
            <c:idx val="1"/>
            <c:bubble3D val="0"/>
            <c:spPr>
              <a:solidFill>
                <a:srgbClr val="F1F5DE"/>
              </a:solidFill>
              <a:ln w="19050">
                <a:solidFill>
                  <a:schemeClr val="bg1"/>
                </a:solidFill>
                <a:prstDash val="sysDot"/>
              </a:ln>
              <a:effectLst>
                <a:outerShdw blurRad="63500" sx="102000" sy="102000" algn="ctr" rotWithShape="0">
                  <a:prstClr val="black">
                    <a:alpha val="40000"/>
                  </a:prstClr>
                </a:outerShdw>
              </a:effectLst>
            </c:spPr>
          </c:dPt>
          <c:dPt>
            <c:idx val="2"/>
            <c:bubble3D val="0"/>
            <c:spPr>
              <a:solidFill>
                <a:srgbClr val="45C4C5"/>
              </a:solidFill>
              <a:ln w="19050">
                <a:solidFill>
                  <a:schemeClr val="bg1"/>
                </a:solidFill>
                <a:prstDash val="sysDot"/>
              </a:ln>
              <a:effectLst>
                <a:outerShdw blurRad="63500" sx="102000" sy="102000" algn="ctr" rotWithShape="0">
                  <a:prstClr val="black">
                    <a:alpha val="40000"/>
                  </a:prstClr>
                </a:outerShdw>
              </a:effectLst>
            </c:spPr>
          </c:dPt>
          <c:dPt>
            <c:idx val="3"/>
            <c:bubble3D val="0"/>
            <c:spPr>
              <a:solidFill>
                <a:srgbClr val="E7A80F"/>
              </a:solidFill>
              <a:ln w="19050">
                <a:solidFill>
                  <a:schemeClr val="bg1"/>
                </a:solidFill>
                <a:prstDash val="sysDot"/>
              </a:ln>
              <a:effectLst>
                <a:outerShdw blurRad="63500" sx="102000" sy="102000" algn="ctr" rotWithShape="0">
                  <a:prstClr val="black">
                    <a:alpha val="40000"/>
                  </a:prstClr>
                </a:outerShdw>
              </a:effectLst>
            </c:spPr>
          </c:dPt>
          <c:dPt>
            <c:idx val="4"/>
            <c:bubble3D val="0"/>
            <c:spPr>
              <a:solidFill>
                <a:srgbClr val="FA6600"/>
              </a:solidFill>
              <a:ln w="19050">
                <a:noFill/>
                <a:prstDash val="sysDot"/>
              </a:ln>
              <a:effectLst>
                <a:outerShdw blurRad="63500" sx="102000" sy="102000" algn="ctr" rotWithShape="0">
                  <a:prstClr val="black">
                    <a:alpha val="40000"/>
                  </a:prstClr>
                </a:outerShdw>
              </a:effectLst>
            </c:spPr>
          </c:dPt>
          <c:dPt>
            <c:idx val="5"/>
            <c:bubble3D val="0"/>
            <c:spPr>
              <a:solidFill>
                <a:srgbClr val="FA6600"/>
              </a:solidFill>
              <a:ln w="19050">
                <a:noFill/>
                <a:prstDash val="sysDot"/>
              </a:ln>
              <a:effectLst>
                <a:outerShdw blurRad="63500" sx="102000" sy="102000" algn="ctr" rotWithShape="0">
                  <a:prstClr val="black">
                    <a:alpha val="40000"/>
                  </a:prstClr>
                </a:outerShdw>
              </a:effectLst>
            </c:spPr>
          </c:dPt>
          <c:dPt>
            <c:idx val="6"/>
            <c:bubble3D val="0"/>
            <c:spPr>
              <a:solidFill>
                <a:srgbClr val="FA6600"/>
              </a:solidFill>
              <a:ln w="19050">
                <a:noFill/>
                <a:prstDash val="sysDot"/>
              </a:ln>
              <a:effectLst>
                <a:outerShdw blurRad="63500" sx="102000" sy="102000" algn="ctr" rotWithShape="0">
                  <a:prstClr val="black">
                    <a:alpha val="40000"/>
                  </a:prstClr>
                </a:outerShdw>
              </a:effectLst>
            </c:spPr>
          </c:dPt>
          <c:dPt>
            <c:idx val="7"/>
            <c:bubble3D val="0"/>
            <c:spPr>
              <a:solidFill>
                <a:srgbClr val="FA6600"/>
              </a:solidFill>
              <a:ln w="19050">
                <a:noFill/>
                <a:prstDash val="sysDot"/>
              </a:ln>
              <a:effectLst>
                <a:outerShdw blurRad="63500" sx="102000" sy="102000" algn="ctr" rotWithShape="0">
                  <a:prstClr val="black">
                    <a:alpha val="40000"/>
                  </a:prstClr>
                </a:outerShdw>
              </a:effectLst>
            </c:spPr>
          </c:dPt>
          <c:dLbls>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[机关决算公开数据.xlsx]Sheet1!$A$25:$A$32</c:f>
              <c:strCache>
                <c:ptCount val="8"/>
                <c:pt idx="0">
                  <c:v>一般公共预算财政拨款支出决算结图</c:v>
                </c:pt>
                <c:pt idx="1">
                  <c:v>一般公共服务类</c:v>
                </c:pt>
                <c:pt idx="2">
                  <c:v>文化旅游体育与传媒类</c:v>
                </c:pt>
                <c:pt idx="3">
                  <c:v>社会保障和就业类</c:v>
                </c:pt>
                <c:pt idx="4">
                  <c:v>卫生健康</c:v>
                </c:pt>
                <c:pt idx="5">
                  <c:v>住房保障</c:v>
                </c:pt>
                <c:pt idx="6">
                  <c:v>灾害防治及应急管理</c:v>
                </c:pt>
                <c:pt idx="7">
                  <c:v>其他</c:v>
                </c:pt>
              </c:strCache>
            </c:strRef>
          </c:cat>
          <c:val>
            <c:numRef>
              <c:f>[机关决算公开数据.xlsx]Sheet1!$B$25:$B$32</c:f>
              <c:numCache>
                <c:formatCode>General</c:formatCode>
                <c:ptCount val="8"/>
                <c:pt idx="1">
                  <c:v>4208.01</c:v>
                </c:pt>
                <c:pt idx="2">
                  <c:v>9131.11</c:v>
                </c:pt>
                <c:pt idx="3">
                  <c:v>858.3</c:v>
                </c:pt>
                <c:pt idx="4">
                  <c:v>231.04</c:v>
                </c:pt>
                <c:pt idx="5">
                  <c:v>471.1</c:v>
                </c:pt>
                <c:pt idx="6">
                  <c:v>7.93</c:v>
                </c:pt>
                <c:pt idx="7">
                  <c:v>152.99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gradFill>
      <a:gsLst>
        <a:gs pos="0">
          <a:srgbClr val="126A78"/>
        </a:gs>
        <a:gs pos="50000">
          <a:srgbClr val="168595"/>
        </a:gs>
        <a:gs pos="100000">
          <a:srgbClr val="126A78"/>
        </a:gs>
      </a:gsLst>
      <a:lin ang="5400000" scaled="0"/>
    </a:gra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“三公”经费经费财政拨款支出结构图</a:t>
            </a:r>
          </a:p>
        </c:rich>
      </c:tx>
      <c:layout>
        <c:manualLayout>
          <c:xMode val="edge"/>
          <c:yMode val="edge"/>
          <c:x val="0.16375"/>
          <c:y val="0.00634920634920635"/>
        </c:manualLayout>
      </c:layout>
      <c:overlay val="0"/>
      <c:spPr>
        <a:noFill/>
        <a:ln>
          <a:noFill/>
        </a:ln>
        <a:effectLst/>
      </c:spPr>
    </c:title>
    <c:autoTitleDeleted val="0"/>
    <c:plotArea>
      <c:layout>
        <c:manualLayout>
          <c:layoutTarget val="inner"/>
          <c:xMode val="edge"/>
          <c:yMode val="edge"/>
          <c:x val="0.331504811898513"/>
          <c:y val="0.327464275298921"/>
          <c:w val="0.34254615048119"/>
          <c:h val="0.570910250801983"/>
        </c:manualLayout>
      </c:layout>
      <c:pieChart>
        <c:varyColors val="1"/>
        <c:ser>
          <c:idx val="0"/>
          <c:order val="0"/>
          <c:spPr>
            <a:solidFill>
              <a:srgbClr val="FA6600"/>
            </a:solidFill>
            <a:ln w="19050">
              <a:noFill/>
              <a:prstDash val="sysDot"/>
            </a:ln>
            <a:effectLst>
              <a:outerShdw blurRad="63500" sx="102000" sy="102000" algn="ctr" rotWithShape="0">
                <a:prstClr val="black">
                  <a:alpha val="40000"/>
                </a:prstClr>
              </a:outerShdw>
            </a:effectLst>
          </c:spPr>
          <c:explosion val="3"/>
          <c:dPt>
            <c:idx val="0"/>
            <c:bubble3D val="0"/>
            <c:spPr>
              <a:solidFill>
                <a:srgbClr val="FA6600"/>
              </a:solidFill>
              <a:ln w="19050">
                <a:solidFill>
                  <a:schemeClr val="bg1"/>
                </a:solidFill>
                <a:prstDash val="sysDot"/>
              </a:ln>
              <a:effectLst>
                <a:outerShdw blurRad="63500" sx="102000" sy="102000" algn="ctr" rotWithShape="0">
                  <a:prstClr val="black">
                    <a:alpha val="40000"/>
                  </a:prstClr>
                </a:outerShdw>
              </a:effectLst>
            </c:spPr>
          </c:dPt>
          <c:dPt>
            <c:idx val="1"/>
            <c:bubble3D val="0"/>
            <c:spPr>
              <a:solidFill>
                <a:srgbClr val="F1F5DE"/>
              </a:solidFill>
              <a:ln w="19050">
                <a:solidFill>
                  <a:schemeClr val="bg1"/>
                </a:solidFill>
                <a:prstDash val="sysDot"/>
              </a:ln>
              <a:effectLst>
                <a:outerShdw blurRad="63500" sx="102000" sy="102000" algn="ctr" rotWithShape="0">
                  <a:prstClr val="black">
                    <a:alpha val="40000"/>
                  </a:prstClr>
                </a:outerShdw>
              </a:effectLst>
            </c:spPr>
          </c:dPt>
          <c:dPt>
            <c:idx val="2"/>
            <c:bubble3D val="0"/>
            <c:spPr>
              <a:solidFill>
                <a:srgbClr val="45C4C5"/>
              </a:solidFill>
              <a:ln w="19050">
                <a:solidFill>
                  <a:schemeClr val="bg1"/>
                </a:solidFill>
                <a:prstDash val="sysDot"/>
              </a:ln>
              <a:effectLst>
                <a:outerShdw blurRad="63500" sx="102000" sy="102000" algn="ctr" rotWithShape="0">
                  <a:prstClr val="black">
                    <a:alpha val="40000"/>
                  </a:prstClr>
                </a:outerShdw>
              </a:effectLst>
            </c:spPr>
          </c:dPt>
          <c:dLbls>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[机关决算公开数据.xlsx]Sheet1!$A$39:$A$41</c:f>
              <c:strCache>
                <c:ptCount val="3"/>
                <c:pt idx="0">
                  <c:v>因公出国费</c:v>
                </c:pt>
                <c:pt idx="1">
                  <c:v>公务用车购置及运行维护费</c:v>
                </c:pt>
                <c:pt idx="2">
                  <c:v>公务接待费</c:v>
                </c:pt>
              </c:strCache>
            </c:strRef>
          </c:cat>
          <c:val>
            <c:numRef>
              <c:f>[机关决算公开数据.xlsx]Sheet1!$B$39:$B$41</c:f>
              <c:numCache>
                <c:formatCode>General</c:formatCode>
                <c:ptCount val="3"/>
                <c:pt idx="0">
                  <c:v>0</c:v>
                </c:pt>
                <c:pt idx="1">
                  <c:v>45.2</c:v>
                </c:pt>
                <c:pt idx="2">
                  <c:v>9.85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gradFill>
      <a:gsLst>
        <a:gs pos="0">
          <a:srgbClr val="126A78"/>
        </a:gs>
        <a:gs pos="50000">
          <a:srgbClr val="168595"/>
        </a:gs>
        <a:gs pos="100000">
          <a:srgbClr val="126A78"/>
        </a:gs>
      </a:gsLst>
      <a:lin ang="5400000" scaled="0"/>
    </a:gra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0B3E5-6E7C-4CFD-8CEC-CCC3D63A50ED}">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1295</Words>
  <Characters>7384</Characters>
  <Lines>61</Lines>
  <Paragraphs>17</Paragraphs>
  <TotalTime>3</TotalTime>
  <ScaleCrop>false</ScaleCrop>
  <LinksUpToDate>false</LinksUpToDate>
  <CharactersWithSpaces>8662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大海</cp:lastModifiedBy>
  <cp:lastPrinted>2021-08-23T06:48:00Z</cp:lastPrinted>
  <dcterms:modified xsi:type="dcterms:W3CDTF">2021-09-07T02:06:45Z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0_btnclosed</vt:lpwstr>
  </property>
  <property fmtid="{D5CDD505-2E9C-101B-9397-08002B2CF9AE}" pid="4" name="ICV">
    <vt:lpwstr>C47B72A89BC44119A105CD61F37FE2D9</vt:lpwstr>
  </property>
</Properties>
</file>