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246" w:rsidRDefault="00327246">
      <w:pPr>
        <w:adjustRightInd w:val="0"/>
        <w:snapToGrid w:val="0"/>
        <w:spacing w:line="360" w:lineRule="auto"/>
        <w:jc w:val="center"/>
        <w:outlineLvl w:val="0"/>
        <w:rPr>
          <w:rFonts w:eastAsia="方正小标宋简体"/>
          <w:b/>
          <w:bCs/>
          <w:color w:val="000000"/>
          <w:sz w:val="72"/>
          <w:szCs w:val="72"/>
        </w:rPr>
      </w:pPr>
      <w:bookmarkStart w:id="0" w:name="_Toc15306267"/>
    </w:p>
    <w:p w:rsidR="00327246" w:rsidRDefault="00327246">
      <w:pPr>
        <w:adjustRightInd w:val="0"/>
        <w:snapToGrid w:val="0"/>
        <w:spacing w:line="360" w:lineRule="auto"/>
        <w:jc w:val="center"/>
        <w:outlineLvl w:val="0"/>
        <w:rPr>
          <w:rFonts w:eastAsia="方正小标宋简体"/>
          <w:b/>
          <w:bCs/>
          <w:color w:val="000000"/>
          <w:sz w:val="72"/>
          <w:szCs w:val="72"/>
        </w:rPr>
      </w:pPr>
    </w:p>
    <w:p w:rsidR="00327246" w:rsidRDefault="00327246">
      <w:pPr>
        <w:adjustRightInd w:val="0"/>
        <w:snapToGrid w:val="0"/>
        <w:spacing w:line="360" w:lineRule="auto"/>
        <w:jc w:val="center"/>
        <w:outlineLvl w:val="0"/>
        <w:rPr>
          <w:rFonts w:eastAsia="方正小标宋简体"/>
          <w:b/>
          <w:bCs/>
          <w:color w:val="000000"/>
          <w:sz w:val="72"/>
          <w:szCs w:val="72"/>
        </w:rPr>
      </w:pPr>
    </w:p>
    <w:p w:rsidR="00327246" w:rsidRDefault="00327246">
      <w:pPr>
        <w:adjustRightInd w:val="0"/>
        <w:snapToGrid w:val="0"/>
        <w:spacing w:line="360" w:lineRule="auto"/>
        <w:jc w:val="center"/>
        <w:outlineLvl w:val="0"/>
        <w:rPr>
          <w:rFonts w:eastAsia="方正小标宋简体"/>
          <w:b/>
          <w:bCs/>
          <w:color w:val="000000"/>
          <w:sz w:val="72"/>
          <w:szCs w:val="72"/>
        </w:rPr>
      </w:pPr>
    </w:p>
    <w:p w:rsidR="00327246" w:rsidRDefault="00D33664">
      <w:pPr>
        <w:adjustRightInd w:val="0"/>
        <w:snapToGrid w:val="0"/>
        <w:spacing w:line="360" w:lineRule="auto"/>
        <w:jc w:val="center"/>
        <w:outlineLvl w:val="0"/>
        <w:rPr>
          <w:rFonts w:ascii="方正小标宋简体" w:eastAsia="方正小标宋简体" w:hAnsi="方正小标宋简体" w:cs="方正小标宋简体"/>
          <w:b/>
          <w:bCs/>
          <w:color w:val="000000"/>
          <w:sz w:val="72"/>
          <w:szCs w:val="72"/>
        </w:rPr>
      </w:pPr>
      <w:bookmarkStart w:id="1" w:name="_Toc15377425"/>
      <w:bookmarkStart w:id="2" w:name="_Toc15396475"/>
      <w:bookmarkStart w:id="3" w:name="_Toc15396597"/>
      <w:bookmarkStart w:id="4" w:name="_Toc15377193"/>
      <w:bookmarkStart w:id="5" w:name="_Toc15378441"/>
      <w:bookmarkStart w:id="6" w:name="_Toc20864"/>
      <w:bookmarkStart w:id="7" w:name="_Toc8641"/>
      <w:bookmarkStart w:id="8" w:name="_Toc24726"/>
      <w:bookmarkStart w:id="9" w:name="_Toc23939"/>
      <w:bookmarkStart w:id="10" w:name="_Toc3776"/>
      <w:bookmarkStart w:id="11" w:name="_Toc7868"/>
      <w:r>
        <w:rPr>
          <w:rFonts w:ascii="方正小标宋简体" w:eastAsia="方正小标宋简体" w:hAnsi="方正小标宋简体" w:cs="方正小标宋简体" w:hint="eastAsia"/>
          <w:b/>
          <w:bCs/>
          <w:color w:val="000000"/>
          <w:sz w:val="72"/>
          <w:szCs w:val="72"/>
        </w:rPr>
        <w:t>2020年度</w:t>
      </w:r>
      <w:bookmarkStart w:id="12" w:name="_Toc15377194"/>
      <w:bookmarkStart w:id="13" w:name="_Toc15396476"/>
      <w:bookmarkStart w:id="14" w:name="_Toc15378442"/>
      <w:bookmarkStart w:id="15" w:name="_Toc15396598"/>
      <w:bookmarkStart w:id="16" w:name="_Toc15377426"/>
      <w:bookmarkEnd w:id="1"/>
      <w:bookmarkEnd w:id="2"/>
      <w:bookmarkEnd w:id="3"/>
      <w:bookmarkEnd w:id="4"/>
      <w:bookmarkEnd w:id="5"/>
      <w:r>
        <w:rPr>
          <w:rFonts w:ascii="方正小标宋简体" w:eastAsia="方正小标宋简体" w:hAnsi="方正小标宋简体" w:cs="方正小标宋简体" w:hint="eastAsia"/>
          <w:b/>
          <w:bCs/>
          <w:color w:val="000000"/>
          <w:sz w:val="72"/>
          <w:szCs w:val="72"/>
        </w:rPr>
        <w:t>中共四川</w:t>
      </w:r>
      <w:bookmarkStart w:id="17" w:name="_Toc20047"/>
      <w:bookmarkStart w:id="18" w:name="_Toc15306268"/>
      <w:bookmarkStart w:id="19" w:name="_Toc5414"/>
      <w:bookmarkStart w:id="20" w:name="_Toc11522"/>
      <w:bookmarkStart w:id="21" w:name="_Toc5019"/>
      <w:bookmarkEnd w:id="0"/>
      <w:bookmarkEnd w:id="6"/>
      <w:bookmarkEnd w:id="7"/>
      <w:bookmarkEnd w:id="8"/>
      <w:bookmarkEnd w:id="9"/>
      <w:r>
        <w:rPr>
          <w:rFonts w:ascii="方正小标宋简体" w:eastAsia="方正小标宋简体" w:hAnsi="方正小标宋简体" w:cs="方正小标宋简体" w:hint="eastAsia"/>
          <w:b/>
          <w:bCs/>
          <w:color w:val="000000"/>
          <w:sz w:val="72"/>
          <w:szCs w:val="72"/>
        </w:rPr>
        <w:t>省委</w:t>
      </w:r>
      <w:bookmarkEnd w:id="10"/>
    </w:p>
    <w:p w:rsidR="00327246" w:rsidRDefault="00D33664">
      <w:pPr>
        <w:adjustRightInd w:val="0"/>
        <w:snapToGrid w:val="0"/>
        <w:spacing w:line="360" w:lineRule="auto"/>
        <w:jc w:val="center"/>
        <w:outlineLvl w:val="0"/>
        <w:rPr>
          <w:rFonts w:ascii="方正小标宋简体" w:eastAsia="方正小标宋简体" w:hAnsi="方正小标宋简体" w:cs="方正小标宋简体"/>
          <w:b/>
          <w:bCs/>
          <w:color w:val="000000"/>
          <w:sz w:val="72"/>
          <w:szCs w:val="72"/>
        </w:rPr>
      </w:pPr>
      <w:bookmarkStart w:id="22" w:name="_Toc7356"/>
      <w:r>
        <w:rPr>
          <w:rFonts w:ascii="方正小标宋简体" w:eastAsia="方正小标宋简体" w:hAnsi="方正小标宋简体" w:cs="方正小标宋简体" w:hint="eastAsia"/>
          <w:b/>
          <w:bCs/>
          <w:color w:val="000000"/>
          <w:sz w:val="72"/>
          <w:szCs w:val="72"/>
        </w:rPr>
        <w:t>办公厅幼儿园单位决算</w:t>
      </w:r>
      <w:bookmarkEnd w:id="11"/>
      <w:bookmarkEnd w:id="12"/>
      <w:bookmarkEnd w:id="13"/>
      <w:bookmarkEnd w:id="14"/>
      <w:bookmarkEnd w:id="15"/>
      <w:bookmarkEnd w:id="16"/>
      <w:bookmarkEnd w:id="17"/>
      <w:bookmarkEnd w:id="18"/>
      <w:bookmarkEnd w:id="19"/>
      <w:bookmarkEnd w:id="20"/>
      <w:bookmarkEnd w:id="21"/>
      <w:bookmarkEnd w:id="22"/>
    </w:p>
    <w:p w:rsidR="00327246" w:rsidRDefault="00327246">
      <w:pPr>
        <w:widowControl/>
        <w:adjustRightInd w:val="0"/>
        <w:snapToGrid w:val="0"/>
        <w:spacing w:line="360" w:lineRule="auto"/>
        <w:jc w:val="center"/>
        <w:rPr>
          <w:rFonts w:eastAsia="黑体"/>
          <w:b/>
          <w:bCs/>
          <w:color w:val="000000"/>
          <w:sz w:val="48"/>
          <w:szCs w:val="48"/>
        </w:rPr>
        <w:sectPr w:rsidR="00327246">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titlePg/>
          <w:docGrid w:type="lines" w:linePitch="312"/>
        </w:sectPr>
      </w:pPr>
    </w:p>
    <w:p w:rsidR="00327246" w:rsidRDefault="00D33664">
      <w:pPr>
        <w:widowControl/>
        <w:adjustRightInd w:val="0"/>
        <w:snapToGrid w:val="0"/>
        <w:spacing w:line="360" w:lineRule="auto"/>
        <w:jc w:val="center"/>
        <w:rPr>
          <w:rFonts w:eastAsia="黑体"/>
          <w:b/>
          <w:bCs/>
          <w:color w:val="000000"/>
          <w:sz w:val="48"/>
          <w:szCs w:val="48"/>
        </w:rPr>
      </w:pPr>
      <w:r>
        <w:rPr>
          <w:rFonts w:eastAsia="黑体"/>
          <w:b/>
          <w:bCs/>
          <w:color w:val="000000"/>
          <w:sz w:val="48"/>
          <w:szCs w:val="48"/>
        </w:rPr>
        <w:lastRenderedPageBreak/>
        <w:t>目录</w:t>
      </w:r>
    </w:p>
    <w:p w:rsidR="00327246" w:rsidRDefault="00D33664">
      <w:pPr>
        <w:pStyle w:val="10"/>
        <w:widowControl/>
        <w:tabs>
          <w:tab w:val="clear" w:pos="8296"/>
          <w:tab w:val="right" w:leader="dot" w:pos="8306"/>
        </w:tabs>
        <w:adjustRightInd w:val="0"/>
        <w:snapToGrid w:val="0"/>
        <w:spacing w:line="360" w:lineRule="auto"/>
      </w:pPr>
      <w:r>
        <w:rPr>
          <w:rFonts w:ascii="黑体" w:eastAsia="黑体" w:hAnsi="黑体" w:cs="黑体" w:hint="eastAsia"/>
          <w:b/>
          <w:bCs/>
        </w:rPr>
        <w:t>公开时间：2021年9月10日</w:t>
      </w:r>
      <w:bookmarkStart w:id="23" w:name="_Toc15377196"/>
      <w:r w:rsidR="00303933">
        <w:rPr>
          <w:rFonts w:ascii="黑体" w:eastAsia="黑体" w:hAnsi="黑体" w:cs="黑体" w:hint="eastAsia"/>
          <w:b/>
          <w:bCs/>
        </w:rPr>
        <w:fldChar w:fldCharType="begin"/>
      </w:r>
      <w:r>
        <w:rPr>
          <w:rFonts w:ascii="黑体" w:eastAsia="黑体" w:hAnsi="黑体" w:cs="黑体" w:hint="eastAsia"/>
          <w:b/>
          <w:bCs/>
        </w:rPr>
        <w:instrText xml:space="preserve"> TOC \o "1-2" \h \z \u </w:instrText>
      </w:r>
      <w:r w:rsidR="00303933">
        <w:rPr>
          <w:rFonts w:ascii="黑体" w:eastAsia="黑体" w:hAnsi="黑体" w:cs="黑体" w:hint="eastAsia"/>
          <w:b/>
          <w:bCs/>
        </w:rPr>
        <w:fldChar w:fldCharType="separate"/>
      </w:r>
    </w:p>
    <w:p w:rsidR="00327246" w:rsidRDefault="00303933">
      <w:pPr>
        <w:pStyle w:val="10"/>
        <w:tabs>
          <w:tab w:val="clear" w:pos="8296"/>
          <w:tab w:val="right" w:leader="dot" w:pos="8306"/>
        </w:tabs>
      </w:pPr>
      <w:hyperlink w:anchor="_Toc15917" w:history="1">
        <w:r w:rsidR="00D33664">
          <w:rPr>
            <w:rFonts w:eastAsia="黑体"/>
          </w:rPr>
          <w:t>第一部分</w:t>
        </w:r>
        <w:r w:rsidR="00D33664">
          <w:rPr>
            <w:rFonts w:eastAsia="黑体"/>
          </w:rPr>
          <w:t xml:space="preserve"> </w:t>
        </w:r>
        <w:r w:rsidR="00D33664">
          <w:rPr>
            <w:rFonts w:eastAsia="黑体" w:hint="eastAsia"/>
          </w:rPr>
          <w:t>单位</w:t>
        </w:r>
        <w:r w:rsidR="00D33664">
          <w:rPr>
            <w:rFonts w:eastAsia="黑体"/>
            <w:bCs/>
          </w:rPr>
          <w:t>概况</w:t>
        </w:r>
        <w:r w:rsidR="00D33664">
          <w:tab/>
        </w:r>
        <w:r>
          <w:fldChar w:fldCharType="begin"/>
        </w:r>
        <w:r w:rsidR="00D33664">
          <w:instrText xml:space="preserve"> PAGEREF _Toc15917 \h </w:instrText>
        </w:r>
        <w:r>
          <w:fldChar w:fldCharType="separate"/>
        </w:r>
        <w:r w:rsidR="0035681E">
          <w:rPr>
            <w:noProof/>
          </w:rPr>
          <w:t>1</w:t>
        </w:r>
        <w:r>
          <w:fldChar w:fldCharType="end"/>
        </w:r>
      </w:hyperlink>
    </w:p>
    <w:p w:rsidR="00327246" w:rsidRDefault="00303933">
      <w:pPr>
        <w:pStyle w:val="20"/>
        <w:tabs>
          <w:tab w:val="clear" w:pos="8296"/>
          <w:tab w:val="right" w:leader="dot" w:pos="8306"/>
        </w:tabs>
      </w:pPr>
      <w:hyperlink w:anchor="_Toc24730" w:history="1">
        <w:r w:rsidR="00D33664">
          <w:rPr>
            <w:rFonts w:eastAsia="黑体"/>
          </w:rPr>
          <w:t>一、</w:t>
        </w:r>
        <w:r w:rsidR="00D33664">
          <w:rPr>
            <w:rFonts w:eastAsia="黑体"/>
            <w:bCs/>
          </w:rPr>
          <w:t>职能</w:t>
        </w:r>
        <w:r w:rsidR="00D33664">
          <w:rPr>
            <w:rFonts w:eastAsia="黑体" w:hint="eastAsia"/>
            <w:bCs/>
          </w:rPr>
          <w:t>简介</w:t>
        </w:r>
        <w:r w:rsidR="00D33664">
          <w:tab/>
        </w:r>
        <w:r>
          <w:fldChar w:fldCharType="begin"/>
        </w:r>
        <w:r w:rsidR="00D33664">
          <w:instrText xml:space="preserve"> PAGEREF _Toc24730 \h </w:instrText>
        </w:r>
        <w:r>
          <w:fldChar w:fldCharType="separate"/>
        </w:r>
        <w:r w:rsidR="0035681E">
          <w:rPr>
            <w:noProof/>
          </w:rPr>
          <w:t>1</w:t>
        </w:r>
        <w:r>
          <w:fldChar w:fldCharType="end"/>
        </w:r>
      </w:hyperlink>
    </w:p>
    <w:p w:rsidR="00327246" w:rsidRDefault="00303933">
      <w:pPr>
        <w:pStyle w:val="20"/>
        <w:tabs>
          <w:tab w:val="clear" w:pos="8296"/>
          <w:tab w:val="right" w:leader="dot" w:pos="8306"/>
        </w:tabs>
      </w:pPr>
      <w:hyperlink w:anchor="_Toc27203" w:history="1">
        <w:r w:rsidR="00D33664">
          <w:rPr>
            <w:rFonts w:ascii="黑体" w:eastAsia="黑体" w:hAnsi="黑体" w:cs="黑体" w:hint="eastAsia"/>
          </w:rPr>
          <w:t>二、2020年重点工作完成情况</w:t>
        </w:r>
        <w:r w:rsidR="00D33664">
          <w:tab/>
        </w:r>
        <w:r>
          <w:fldChar w:fldCharType="begin"/>
        </w:r>
        <w:r w:rsidR="00D33664">
          <w:instrText xml:space="preserve"> PAGEREF _Toc27203 \h </w:instrText>
        </w:r>
        <w:r>
          <w:fldChar w:fldCharType="separate"/>
        </w:r>
        <w:r w:rsidR="0035681E">
          <w:rPr>
            <w:noProof/>
          </w:rPr>
          <w:t>1</w:t>
        </w:r>
        <w:r>
          <w:fldChar w:fldCharType="end"/>
        </w:r>
      </w:hyperlink>
    </w:p>
    <w:p w:rsidR="00020D06" w:rsidRDefault="00303933" w:rsidP="00020D06">
      <w:pPr>
        <w:pStyle w:val="20"/>
        <w:tabs>
          <w:tab w:val="clear" w:pos="8296"/>
          <w:tab w:val="right" w:leader="dot" w:pos="8306"/>
        </w:tabs>
      </w:pPr>
      <w:hyperlink w:anchor="_Toc15336" w:history="1">
        <w:r w:rsidR="00020D06">
          <w:rPr>
            <w:rFonts w:ascii="黑体" w:eastAsia="黑体" w:hAnsi="黑体" w:cs="黑体" w:hint="eastAsia"/>
          </w:rPr>
          <w:t>三、机构设置情况</w:t>
        </w:r>
        <w:r w:rsidR="00020D06">
          <w:tab/>
        </w:r>
        <w:r>
          <w:fldChar w:fldCharType="begin"/>
        </w:r>
        <w:r w:rsidR="00020D06">
          <w:instrText xml:space="preserve"> PAGEREF _Toc15336 \h </w:instrText>
        </w:r>
        <w:r>
          <w:fldChar w:fldCharType="separate"/>
        </w:r>
        <w:r w:rsidR="00020D06">
          <w:t>1</w:t>
        </w:r>
        <w:r>
          <w:fldChar w:fldCharType="end"/>
        </w:r>
      </w:hyperlink>
    </w:p>
    <w:p w:rsidR="00327246" w:rsidRDefault="00303933">
      <w:pPr>
        <w:pStyle w:val="10"/>
        <w:tabs>
          <w:tab w:val="clear" w:pos="8296"/>
          <w:tab w:val="right" w:leader="dot" w:pos="8306"/>
        </w:tabs>
      </w:pPr>
      <w:hyperlink w:anchor="_Toc10980" w:history="1">
        <w:r w:rsidR="00D33664">
          <w:rPr>
            <w:rFonts w:eastAsia="黑体"/>
          </w:rPr>
          <w:t>第二部分</w:t>
        </w:r>
        <w:r w:rsidR="00D33664">
          <w:rPr>
            <w:rFonts w:eastAsia="黑体"/>
          </w:rPr>
          <w:t xml:space="preserve"> </w:t>
        </w:r>
        <w:r w:rsidR="00D33664">
          <w:rPr>
            <w:rFonts w:ascii="黑体" w:eastAsia="黑体" w:hAnsi="黑体" w:cs="黑体" w:hint="eastAsia"/>
            <w:bCs/>
          </w:rPr>
          <w:t>2020</w:t>
        </w:r>
        <w:r w:rsidR="00D33664">
          <w:rPr>
            <w:rFonts w:eastAsia="黑体"/>
            <w:bCs/>
          </w:rPr>
          <w:t>年度</w:t>
        </w:r>
        <w:r w:rsidR="00D33664">
          <w:rPr>
            <w:rFonts w:eastAsia="黑体" w:hint="eastAsia"/>
            <w:bCs/>
          </w:rPr>
          <w:t>单位</w:t>
        </w:r>
        <w:r w:rsidR="00D33664">
          <w:rPr>
            <w:rFonts w:eastAsia="黑体"/>
            <w:bCs/>
          </w:rPr>
          <w:t>决算情况说明</w:t>
        </w:r>
        <w:r w:rsidR="00D33664">
          <w:tab/>
        </w:r>
        <w:r>
          <w:fldChar w:fldCharType="begin"/>
        </w:r>
        <w:r w:rsidR="00D33664">
          <w:instrText xml:space="preserve"> PAGEREF _Toc10980 \h </w:instrText>
        </w:r>
        <w:r>
          <w:fldChar w:fldCharType="separate"/>
        </w:r>
        <w:r w:rsidR="0035681E">
          <w:rPr>
            <w:noProof/>
          </w:rPr>
          <w:t>2</w:t>
        </w:r>
        <w:r>
          <w:fldChar w:fldCharType="end"/>
        </w:r>
      </w:hyperlink>
    </w:p>
    <w:p w:rsidR="00327246" w:rsidRDefault="00303933">
      <w:pPr>
        <w:pStyle w:val="20"/>
        <w:tabs>
          <w:tab w:val="clear" w:pos="8296"/>
          <w:tab w:val="right" w:leader="dot" w:pos="8306"/>
        </w:tabs>
      </w:pPr>
      <w:hyperlink w:anchor="_Toc32478" w:history="1">
        <w:r w:rsidR="00D33664">
          <w:rPr>
            <w:rFonts w:eastAsia="黑体"/>
          </w:rPr>
          <w:t>一、</w:t>
        </w:r>
        <w:r w:rsidR="00D33664">
          <w:rPr>
            <w:rFonts w:eastAsia="黑体"/>
            <w:bCs/>
            <w:szCs w:val="32"/>
          </w:rPr>
          <w:t>收</w:t>
        </w:r>
        <w:r w:rsidR="00D33664">
          <w:rPr>
            <w:rFonts w:eastAsia="黑体"/>
          </w:rPr>
          <w:t>入支出决算总体情况说明</w:t>
        </w:r>
        <w:r w:rsidR="00D33664">
          <w:tab/>
        </w:r>
        <w:r>
          <w:fldChar w:fldCharType="begin"/>
        </w:r>
        <w:r w:rsidR="00D33664">
          <w:instrText xml:space="preserve"> PAGEREF _Toc32478 \h </w:instrText>
        </w:r>
        <w:r>
          <w:fldChar w:fldCharType="separate"/>
        </w:r>
        <w:r w:rsidR="0035681E">
          <w:rPr>
            <w:noProof/>
          </w:rPr>
          <w:t>2</w:t>
        </w:r>
        <w:r>
          <w:fldChar w:fldCharType="end"/>
        </w:r>
      </w:hyperlink>
    </w:p>
    <w:p w:rsidR="00327246" w:rsidRDefault="00303933">
      <w:pPr>
        <w:pStyle w:val="20"/>
        <w:tabs>
          <w:tab w:val="clear" w:pos="8296"/>
          <w:tab w:val="right" w:leader="dot" w:pos="8306"/>
        </w:tabs>
      </w:pPr>
      <w:hyperlink w:anchor="_Toc30029" w:history="1">
        <w:r w:rsidR="00D33664">
          <w:rPr>
            <w:rFonts w:eastAsia="黑体"/>
          </w:rPr>
          <w:t>二、</w:t>
        </w:r>
        <w:r w:rsidR="00D33664">
          <w:rPr>
            <w:rFonts w:eastAsia="黑体"/>
            <w:bCs/>
            <w:szCs w:val="32"/>
          </w:rPr>
          <w:t>收</w:t>
        </w:r>
        <w:r w:rsidR="00D33664">
          <w:rPr>
            <w:rFonts w:eastAsia="黑体"/>
          </w:rPr>
          <w:t>入决算情况说明</w:t>
        </w:r>
        <w:r w:rsidR="00D33664">
          <w:tab/>
        </w:r>
        <w:r>
          <w:fldChar w:fldCharType="begin"/>
        </w:r>
        <w:r w:rsidR="00D33664">
          <w:instrText xml:space="preserve"> PAGEREF _Toc30029 \h </w:instrText>
        </w:r>
        <w:r>
          <w:fldChar w:fldCharType="separate"/>
        </w:r>
        <w:r w:rsidR="0035681E">
          <w:rPr>
            <w:noProof/>
          </w:rPr>
          <w:t>2</w:t>
        </w:r>
        <w:r>
          <w:fldChar w:fldCharType="end"/>
        </w:r>
      </w:hyperlink>
    </w:p>
    <w:p w:rsidR="00327246" w:rsidRDefault="00303933">
      <w:pPr>
        <w:pStyle w:val="20"/>
        <w:tabs>
          <w:tab w:val="clear" w:pos="8296"/>
          <w:tab w:val="right" w:leader="dot" w:pos="8306"/>
        </w:tabs>
      </w:pPr>
      <w:hyperlink w:anchor="_Toc24350" w:history="1">
        <w:r w:rsidR="00D33664">
          <w:rPr>
            <w:rFonts w:eastAsia="黑体"/>
          </w:rPr>
          <w:t>三、</w:t>
        </w:r>
        <w:r w:rsidR="00D33664">
          <w:rPr>
            <w:rFonts w:eastAsia="黑体"/>
            <w:bCs/>
            <w:szCs w:val="32"/>
          </w:rPr>
          <w:t>支</w:t>
        </w:r>
        <w:r w:rsidR="00D33664">
          <w:rPr>
            <w:rFonts w:eastAsia="黑体"/>
          </w:rPr>
          <w:t>出决算情况说明</w:t>
        </w:r>
        <w:r w:rsidR="00D33664">
          <w:tab/>
        </w:r>
        <w:r>
          <w:fldChar w:fldCharType="begin"/>
        </w:r>
        <w:r w:rsidR="00D33664">
          <w:instrText xml:space="preserve"> PAGEREF _Toc24350 \h </w:instrText>
        </w:r>
        <w:r>
          <w:fldChar w:fldCharType="separate"/>
        </w:r>
        <w:r w:rsidR="0035681E">
          <w:rPr>
            <w:noProof/>
          </w:rPr>
          <w:t>3</w:t>
        </w:r>
        <w:r>
          <w:fldChar w:fldCharType="end"/>
        </w:r>
      </w:hyperlink>
    </w:p>
    <w:p w:rsidR="00327246" w:rsidRDefault="00303933">
      <w:pPr>
        <w:pStyle w:val="20"/>
        <w:tabs>
          <w:tab w:val="clear" w:pos="8296"/>
          <w:tab w:val="right" w:leader="dot" w:pos="8306"/>
        </w:tabs>
      </w:pPr>
      <w:hyperlink w:anchor="_Toc3521" w:history="1">
        <w:r w:rsidR="00D33664">
          <w:rPr>
            <w:rFonts w:eastAsia="黑体"/>
            <w:bCs/>
            <w:szCs w:val="32"/>
          </w:rPr>
          <w:t>四、财</w:t>
        </w:r>
        <w:r w:rsidR="00D33664">
          <w:rPr>
            <w:rFonts w:eastAsia="黑体"/>
          </w:rPr>
          <w:t>政拨款收入支出决算总体情况说明</w:t>
        </w:r>
        <w:r w:rsidR="00D33664">
          <w:tab/>
        </w:r>
        <w:r>
          <w:fldChar w:fldCharType="begin"/>
        </w:r>
        <w:r w:rsidR="00D33664">
          <w:instrText xml:space="preserve"> PAGEREF _Toc3521 \h </w:instrText>
        </w:r>
        <w:r>
          <w:fldChar w:fldCharType="separate"/>
        </w:r>
        <w:r w:rsidR="0035681E">
          <w:rPr>
            <w:noProof/>
          </w:rPr>
          <w:t>4</w:t>
        </w:r>
        <w:r>
          <w:fldChar w:fldCharType="end"/>
        </w:r>
      </w:hyperlink>
    </w:p>
    <w:p w:rsidR="00327246" w:rsidRDefault="00303933">
      <w:pPr>
        <w:pStyle w:val="20"/>
        <w:tabs>
          <w:tab w:val="clear" w:pos="8296"/>
          <w:tab w:val="right" w:leader="dot" w:pos="8306"/>
        </w:tabs>
      </w:pPr>
      <w:hyperlink w:anchor="_Toc838" w:history="1">
        <w:r w:rsidR="00D33664">
          <w:rPr>
            <w:rFonts w:eastAsia="黑体"/>
            <w:bCs/>
            <w:szCs w:val="32"/>
          </w:rPr>
          <w:t>五、一</w:t>
        </w:r>
        <w:r w:rsidR="00D33664">
          <w:rPr>
            <w:rFonts w:eastAsia="黑体"/>
          </w:rPr>
          <w:t>般公共预算财政拨款支出决算情况说明</w:t>
        </w:r>
        <w:r w:rsidR="00D33664">
          <w:tab/>
        </w:r>
        <w:r>
          <w:fldChar w:fldCharType="begin"/>
        </w:r>
        <w:r w:rsidR="00D33664">
          <w:instrText xml:space="preserve"> PAGEREF _Toc838 \h </w:instrText>
        </w:r>
        <w:r>
          <w:fldChar w:fldCharType="separate"/>
        </w:r>
        <w:r w:rsidR="0035681E">
          <w:rPr>
            <w:noProof/>
          </w:rPr>
          <w:t>4</w:t>
        </w:r>
        <w:r>
          <w:fldChar w:fldCharType="end"/>
        </w:r>
      </w:hyperlink>
    </w:p>
    <w:p w:rsidR="00327246" w:rsidRDefault="00303933">
      <w:pPr>
        <w:pStyle w:val="20"/>
        <w:tabs>
          <w:tab w:val="clear" w:pos="8296"/>
          <w:tab w:val="right" w:leader="dot" w:pos="8306"/>
        </w:tabs>
      </w:pPr>
      <w:hyperlink w:anchor="_Toc3417" w:history="1">
        <w:r w:rsidR="00D33664">
          <w:rPr>
            <w:rFonts w:eastAsia="黑体"/>
            <w:bCs/>
            <w:szCs w:val="32"/>
          </w:rPr>
          <w:t>六、一</w:t>
        </w:r>
        <w:r w:rsidR="00D33664">
          <w:rPr>
            <w:rFonts w:eastAsia="黑体"/>
          </w:rPr>
          <w:t>般公共预算财政拨款基本支出决算情况说明</w:t>
        </w:r>
        <w:r w:rsidR="00D33664">
          <w:tab/>
        </w:r>
        <w:r>
          <w:fldChar w:fldCharType="begin"/>
        </w:r>
        <w:r w:rsidR="00D33664">
          <w:instrText xml:space="preserve"> PAGEREF _Toc3417 \h </w:instrText>
        </w:r>
        <w:r>
          <w:fldChar w:fldCharType="separate"/>
        </w:r>
        <w:r w:rsidR="0035681E">
          <w:rPr>
            <w:noProof/>
          </w:rPr>
          <w:t>7</w:t>
        </w:r>
        <w:r>
          <w:fldChar w:fldCharType="end"/>
        </w:r>
      </w:hyperlink>
    </w:p>
    <w:p w:rsidR="00327246" w:rsidRDefault="00303933">
      <w:pPr>
        <w:pStyle w:val="20"/>
        <w:tabs>
          <w:tab w:val="clear" w:pos="8296"/>
          <w:tab w:val="right" w:leader="dot" w:pos="8306"/>
        </w:tabs>
      </w:pPr>
      <w:hyperlink w:anchor="_Toc8807" w:history="1">
        <w:r w:rsidR="00D33664">
          <w:rPr>
            <w:rFonts w:eastAsia="黑体"/>
            <w:bCs/>
            <w:szCs w:val="32"/>
          </w:rPr>
          <w:t>七、</w:t>
        </w:r>
        <w:r w:rsidR="00D33664">
          <w:rPr>
            <w:rFonts w:eastAsia="黑体"/>
          </w:rPr>
          <w:t>“</w:t>
        </w:r>
        <w:r w:rsidR="00D33664">
          <w:rPr>
            <w:rFonts w:eastAsia="黑体"/>
          </w:rPr>
          <w:t>三公</w:t>
        </w:r>
        <w:r w:rsidR="00D33664">
          <w:rPr>
            <w:rFonts w:eastAsia="黑体"/>
          </w:rPr>
          <w:t>”</w:t>
        </w:r>
        <w:r w:rsidR="00D33664">
          <w:rPr>
            <w:rFonts w:eastAsia="黑体"/>
          </w:rPr>
          <w:t>经费财政拨款支出决算情况说明</w:t>
        </w:r>
        <w:r w:rsidR="00D33664">
          <w:tab/>
        </w:r>
        <w:r>
          <w:fldChar w:fldCharType="begin"/>
        </w:r>
        <w:r w:rsidR="00D33664">
          <w:instrText xml:space="preserve"> PAGEREF _Toc8807 \h </w:instrText>
        </w:r>
        <w:r>
          <w:fldChar w:fldCharType="separate"/>
        </w:r>
        <w:r w:rsidR="0035681E">
          <w:rPr>
            <w:noProof/>
          </w:rPr>
          <w:t>8</w:t>
        </w:r>
        <w:r>
          <w:fldChar w:fldCharType="end"/>
        </w:r>
      </w:hyperlink>
    </w:p>
    <w:p w:rsidR="00327246" w:rsidRDefault="00303933">
      <w:pPr>
        <w:pStyle w:val="20"/>
        <w:tabs>
          <w:tab w:val="clear" w:pos="8296"/>
          <w:tab w:val="right" w:leader="dot" w:pos="8306"/>
        </w:tabs>
      </w:pPr>
      <w:hyperlink w:anchor="_Toc12249" w:history="1">
        <w:r w:rsidR="00D33664">
          <w:rPr>
            <w:rFonts w:eastAsia="黑体"/>
            <w:bCs/>
            <w:szCs w:val="32"/>
          </w:rPr>
          <w:t>八、</w:t>
        </w:r>
        <w:r w:rsidR="00D33664">
          <w:rPr>
            <w:rFonts w:eastAsia="黑体"/>
          </w:rPr>
          <w:t>政府性基金预算支出决算情况说明</w:t>
        </w:r>
        <w:r w:rsidR="00D33664">
          <w:tab/>
        </w:r>
        <w:r>
          <w:fldChar w:fldCharType="begin"/>
        </w:r>
        <w:r w:rsidR="00D33664">
          <w:instrText xml:space="preserve"> PAGEREF _Toc12249 \h </w:instrText>
        </w:r>
        <w:r>
          <w:fldChar w:fldCharType="separate"/>
        </w:r>
        <w:r w:rsidR="0035681E">
          <w:rPr>
            <w:noProof/>
          </w:rPr>
          <w:t>8</w:t>
        </w:r>
        <w:r>
          <w:fldChar w:fldCharType="end"/>
        </w:r>
      </w:hyperlink>
    </w:p>
    <w:p w:rsidR="00327246" w:rsidRDefault="00303933">
      <w:pPr>
        <w:pStyle w:val="20"/>
        <w:tabs>
          <w:tab w:val="clear" w:pos="8296"/>
          <w:tab w:val="right" w:leader="dot" w:pos="8306"/>
        </w:tabs>
      </w:pPr>
      <w:hyperlink w:anchor="_Toc11872" w:history="1">
        <w:r w:rsidR="00D33664">
          <w:rPr>
            <w:rFonts w:eastAsia="黑体" w:hint="eastAsia"/>
          </w:rPr>
          <w:t>九、</w:t>
        </w:r>
        <w:r w:rsidR="00D33664">
          <w:rPr>
            <w:rFonts w:eastAsia="黑体"/>
          </w:rPr>
          <w:t>国有资本经营预算支出决算情况说明</w:t>
        </w:r>
        <w:r w:rsidR="00D33664">
          <w:tab/>
        </w:r>
        <w:r>
          <w:fldChar w:fldCharType="begin"/>
        </w:r>
        <w:r w:rsidR="00D33664">
          <w:instrText xml:space="preserve"> PAGEREF _Toc11872 \h </w:instrText>
        </w:r>
        <w:r>
          <w:fldChar w:fldCharType="separate"/>
        </w:r>
        <w:r w:rsidR="0035681E">
          <w:rPr>
            <w:noProof/>
          </w:rPr>
          <w:t>8</w:t>
        </w:r>
        <w:r>
          <w:fldChar w:fldCharType="end"/>
        </w:r>
      </w:hyperlink>
    </w:p>
    <w:p w:rsidR="00327246" w:rsidRDefault="00303933">
      <w:pPr>
        <w:pStyle w:val="20"/>
        <w:tabs>
          <w:tab w:val="clear" w:pos="8296"/>
          <w:tab w:val="right" w:leader="dot" w:pos="8306"/>
        </w:tabs>
      </w:pPr>
      <w:hyperlink w:anchor="_Toc22562" w:history="1">
        <w:r w:rsidR="00D33664">
          <w:rPr>
            <w:rFonts w:eastAsia="黑体"/>
          </w:rPr>
          <w:t>十、</w:t>
        </w:r>
        <w:r w:rsidR="00D33664">
          <w:rPr>
            <w:rFonts w:ascii="黑体" w:eastAsia="黑体" w:hAnsi="黑体" w:hint="eastAsia"/>
          </w:rPr>
          <w:t>其他重要事项的情况</w:t>
        </w:r>
        <w:r w:rsidR="00D33664">
          <w:rPr>
            <w:rFonts w:eastAsia="黑体"/>
          </w:rPr>
          <w:t>说明</w:t>
        </w:r>
        <w:r w:rsidR="00D33664">
          <w:tab/>
        </w:r>
        <w:r>
          <w:fldChar w:fldCharType="begin"/>
        </w:r>
        <w:r w:rsidR="00D33664">
          <w:instrText xml:space="preserve"> PAGEREF _Toc22562 \h </w:instrText>
        </w:r>
        <w:r>
          <w:fldChar w:fldCharType="separate"/>
        </w:r>
        <w:r w:rsidR="0035681E">
          <w:rPr>
            <w:noProof/>
          </w:rPr>
          <w:t>8</w:t>
        </w:r>
        <w:r>
          <w:fldChar w:fldCharType="end"/>
        </w:r>
      </w:hyperlink>
    </w:p>
    <w:p w:rsidR="00327246" w:rsidRDefault="00303933">
      <w:pPr>
        <w:pStyle w:val="10"/>
        <w:tabs>
          <w:tab w:val="clear" w:pos="8296"/>
          <w:tab w:val="right" w:leader="dot" w:pos="8306"/>
        </w:tabs>
      </w:pPr>
      <w:hyperlink w:anchor="_Toc23816" w:history="1">
        <w:r w:rsidR="00D33664">
          <w:rPr>
            <w:rFonts w:ascii="黑体" w:eastAsia="黑体" w:hAnsi="黑体" w:cs="黑体" w:hint="eastAsia"/>
            <w:bCs/>
            <w:szCs w:val="44"/>
          </w:rPr>
          <w:t>第三部分 名</w:t>
        </w:r>
        <w:r w:rsidR="00D33664">
          <w:rPr>
            <w:rFonts w:ascii="黑体" w:eastAsia="黑体" w:hAnsi="黑体" w:cs="黑体" w:hint="eastAsia"/>
          </w:rPr>
          <w:t>词解释</w:t>
        </w:r>
        <w:r w:rsidR="00D33664">
          <w:tab/>
        </w:r>
        <w:r>
          <w:fldChar w:fldCharType="begin"/>
        </w:r>
        <w:r w:rsidR="00D33664">
          <w:instrText xml:space="preserve"> PAGEREF _Toc23816 \h </w:instrText>
        </w:r>
        <w:r>
          <w:fldChar w:fldCharType="separate"/>
        </w:r>
        <w:r w:rsidR="0035681E">
          <w:rPr>
            <w:noProof/>
          </w:rPr>
          <w:t>10</w:t>
        </w:r>
        <w:r>
          <w:fldChar w:fldCharType="end"/>
        </w:r>
      </w:hyperlink>
    </w:p>
    <w:p w:rsidR="00327246" w:rsidRDefault="00303933">
      <w:pPr>
        <w:pStyle w:val="10"/>
        <w:tabs>
          <w:tab w:val="clear" w:pos="8296"/>
          <w:tab w:val="right" w:leader="dot" w:pos="8306"/>
        </w:tabs>
      </w:pPr>
      <w:hyperlink w:anchor="_Toc12612" w:history="1">
        <w:r w:rsidR="00D33664">
          <w:rPr>
            <w:rFonts w:eastAsia="黑体" w:hint="eastAsia"/>
          </w:rPr>
          <w:t>第四部分</w:t>
        </w:r>
        <w:r w:rsidR="00D33664">
          <w:rPr>
            <w:rFonts w:eastAsia="黑体" w:hint="eastAsia"/>
          </w:rPr>
          <w:t xml:space="preserve"> </w:t>
        </w:r>
        <w:r w:rsidR="00D33664">
          <w:rPr>
            <w:rFonts w:eastAsia="黑体" w:hint="eastAsia"/>
          </w:rPr>
          <w:t>附件</w:t>
        </w:r>
        <w:r w:rsidR="00D33664">
          <w:tab/>
        </w:r>
        <w:r>
          <w:fldChar w:fldCharType="begin"/>
        </w:r>
        <w:r w:rsidR="00D33664">
          <w:instrText xml:space="preserve"> PAGEREF _Toc12612 \h </w:instrText>
        </w:r>
        <w:r>
          <w:fldChar w:fldCharType="separate"/>
        </w:r>
        <w:r w:rsidR="0035681E">
          <w:rPr>
            <w:noProof/>
          </w:rPr>
          <w:t>12</w:t>
        </w:r>
        <w:r>
          <w:fldChar w:fldCharType="end"/>
        </w:r>
      </w:hyperlink>
    </w:p>
    <w:p w:rsidR="00327246" w:rsidRDefault="00303933">
      <w:pPr>
        <w:pStyle w:val="10"/>
        <w:tabs>
          <w:tab w:val="clear" w:pos="8296"/>
          <w:tab w:val="right" w:leader="dot" w:pos="8306"/>
        </w:tabs>
      </w:pPr>
      <w:hyperlink w:anchor="_Toc3960" w:history="1">
        <w:r w:rsidR="00D33664">
          <w:rPr>
            <w:rFonts w:eastAsia="黑体"/>
            <w:bCs/>
            <w:szCs w:val="44"/>
          </w:rPr>
          <w:t>第</w:t>
        </w:r>
        <w:r w:rsidR="00D33664">
          <w:rPr>
            <w:rFonts w:eastAsia="黑体"/>
          </w:rPr>
          <w:t>五部分</w:t>
        </w:r>
        <w:r w:rsidR="00D33664">
          <w:rPr>
            <w:rFonts w:eastAsia="黑体"/>
          </w:rPr>
          <w:t xml:space="preserve"> </w:t>
        </w:r>
        <w:r w:rsidR="00D33664">
          <w:rPr>
            <w:rFonts w:eastAsia="黑体"/>
          </w:rPr>
          <w:t>附表</w:t>
        </w:r>
        <w:r w:rsidR="00D33664">
          <w:tab/>
        </w:r>
        <w:r>
          <w:fldChar w:fldCharType="begin"/>
        </w:r>
        <w:r w:rsidR="00D33664">
          <w:instrText xml:space="preserve"> PAGEREF _Toc3960 \h </w:instrText>
        </w:r>
        <w:r>
          <w:fldChar w:fldCharType="separate"/>
        </w:r>
        <w:r w:rsidR="0035681E">
          <w:rPr>
            <w:noProof/>
          </w:rPr>
          <w:t>13</w:t>
        </w:r>
        <w:r>
          <w:fldChar w:fldCharType="end"/>
        </w:r>
      </w:hyperlink>
    </w:p>
    <w:p w:rsidR="00327246" w:rsidRDefault="00303933">
      <w:pPr>
        <w:pStyle w:val="20"/>
        <w:tabs>
          <w:tab w:val="clear" w:pos="8296"/>
          <w:tab w:val="right" w:leader="dot" w:pos="8306"/>
        </w:tabs>
        <w:rPr>
          <w:rFonts w:ascii="黑体" w:eastAsia="黑体" w:hAnsi="黑体" w:cs="黑体"/>
        </w:rPr>
      </w:pPr>
      <w:hyperlink w:anchor="_Toc6419" w:history="1">
        <w:r w:rsidR="00D33664">
          <w:rPr>
            <w:rFonts w:ascii="黑体" w:eastAsia="黑体" w:hAnsi="黑体" w:cs="黑体" w:hint="eastAsia"/>
          </w:rPr>
          <w:t>一、收</w:t>
        </w:r>
        <w:r w:rsidR="00D33664">
          <w:rPr>
            <w:rFonts w:ascii="黑体" w:eastAsia="黑体" w:hAnsi="黑体" w:cs="黑体" w:hint="eastAsia"/>
            <w:bCs/>
          </w:rPr>
          <w:t>入支出决算总表</w:t>
        </w:r>
        <w:r w:rsidR="00D33664">
          <w:rPr>
            <w:rFonts w:ascii="黑体" w:eastAsia="黑体" w:hAnsi="黑体" w:cs="黑体" w:hint="eastAsia"/>
          </w:rPr>
          <w:tab/>
        </w:r>
        <w:r>
          <w:rPr>
            <w:rFonts w:ascii="黑体" w:eastAsia="黑体" w:hAnsi="黑体" w:cs="黑体" w:hint="eastAsia"/>
          </w:rPr>
          <w:fldChar w:fldCharType="begin"/>
        </w:r>
        <w:r w:rsidR="00D33664">
          <w:rPr>
            <w:rFonts w:ascii="黑体" w:eastAsia="黑体" w:hAnsi="黑体" w:cs="黑体" w:hint="eastAsia"/>
          </w:rPr>
          <w:instrText xml:space="preserve"> PAGEREF _Toc6419 \h </w:instrText>
        </w:r>
        <w:r>
          <w:rPr>
            <w:rFonts w:ascii="黑体" w:eastAsia="黑体" w:hAnsi="黑体" w:cs="黑体" w:hint="eastAsia"/>
          </w:rPr>
        </w:r>
        <w:r>
          <w:rPr>
            <w:rFonts w:ascii="黑体" w:eastAsia="黑体" w:hAnsi="黑体" w:cs="黑体" w:hint="eastAsia"/>
          </w:rPr>
          <w:fldChar w:fldCharType="separate"/>
        </w:r>
        <w:r w:rsidR="0035681E">
          <w:rPr>
            <w:rFonts w:ascii="黑体" w:eastAsia="黑体" w:hAnsi="黑体" w:cs="黑体"/>
            <w:noProof/>
          </w:rPr>
          <w:t>1</w:t>
        </w:r>
        <w:r w:rsidR="00AF29B4">
          <w:rPr>
            <w:rFonts w:ascii="黑体" w:eastAsia="黑体" w:hAnsi="黑体" w:cs="黑体" w:hint="eastAsia"/>
            <w:noProof/>
          </w:rPr>
          <w:t>4</w:t>
        </w:r>
        <w:r>
          <w:rPr>
            <w:rFonts w:ascii="黑体" w:eastAsia="黑体" w:hAnsi="黑体" w:cs="黑体" w:hint="eastAsia"/>
          </w:rPr>
          <w:fldChar w:fldCharType="end"/>
        </w:r>
      </w:hyperlink>
    </w:p>
    <w:p w:rsidR="00327246" w:rsidRDefault="00303933">
      <w:pPr>
        <w:pStyle w:val="20"/>
        <w:tabs>
          <w:tab w:val="clear" w:pos="8296"/>
          <w:tab w:val="right" w:leader="dot" w:pos="8306"/>
        </w:tabs>
        <w:rPr>
          <w:rFonts w:ascii="黑体" w:eastAsia="黑体" w:hAnsi="黑体" w:cs="黑体"/>
        </w:rPr>
      </w:pPr>
      <w:hyperlink w:anchor="_Toc12493" w:history="1">
        <w:r w:rsidR="00D33664">
          <w:rPr>
            <w:rFonts w:ascii="黑体" w:eastAsia="黑体" w:hAnsi="黑体" w:cs="黑体" w:hint="eastAsia"/>
          </w:rPr>
          <w:t>二、收</w:t>
        </w:r>
        <w:r w:rsidR="00D33664">
          <w:rPr>
            <w:rFonts w:ascii="黑体" w:eastAsia="黑体" w:hAnsi="黑体" w:cs="黑体" w:hint="eastAsia"/>
            <w:bCs/>
          </w:rPr>
          <w:t>入决算表</w:t>
        </w:r>
        <w:r w:rsidR="00D33664">
          <w:rPr>
            <w:rFonts w:ascii="黑体" w:eastAsia="黑体" w:hAnsi="黑体" w:cs="黑体" w:hint="eastAsia"/>
          </w:rPr>
          <w:tab/>
        </w:r>
        <w:r>
          <w:rPr>
            <w:rFonts w:ascii="黑体" w:eastAsia="黑体" w:hAnsi="黑体" w:cs="黑体" w:hint="eastAsia"/>
          </w:rPr>
          <w:fldChar w:fldCharType="begin"/>
        </w:r>
        <w:r w:rsidR="00D33664">
          <w:rPr>
            <w:rFonts w:ascii="黑体" w:eastAsia="黑体" w:hAnsi="黑体" w:cs="黑体" w:hint="eastAsia"/>
          </w:rPr>
          <w:instrText xml:space="preserve"> PAGEREF _Toc12493 \h </w:instrText>
        </w:r>
        <w:r>
          <w:rPr>
            <w:rFonts w:ascii="黑体" w:eastAsia="黑体" w:hAnsi="黑体" w:cs="黑体" w:hint="eastAsia"/>
          </w:rPr>
        </w:r>
        <w:r>
          <w:rPr>
            <w:rFonts w:ascii="黑体" w:eastAsia="黑体" w:hAnsi="黑体" w:cs="黑体" w:hint="eastAsia"/>
          </w:rPr>
          <w:fldChar w:fldCharType="separate"/>
        </w:r>
        <w:r w:rsidR="0035681E">
          <w:rPr>
            <w:rFonts w:ascii="黑体" w:eastAsia="黑体" w:hAnsi="黑体" w:cs="黑体"/>
            <w:noProof/>
          </w:rPr>
          <w:t>1</w:t>
        </w:r>
        <w:r w:rsidR="00AF29B4">
          <w:rPr>
            <w:rFonts w:ascii="黑体" w:eastAsia="黑体" w:hAnsi="黑体" w:cs="黑体" w:hint="eastAsia"/>
            <w:noProof/>
          </w:rPr>
          <w:t>5</w:t>
        </w:r>
        <w:r>
          <w:rPr>
            <w:rFonts w:ascii="黑体" w:eastAsia="黑体" w:hAnsi="黑体" w:cs="黑体" w:hint="eastAsia"/>
          </w:rPr>
          <w:fldChar w:fldCharType="end"/>
        </w:r>
      </w:hyperlink>
    </w:p>
    <w:p w:rsidR="00327246" w:rsidRDefault="00303933">
      <w:pPr>
        <w:pStyle w:val="20"/>
        <w:tabs>
          <w:tab w:val="clear" w:pos="8296"/>
          <w:tab w:val="right" w:leader="dot" w:pos="8306"/>
        </w:tabs>
        <w:rPr>
          <w:rFonts w:ascii="黑体" w:eastAsia="黑体" w:hAnsi="黑体" w:cs="黑体"/>
        </w:rPr>
      </w:pPr>
      <w:hyperlink w:anchor="_Toc10347" w:history="1">
        <w:r w:rsidR="00D33664">
          <w:rPr>
            <w:rFonts w:ascii="黑体" w:eastAsia="黑体" w:hAnsi="黑体" w:cs="黑体" w:hint="eastAsia"/>
            <w:bCs/>
          </w:rPr>
          <w:t>三、</w:t>
        </w:r>
        <w:r w:rsidR="00D33664">
          <w:rPr>
            <w:rFonts w:ascii="黑体" w:eastAsia="黑体" w:hAnsi="黑体" w:cs="黑体" w:hint="eastAsia"/>
          </w:rPr>
          <w:t>支</w:t>
        </w:r>
        <w:r w:rsidR="00D33664">
          <w:rPr>
            <w:rFonts w:ascii="黑体" w:eastAsia="黑体" w:hAnsi="黑体" w:cs="黑体" w:hint="eastAsia"/>
            <w:bCs/>
          </w:rPr>
          <w:t>出决算表</w:t>
        </w:r>
        <w:r w:rsidR="00D33664">
          <w:rPr>
            <w:rFonts w:ascii="黑体" w:eastAsia="黑体" w:hAnsi="黑体" w:cs="黑体" w:hint="eastAsia"/>
          </w:rPr>
          <w:tab/>
        </w:r>
        <w:r>
          <w:rPr>
            <w:rFonts w:ascii="黑体" w:eastAsia="黑体" w:hAnsi="黑体" w:cs="黑体" w:hint="eastAsia"/>
          </w:rPr>
          <w:fldChar w:fldCharType="begin"/>
        </w:r>
        <w:r w:rsidR="00D33664">
          <w:rPr>
            <w:rFonts w:ascii="黑体" w:eastAsia="黑体" w:hAnsi="黑体" w:cs="黑体" w:hint="eastAsia"/>
          </w:rPr>
          <w:instrText xml:space="preserve"> PAGEREF _Toc10347 \h </w:instrText>
        </w:r>
        <w:r>
          <w:rPr>
            <w:rFonts w:ascii="黑体" w:eastAsia="黑体" w:hAnsi="黑体" w:cs="黑体" w:hint="eastAsia"/>
          </w:rPr>
        </w:r>
        <w:r>
          <w:rPr>
            <w:rFonts w:ascii="黑体" w:eastAsia="黑体" w:hAnsi="黑体" w:cs="黑体" w:hint="eastAsia"/>
          </w:rPr>
          <w:fldChar w:fldCharType="separate"/>
        </w:r>
        <w:r w:rsidR="0035681E">
          <w:rPr>
            <w:rFonts w:ascii="黑体" w:eastAsia="黑体" w:hAnsi="黑体" w:cs="黑体"/>
            <w:noProof/>
          </w:rPr>
          <w:t>1</w:t>
        </w:r>
        <w:r w:rsidR="00AF29B4">
          <w:rPr>
            <w:rFonts w:ascii="黑体" w:eastAsia="黑体" w:hAnsi="黑体" w:cs="黑体" w:hint="eastAsia"/>
            <w:noProof/>
          </w:rPr>
          <w:t>6</w:t>
        </w:r>
        <w:r>
          <w:rPr>
            <w:rFonts w:ascii="黑体" w:eastAsia="黑体" w:hAnsi="黑体" w:cs="黑体" w:hint="eastAsia"/>
          </w:rPr>
          <w:fldChar w:fldCharType="end"/>
        </w:r>
      </w:hyperlink>
    </w:p>
    <w:p w:rsidR="00327246" w:rsidRDefault="00303933">
      <w:pPr>
        <w:pStyle w:val="20"/>
        <w:tabs>
          <w:tab w:val="clear" w:pos="8296"/>
          <w:tab w:val="right" w:leader="dot" w:pos="8306"/>
        </w:tabs>
        <w:rPr>
          <w:rFonts w:ascii="黑体" w:eastAsia="黑体" w:hAnsi="黑体" w:cs="黑体"/>
        </w:rPr>
      </w:pPr>
      <w:hyperlink w:anchor="_Toc12255" w:history="1">
        <w:r w:rsidR="00D33664">
          <w:rPr>
            <w:rFonts w:ascii="黑体" w:eastAsia="黑体" w:hAnsi="黑体" w:cs="黑体" w:hint="eastAsia"/>
            <w:bCs/>
          </w:rPr>
          <w:t>四、</w:t>
        </w:r>
        <w:r w:rsidR="00D33664">
          <w:rPr>
            <w:rFonts w:ascii="黑体" w:eastAsia="黑体" w:hAnsi="黑体" w:cs="黑体" w:hint="eastAsia"/>
          </w:rPr>
          <w:t>财</w:t>
        </w:r>
        <w:r w:rsidR="00D33664">
          <w:rPr>
            <w:rFonts w:ascii="黑体" w:eastAsia="黑体" w:hAnsi="黑体" w:cs="黑体" w:hint="eastAsia"/>
            <w:bCs/>
          </w:rPr>
          <w:t>政拨款收入支出决算总表</w:t>
        </w:r>
        <w:r w:rsidR="00D33664">
          <w:rPr>
            <w:rFonts w:ascii="黑体" w:eastAsia="黑体" w:hAnsi="黑体" w:cs="黑体" w:hint="eastAsia"/>
          </w:rPr>
          <w:tab/>
        </w:r>
        <w:r>
          <w:rPr>
            <w:rFonts w:ascii="黑体" w:eastAsia="黑体" w:hAnsi="黑体" w:cs="黑体" w:hint="eastAsia"/>
          </w:rPr>
          <w:fldChar w:fldCharType="begin"/>
        </w:r>
        <w:r w:rsidR="00D33664">
          <w:rPr>
            <w:rFonts w:ascii="黑体" w:eastAsia="黑体" w:hAnsi="黑体" w:cs="黑体" w:hint="eastAsia"/>
          </w:rPr>
          <w:instrText xml:space="preserve"> PAGEREF _Toc12255 \h </w:instrText>
        </w:r>
        <w:r>
          <w:rPr>
            <w:rFonts w:ascii="黑体" w:eastAsia="黑体" w:hAnsi="黑体" w:cs="黑体" w:hint="eastAsia"/>
          </w:rPr>
        </w:r>
        <w:r>
          <w:rPr>
            <w:rFonts w:ascii="黑体" w:eastAsia="黑体" w:hAnsi="黑体" w:cs="黑体" w:hint="eastAsia"/>
          </w:rPr>
          <w:fldChar w:fldCharType="separate"/>
        </w:r>
        <w:r w:rsidR="0035681E">
          <w:rPr>
            <w:rFonts w:ascii="黑体" w:eastAsia="黑体" w:hAnsi="黑体" w:cs="黑体"/>
            <w:noProof/>
          </w:rPr>
          <w:t>1</w:t>
        </w:r>
        <w:r w:rsidR="00AF29B4">
          <w:rPr>
            <w:rFonts w:ascii="黑体" w:eastAsia="黑体" w:hAnsi="黑体" w:cs="黑体" w:hint="eastAsia"/>
            <w:noProof/>
          </w:rPr>
          <w:t>7</w:t>
        </w:r>
        <w:r>
          <w:rPr>
            <w:rFonts w:ascii="黑体" w:eastAsia="黑体" w:hAnsi="黑体" w:cs="黑体" w:hint="eastAsia"/>
          </w:rPr>
          <w:fldChar w:fldCharType="end"/>
        </w:r>
      </w:hyperlink>
    </w:p>
    <w:p w:rsidR="00327246" w:rsidRDefault="00303933">
      <w:pPr>
        <w:pStyle w:val="20"/>
        <w:tabs>
          <w:tab w:val="clear" w:pos="8296"/>
          <w:tab w:val="right" w:leader="dot" w:pos="8306"/>
        </w:tabs>
        <w:rPr>
          <w:rFonts w:ascii="黑体" w:eastAsia="黑体" w:hAnsi="黑体" w:cs="黑体"/>
        </w:rPr>
      </w:pPr>
      <w:hyperlink w:anchor="_Toc3718" w:history="1">
        <w:r w:rsidR="00D33664">
          <w:rPr>
            <w:rFonts w:ascii="黑体" w:eastAsia="黑体" w:hAnsi="黑体" w:cs="黑体" w:hint="eastAsia"/>
            <w:bCs/>
          </w:rPr>
          <w:t>五、</w:t>
        </w:r>
        <w:r w:rsidR="00D33664">
          <w:rPr>
            <w:rFonts w:ascii="黑体" w:eastAsia="黑体" w:hAnsi="黑体" w:cs="黑体" w:hint="eastAsia"/>
          </w:rPr>
          <w:t>财</w:t>
        </w:r>
        <w:r w:rsidR="00D33664">
          <w:rPr>
            <w:rFonts w:ascii="黑体" w:eastAsia="黑体" w:hAnsi="黑体" w:cs="黑体" w:hint="eastAsia"/>
            <w:bCs/>
          </w:rPr>
          <w:t>政拨款支出决算明细表</w:t>
        </w:r>
        <w:r w:rsidR="00D33664">
          <w:rPr>
            <w:rFonts w:ascii="黑体" w:eastAsia="黑体" w:hAnsi="黑体" w:cs="黑体" w:hint="eastAsia"/>
          </w:rPr>
          <w:tab/>
        </w:r>
        <w:r>
          <w:rPr>
            <w:rFonts w:ascii="黑体" w:eastAsia="黑体" w:hAnsi="黑体" w:cs="黑体" w:hint="eastAsia"/>
          </w:rPr>
          <w:fldChar w:fldCharType="begin"/>
        </w:r>
        <w:r w:rsidR="00D33664">
          <w:rPr>
            <w:rFonts w:ascii="黑体" w:eastAsia="黑体" w:hAnsi="黑体" w:cs="黑体" w:hint="eastAsia"/>
          </w:rPr>
          <w:instrText xml:space="preserve"> PAGEREF _Toc3718 \h </w:instrText>
        </w:r>
        <w:r>
          <w:rPr>
            <w:rFonts w:ascii="黑体" w:eastAsia="黑体" w:hAnsi="黑体" w:cs="黑体" w:hint="eastAsia"/>
          </w:rPr>
        </w:r>
        <w:r>
          <w:rPr>
            <w:rFonts w:ascii="黑体" w:eastAsia="黑体" w:hAnsi="黑体" w:cs="黑体" w:hint="eastAsia"/>
          </w:rPr>
          <w:fldChar w:fldCharType="separate"/>
        </w:r>
        <w:r w:rsidR="0035681E">
          <w:rPr>
            <w:rFonts w:ascii="黑体" w:eastAsia="黑体" w:hAnsi="黑体" w:cs="黑体"/>
            <w:noProof/>
          </w:rPr>
          <w:t>1</w:t>
        </w:r>
        <w:r w:rsidR="00AF29B4">
          <w:rPr>
            <w:rFonts w:ascii="黑体" w:eastAsia="黑体" w:hAnsi="黑体" w:cs="黑体" w:hint="eastAsia"/>
            <w:noProof/>
          </w:rPr>
          <w:t>8</w:t>
        </w:r>
        <w:r>
          <w:rPr>
            <w:rFonts w:ascii="黑体" w:eastAsia="黑体" w:hAnsi="黑体" w:cs="黑体" w:hint="eastAsia"/>
          </w:rPr>
          <w:fldChar w:fldCharType="end"/>
        </w:r>
      </w:hyperlink>
    </w:p>
    <w:p w:rsidR="00327246" w:rsidRDefault="00303933">
      <w:pPr>
        <w:pStyle w:val="20"/>
        <w:tabs>
          <w:tab w:val="clear" w:pos="8296"/>
          <w:tab w:val="right" w:leader="dot" w:pos="8306"/>
        </w:tabs>
        <w:rPr>
          <w:rFonts w:ascii="黑体" w:eastAsia="黑体" w:hAnsi="黑体" w:cs="黑体"/>
        </w:rPr>
      </w:pPr>
      <w:hyperlink w:anchor="_Toc5051" w:history="1">
        <w:r w:rsidR="00D33664">
          <w:rPr>
            <w:rFonts w:ascii="黑体" w:eastAsia="黑体" w:hAnsi="黑体" w:cs="黑体" w:hint="eastAsia"/>
            <w:bCs/>
          </w:rPr>
          <w:t>六、</w:t>
        </w:r>
        <w:r w:rsidR="00D33664">
          <w:rPr>
            <w:rFonts w:ascii="黑体" w:eastAsia="黑体" w:hAnsi="黑体" w:cs="黑体" w:hint="eastAsia"/>
          </w:rPr>
          <w:t>一</w:t>
        </w:r>
        <w:r w:rsidR="00D33664">
          <w:rPr>
            <w:rFonts w:ascii="黑体" w:eastAsia="黑体" w:hAnsi="黑体" w:cs="黑体" w:hint="eastAsia"/>
            <w:bCs/>
          </w:rPr>
          <w:t>般公共预算财政拨款支出决算表</w:t>
        </w:r>
        <w:r w:rsidR="00D33664">
          <w:rPr>
            <w:rFonts w:ascii="黑体" w:eastAsia="黑体" w:hAnsi="黑体" w:cs="黑体" w:hint="eastAsia"/>
          </w:rPr>
          <w:tab/>
        </w:r>
        <w:r>
          <w:rPr>
            <w:rFonts w:ascii="黑体" w:eastAsia="黑体" w:hAnsi="黑体" w:cs="黑体" w:hint="eastAsia"/>
          </w:rPr>
          <w:fldChar w:fldCharType="begin"/>
        </w:r>
        <w:r w:rsidR="00D33664">
          <w:rPr>
            <w:rFonts w:ascii="黑体" w:eastAsia="黑体" w:hAnsi="黑体" w:cs="黑体" w:hint="eastAsia"/>
          </w:rPr>
          <w:instrText xml:space="preserve"> PAGEREF _Toc5051 \h </w:instrText>
        </w:r>
        <w:r>
          <w:rPr>
            <w:rFonts w:ascii="黑体" w:eastAsia="黑体" w:hAnsi="黑体" w:cs="黑体" w:hint="eastAsia"/>
          </w:rPr>
        </w:r>
        <w:r>
          <w:rPr>
            <w:rFonts w:ascii="黑体" w:eastAsia="黑体" w:hAnsi="黑体" w:cs="黑体" w:hint="eastAsia"/>
          </w:rPr>
          <w:fldChar w:fldCharType="separate"/>
        </w:r>
        <w:r w:rsidR="0035681E">
          <w:rPr>
            <w:rFonts w:ascii="黑体" w:eastAsia="黑体" w:hAnsi="黑体" w:cs="黑体"/>
            <w:noProof/>
          </w:rPr>
          <w:t>1</w:t>
        </w:r>
        <w:r w:rsidR="00AF29B4">
          <w:rPr>
            <w:rFonts w:ascii="黑体" w:eastAsia="黑体" w:hAnsi="黑体" w:cs="黑体" w:hint="eastAsia"/>
            <w:noProof/>
          </w:rPr>
          <w:t>9</w:t>
        </w:r>
        <w:r>
          <w:rPr>
            <w:rFonts w:ascii="黑体" w:eastAsia="黑体" w:hAnsi="黑体" w:cs="黑体" w:hint="eastAsia"/>
          </w:rPr>
          <w:fldChar w:fldCharType="end"/>
        </w:r>
      </w:hyperlink>
    </w:p>
    <w:p w:rsidR="00327246" w:rsidRDefault="00303933">
      <w:pPr>
        <w:pStyle w:val="20"/>
        <w:tabs>
          <w:tab w:val="clear" w:pos="8296"/>
          <w:tab w:val="right" w:leader="dot" w:pos="8306"/>
        </w:tabs>
        <w:rPr>
          <w:rFonts w:ascii="黑体" w:eastAsia="黑体" w:hAnsi="黑体" w:cs="黑体"/>
        </w:rPr>
      </w:pPr>
      <w:hyperlink w:anchor="_Toc24592" w:history="1">
        <w:r w:rsidR="00D33664">
          <w:rPr>
            <w:rFonts w:ascii="黑体" w:eastAsia="黑体" w:hAnsi="黑体" w:cs="黑体" w:hint="eastAsia"/>
            <w:bCs/>
          </w:rPr>
          <w:t>七、</w:t>
        </w:r>
        <w:r w:rsidR="00D33664">
          <w:rPr>
            <w:rFonts w:ascii="黑体" w:eastAsia="黑体" w:hAnsi="黑体" w:cs="黑体" w:hint="eastAsia"/>
          </w:rPr>
          <w:t>一</w:t>
        </w:r>
        <w:r w:rsidR="00D33664">
          <w:rPr>
            <w:rFonts w:ascii="黑体" w:eastAsia="黑体" w:hAnsi="黑体" w:cs="黑体" w:hint="eastAsia"/>
            <w:bCs/>
          </w:rPr>
          <w:t>般公共预算财政拨款支出决算明细表</w:t>
        </w:r>
        <w:r w:rsidR="00D33664">
          <w:rPr>
            <w:rFonts w:ascii="黑体" w:eastAsia="黑体" w:hAnsi="黑体" w:cs="黑体" w:hint="eastAsia"/>
          </w:rPr>
          <w:tab/>
        </w:r>
        <w:r w:rsidR="00374D32">
          <w:rPr>
            <w:rFonts w:ascii="黑体" w:eastAsia="黑体" w:hAnsi="黑体" w:cs="黑体" w:hint="eastAsia"/>
          </w:rPr>
          <w:t>20</w:t>
        </w:r>
      </w:hyperlink>
    </w:p>
    <w:p w:rsidR="00327246" w:rsidRDefault="00303933">
      <w:pPr>
        <w:pStyle w:val="20"/>
        <w:tabs>
          <w:tab w:val="clear" w:pos="8296"/>
          <w:tab w:val="right" w:leader="dot" w:pos="8306"/>
        </w:tabs>
        <w:rPr>
          <w:rFonts w:ascii="黑体" w:eastAsia="黑体" w:hAnsi="黑体" w:cs="黑体"/>
        </w:rPr>
      </w:pPr>
      <w:hyperlink w:anchor="_Toc26851" w:history="1">
        <w:r w:rsidR="00D33664">
          <w:rPr>
            <w:rFonts w:ascii="黑体" w:eastAsia="黑体" w:hAnsi="黑体" w:cs="黑体" w:hint="eastAsia"/>
            <w:bCs/>
          </w:rPr>
          <w:t>八、</w:t>
        </w:r>
        <w:r w:rsidR="00D33664">
          <w:rPr>
            <w:rFonts w:ascii="黑体" w:eastAsia="黑体" w:hAnsi="黑体" w:cs="黑体" w:hint="eastAsia"/>
          </w:rPr>
          <w:t>一</w:t>
        </w:r>
        <w:r w:rsidR="00D33664">
          <w:rPr>
            <w:rFonts w:ascii="黑体" w:eastAsia="黑体" w:hAnsi="黑体" w:cs="黑体" w:hint="eastAsia"/>
            <w:bCs/>
          </w:rPr>
          <w:t>般公共预算财政拨款基本支出决算表</w:t>
        </w:r>
        <w:r w:rsidR="00D33664">
          <w:rPr>
            <w:rFonts w:ascii="黑体" w:eastAsia="黑体" w:hAnsi="黑体" w:cs="黑体" w:hint="eastAsia"/>
          </w:rPr>
          <w:tab/>
        </w:r>
        <w:r w:rsidR="00880C18">
          <w:rPr>
            <w:rFonts w:ascii="黑体" w:eastAsia="黑体" w:hAnsi="黑体" w:cs="黑体" w:hint="eastAsia"/>
          </w:rPr>
          <w:t>21</w:t>
        </w:r>
      </w:hyperlink>
    </w:p>
    <w:p w:rsidR="00327246" w:rsidRDefault="00303933">
      <w:pPr>
        <w:pStyle w:val="20"/>
        <w:tabs>
          <w:tab w:val="clear" w:pos="8296"/>
          <w:tab w:val="right" w:leader="dot" w:pos="8306"/>
        </w:tabs>
        <w:rPr>
          <w:rFonts w:ascii="黑体" w:eastAsia="黑体" w:hAnsi="黑体" w:cs="黑体"/>
        </w:rPr>
      </w:pPr>
      <w:hyperlink w:anchor="_Toc16356" w:history="1">
        <w:r w:rsidR="00D33664">
          <w:rPr>
            <w:rFonts w:ascii="黑体" w:eastAsia="黑体" w:hAnsi="黑体" w:cs="黑体" w:hint="eastAsia"/>
            <w:bCs/>
          </w:rPr>
          <w:t>九、</w:t>
        </w:r>
        <w:r w:rsidR="00D33664">
          <w:rPr>
            <w:rFonts w:ascii="黑体" w:eastAsia="黑体" w:hAnsi="黑体" w:cs="黑体" w:hint="eastAsia"/>
          </w:rPr>
          <w:t>一</w:t>
        </w:r>
        <w:r w:rsidR="00D33664">
          <w:rPr>
            <w:rFonts w:ascii="黑体" w:eastAsia="黑体" w:hAnsi="黑体" w:cs="黑体" w:hint="eastAsia"/>
            <w:bCs/>
          </w:rPr>
          <w:t>般公共预算财政拨款项目支出决算表</w:t>
        </w:r>
        <w:r w:rsidR="00D33664">
          <w:rPr>
            <w:rFonts w:ascii="黑体" w:eastAsia="黑体" w:hAnsi="黑体" w:cs="黑体" w:hint="eastAsia"/>
          </w:rPr>
          <w:tab/>
        </w:r>
        <w:r w:rsidR="00880C18">
          <w:rPr>
            <w:rFonts w:ascii="黑体" w:eastAsia="黑体" w:hAnsi="黑体" w:cs="黑体" w:hint="eastAsia"/>
          </w:rPr>
          <w:t>22</w:t>
        </w:r>
      </w:hyperlink>
    </w:p>
    <w:p w:rsidR="00327246" w:rsidRDefault="00303933">
      <w:pPr>
        <w:pStyle w:val="20"/>
        <w:tabs>
          <w:tab w:val="clear" w:pos="8296"/>
          <w:tab w:val="right" w:leader="dot" w:pos="8306"/>
        </w:tabs>
        <w:rPr>
          <w:rFonts w:ascii="黑体" w:eastAsia="黑体" w:hAnsi="黑体" w:cs="黑体"/>
        </w:rPr>
      </w:pPr>
      <w:hyperlink w:anchor="_Toc30116" w:history="1">
        <w:r w:rsidR="00D33664">
          <w:rPr>
            <w:rFonts w:ascii="黑体" w:eastAsia="黑体" w:hAnsi="黑体" w:cs="黑体" w:hint="eastAsia"/>
            <w:bCs/>
          </w:rPr>
          <w:t>十、</w:t>
        </w:r>
        <w:r w:rsidR="00D33664">
          <w:rPr>
            <w:rFonts w:ascii="黑体" w:eastAsia="黑体" w:hAnsi="黑体" w:cs="黑体" w:hint="eastAsia"/>
          </w:rPr>
          <w:t>一</w:t>
        </w:r>
        <w:r w:rsidR="00D33664">
          <w:rPr>
            <w:rFonts w:ascii="黑体" w:eastAsia="黑体" w:hAnsi="黑体" w:cs="黑体" w:hint="eastAsia"/>
            <w:bCs/>
          </w:rPr>
          <w:t>般公共预算财政拨款“三公”经费支出决算表</w:t>
        </w:r>
        <w:r w:rsidR="00D33664">
          <w:rPr>
            <w:rFonts w:ascii="黑体" w:eastAsia="黑体" w:hAnsi="黑体" w:cs="黑体" w:hint="eastAsia"/>
          </w:rPr>
          <w:tab/>
        </w:r>
        <w:r w:rsidR="00880C18">
          <w:rPr>
            <w:rFonts w:ascii="黑体" w:eastAsia="黑体" w:hAnsi="黑体" w:cs="黑体" w:hint="eastAsia"/>
          </w:rPr>
          <w:t>23</w:t>
        </w:r>
      </w:hyperlink>
    </w:p>
    <w:p w:rsidR="00327246" w:rsidRDefault="00303933">
      <w:pPr>
        <w:pStyle w:val="20"/>
        <w:tabs>
          <w:tab w:val="clear" w:pos="8296"/>
          <w:tab w:val="right" w:leader="dot" w:pos="8306"/>
        </w:tabs>
        <w:rPr>
          <w:rFonts w:ascii="黑体" w:eastAsia="黑体" w:hAnsi="黑体" w:cs="黑体"/>
        </w:rPr>
      </w:pPr>
      <w:hyperlink w:anchor="_Toc13967" w:history="1">
        <w:r w:rsidR="00D33664">
          <w:rPr>
            <w:rFonts w:ascii="黑体" w:eastAsia="黑体" w:hAnsi="黑体" w:cs="黑体" w:hint="eastAsia"/>
            <w:bCs/>
          </w:rPr>
          <w:t>十一、</w:t>
        </w:r>
        <w:r w:rsidR="00D33664">
          <w:rPr>
            <w:rFonts w:ascii="黑体" w:eastAsia="黑体" w:hAnsi="黑体" w:cs="黑体" w:hint="eastAsia"/>
          </w:rPr>
          <w:t>政</w:t>
        </w:r>
        <w:r w:rsidR="00D33664">
          <w:rPr>
            <w:rFonts w:ascii="黑体" w:eastAsia="黑体" w:hAnsi="黑体" w:cs="黑体" w:hint="eastAsia"/>
            <w:bCs/>
          </w:rPr>
          <w:t>府性基金预算财政拨款收入支出决算表</w:t>
        </w:r>
        <w:r w:rsidR="00D33664">
          <w:rPr>
            <w:rFonts w:ascii="黑体" w:eastAsia="黑体" w:hAnsi="黑体" w:cs="黑体" w:hint="eastAsia"/>
          </w:rPr>
          <w:tab/>
        </w:r>
        <w:r w:rsidR="00880C18">
          <w:rPr>
            <w:rFonts w:ascii="黑体" w:eastAsia="黑体" w:hAnsi="黑体" w:cs="黑体" w:hint="eastAsia"/>
          </w:rPr>
          <w:t>24</w:t>
        </w:r>
      </w:hyperlink>
    </w:p>
    <w:p w:rsidR="00327246" w:rsidRDefault="00303933">
      <w:pPr>
        <w:pStyle w:val="20"/>
        <w:tabs>
          <w:tab w:val="clear" w:pos="8296"/>
          <w:tab w:val="right" w:leader="dot" w:pos="8306"/>
        </w:tabs>
        <w:rPr>
          <w:rFonts w:ascii="黑体" w:eastAsia="黑体" w:hAnsi="黑体" w:cs="黑体"/>
        </w:rPr>
      </w:pPr>
      <w:hyperlink w:anchor="_Toc22014" w:history="1">
        <w:r w:rsidR="00D33664">
          <w:rPr>
            <w:rFonts w:ascii="黑体" w:eastAsia="黑体" w:hAnsi="黑体" w:cs="黑体" w:hint="eastAsia"/>
            <w:bCs/>
          </w:rPr>
          <w:t>十二、</w:t>
        </w:r>
        <w:r w:rsidR="00D33664">
          <w:rPr>
            <w:rFonts w:ascii="黑体" w:eastAsia="黑体" w:hAnsi="黑体" w:cs="黑体" w:hint="eastAsia"/>
          </w:rPr>
          <w:t>政</w:t>
        </w:r>
        <w:r w:rsidR="00D33664">
          <w:rPr>
            <w:rFonts w:ascii="黑体" w:eastAsia="黑体" w:hAnsi="黑体" w:cs="黑体" w:hint="eastAsia"/>
            <w:bCs/>
          </w:rPr>
          <w:t>府性基金预算财政拨款“三公”经费支出决算表</w:t>
        </w:r>
        <w:r w:rsidR="00D33664">
          <w:rPr>
            <w:rFonts w:ascii="黑体" w:eastAsia="黑体" w:hAnsi="黑体" w:cs="黑体" w:hint="eastAsia"/>
          </w:rPr>
          <w:tab/>
        </w:r>
        <w:r w:rsidR="00880C18">
          <w:rPr>
            <w:rFonts w:ascii="黑体" w:eastAsia="黑体" w:hAnsi="黑体" w:cs="黑体" w:hint="eastAsia"/>
          </w:rPr>
          <w:t>25</w:t>
        </w:r>
      </w:hyperlink>
    </w:p>
    <w:p w:rsidR="00327246" w:rsidRDefault="00303933">
      <w:pPr>
        <w:pStyle w:val="20"/>
        <w:tabs>
          <w:tab w:val="clear" w:pos="8296"/>
          <w:tab w:val="right" w:leader="dot" w:pos="8306"/>
        </w:tabs>
        <w:rPr>
          <w:rFonts w:ascii="黑体" w:eastAsia="黑体" w:hAnsi="黑体" w:cs="黑体"/>
        </w:rPr>
      </w:pPr>
      <w:hyperlink w:anchor="_Toc30477" w:history="1">
        <w:r w:rsidR="00D33664">
          <w:rPr>
            <w:rFonts w:ascii="黑体" w:eastAsia="黑体" w:hAnsi="黑体" w:cs="黑体" w:hint="eastAsia"/>
            <w:bCs/>
          </w:rPr>
          <w:t>十三、</w:t>
        </w:r>
        <w:r w:rsidR="00D33664">
          <w:rPr>
            <w:rFonts w:ascii="黑体" w:eastAsia="黑体" w:hAnsi="黑体" w:cs="黑体" w:hint="eastAsia"/>
          </w:rPr>
          <w:t>国有资本经营预算财政拨款收入支出决算表</w:t>
        </w:r>
        <w:r w:rsidR="00D33664">
          <w:rPr>
            <w:rFonts w:ascii="黑体" w:eastAsia="黑体" w:hAnsi="黑体" w:cs="黑体" w:hint="eastAsia"/>
          </w:rPr>
          <w:tab/>
        </w:r>
        <w:r w:rsidR="00880C18">
          <w:rPr>
            <w:rFonts w:ascii="黑体" w:eastAsia="黑体" w:hAnsi="黑体" w:cs="黑体" w:hint="eastAsia"/>
          </w:rPr>
          <w:t>26</w:t>
        </w:r>
      </w:hyperlink>
    </w:p>
    <w:p w:rsidR="00327246" w:rsidRDefault="00303933">
      <w:pPr>
        <w:pStyle w:val="20"/>
        <w:tabs>
          <w:tab w:val="clear" w:pos="8296"/>
          <w:tab w:val="right" w:leader="dot" w:pos="8306"/>
        </w:tabs>
        <w:rPr>
          <w:rFonts w:ascii="黑体" w:eastAsia="黑体" w:hAnsi="黑体" w:cs="黑体"/>
        </w:rPr>
      </w:pPr>
      <w:hyperlink w:anchor="_Toc25592" w:history="1">
        <w:r w:rsidR="00D33664">
          <w:rPr>
            <w:rFonts w:ascii="黑体" w:eastAsia="黑体" w:hAnsi="黑体" w:cs="黑体" w:hint="eastAsia"/>
            <w:bCs/>
          </w:rPr>
          <w:t>十四、国有资本经营预算财政拨款支出决算表</w:t>
        </w:r>
        <w:r w:rsidR="00D33664">
          <w:rPr>
            <w:rFonts w:ascii="黑体" w:eastAsia="黑体" w:hAnsi="黑体" w:cs="黑体" w:hint="eastAsia"/>
          </w:rPr>
          <w:tab/>
        </w:r>
        <w:r w:rsidR="00880C18">
          <w:rPr>
            <w:rFonts w:ascii="黑体" w:eastAsia="黑体" w:hAnsi="黑体" w:cs="黑体" w:hint="eastAsia"/>
          </w:rPr>
          <w:t>27</w:t>
        </w:r>
      </w:hyperlink>
    </w:p>
    <w:p w:rsidR="00327246" w:rsidRPr="00020D06" w:rsidRDefault="00303933" w:rsidP="00020D06">
      <w:pPr>
        <w:pStyle w:val="10"/>
        <w:widowControl/>
        <w:adjustRightInd w:val="0"/>
        <w:snapToGrid w:val="0"/>
        <w:spacing w:line="360" w:lineRule="auto"/>
        <w:rPr>
          <w:rFonts w:ascii="Times New Roman" w:eastAsia="黑体" w:hAnsi="Times New Roman"/>
          <w:b/>
          <w:bCs/>
          <w:kern w:val="44"/>
          <w:sz w:val="44"/>
          <w:szCs w:val="44"/>
        </w:rPr>
        <w:sectPr w:rsidR="00327246" w:rsidRPr="00020D06">
          <w:footerReference w:type="default" r:id="rId15"/>
          <w:footerReference w:type="first" r:id="rId16"/>
          <w:pgSz w:w="11906" w:h="16838"/>
          <w:pgMar w:top="1440" w:right="1800" w:bottom="1440" w:left="1800" w:header="851" w:footer="992" w:gutter="0"/>
          <w:pgNumType w:start="1"/>
          <w:cols w:space="425"/>
          <w:docGrid w:type="lines" w:linePitch="312"/>
        </w:sectPr>
      </w:pPr>
      <w:r>
        <w:rPr>
          <w:rFonts w:ascii="黑体" w:eastAsia="黑体" w:hAnsi="黑体" w:cs="黑体" w:hint="eastAsia"/>
          <w:b/>
          <w:bCs/>
        </w:rPr>
        <w:fldChar w:fldCharType="end"/>
      </w:r>
    </w:p>
    <w:p w:rsidR="00327246" w:rsidRDefault="00D33664">
      <w:pPr>
        <w:pStyle w:val="1"/>
        <w:adjustRightInd w:val="0"/>
        <w:snapToGrid w:val="0"/>
        <w:spacing w:after="0" w:line="600" w:lineRule="exact"/>
        <w:jc w:val="center"/>
        <w:rPr>
          <w:rFonts w:eastAsia="黑体"/>
          <w:color w:val="000000"/>
          <w:sz w:val="32"/>
          <w:szCs w:val="32"/>
        </w:rPr>
      </w:pPr>
      <w:bookmarkStart w:id="24" w:name="_Toc14371"/>
      <w:bookmarkStart w:id="25" w:name="_Toc15917"/>
      <w:r>
        <w:rPr>
          <w:rFonts w:eastAsia="黑体"/>
        </w:rPr>
        <w:lastRenderedPageBreak/>
        <w:t>第一部分</w:t>
      </w:r>
      <w:r>
        <w:rPr>
          <w:rFonts w:eastAsia="黑体"/>
        </w:rPr>
        <w:t xml:space="preserve"> </w:t>
      </w:r>
      <w:r>
        <w:rPr>
          <w:rFonts w:eastAsia="黑体" w:hint="eastAsia"/>
        </w:rPr>
        <w:t>单位</w:t>
      </w:r>
      <w:r>
        <w:rPr>
          <w:rStyle w:val="1Char"/>
          <w:rFonts w:eastAsia="黑体"/>
          <w:b/>
          <w:bCs/>
        </w:rPr>
        <w:t>概况</w:t>
      </w:r>
      <w:bookmarkEnd w:id="23"/>
      <w:bookmarkEnd w:id="24"/>
      <w:bookmarkEnd w:id="25"/>
    </w:p>
    <w:p w:rsidR="00327246" w:rsidRDefault="00D33664">
      <w:pPr>
        <w:pStyle w:val="2"/>
        <w:adjustRightInd w:val="0"/>
        <w:snapToGrid w:val="0"/>
        <w:spacing w:before="0" w:after="0" w:line="600" w:lineRule="exact"/>
        <w:ind w:firstLineChars="200" w:firstLine="643"/>
        <w:rPr>
          <w:rStyle w:val="2Char"/>
          <w:rFonts w:ascii="Times New Roman" w:eastAsia="黑体" w:hAnsi="Times New Roman" w:cs="Times New Roman"/>
          <w:b/>
          <w:bCs/>
        </w:rPr>
      </w:pPr>
      <w:bookmarkStart w:id="26" w:name="_Toc15377197"/>
      <w:bookmarkStart w:id="27" w:name="_Toc21807"/>
      <w:bookmarkStart w:id="28" w:name="_Toc24730"/>
      <w:r>
        <w:rPr>
          <w:rFonts w:ascii="Times New Roman" w:eastAsia="黑体" w:hAnsi="Times New Roman" w:cs="Times New Roman"/>
          <w:color w:val="000000"/>
        </w:rPr>
        <w:t>一、</w:t>
      </w:r>
      <w:r>
        <w:rPr>
          <w:rStyle w:val="2Char"/>
          <w:rFonts w:ascii="Times New Roman" w:eastAsia="黑体" w:hAnsi="Times New Roman" w:cs="Times New Roman"/>
          <w:b/>
          <w:bCs/>
        </w:rPr>
        <w:t>职能</w:t>
      </w:r>
      <w:bookmarkStart w:id="29" w:name="_Toc15377198"/>
      <w:bookmarkStart w:id="30" w:name="_Toc15378445"/>
      <w:bookmarkEnd w:id="26"/>
      <w:bookmarkEnd w:id="27"/>
      <w:r>
        <w:rPr>
          <w:rStyle w:val="2Char"/>
          <w:rFonts w:ascii="Times New Roman" w:eastAsia="黑体" w:hAnsi="Times New Roman" w:cs="Times New Roman" w:hint="eastAsia"/>
          <w:b/>
          <w:bCs/>
        </w:rPr>
        <w:t>简介</w:t>
      </w:r>
      <w:bookmarkEnd w:id="28"/>
    </w:p>
    <w:bookmarkEnd w:id="29"/>
    <w:bookmarkEnd w:id="30"/>
    <w:p w:rsidR="00327246" w:rsidRDefault="00D33664">
      <w:pPr>
        <w:pStyle w:val="a3"/>
        <w:adjustRightInd w:val="0"/>
        <w:snapToGrid w:val="0"/>
        <w:spacing w:beforeLines="0" w:line="600" w:lineRule="exact"/>
        <w:ind w:firstLineChars="210" w:firstLine="675"/>
        <w:rPr>
          <w:rFonts w:ascii="仿宋" w:eastAsia="仿宋" w:hAnsi="仿宋" w:cs="仿宋"/>
          <w:b/>
          <w:bCs/>
          <w:kern w:val="2"/>
          <w:sz w:val="32"/>
          <w:szCs w:val="32"/>
        </w:rPr>
      </w:pPr>
      <w:r>
        <w:rPr>
          <w:rFonts w:ascii="仿宋" w:eastAsia="仿宋" w:hAnsi="仿宋" w:cs="仿宋" w:hint="eastAsia"/>
          <w:b/>
          <w:bCs/>
          <w:kern w:val="2"/>
          <w:sz w:val="32"/>
          <w:szCs w:val="32"/>
        </w:rPr>
        <w:t>招收学龄前儿童，并提供保育和教育服务。</w:t>
      </w:r>
    </w:p>
    <w:p w:rsidR="00327246" w:rsidRDefault="00D33664">
      <w:pPr>
        <w:pStyle w:val="2"/>
        <w:spacing w:before="0" w:after="0"/>
        <w:ind w:firstLineChars="200" w:firstLine="643"/>
        <w:rPr>
          <w:rFonts w:ascii="黑体" w:eastAsia="黑体" w:hAnsi="黑体" w:cs="黑体"/>
        </w:rPr>
      </w:pPr>
      <w:bookmarkStart w:id="31" w:name="_Toc15378446"/>
      <w:bookmarkStart w:id="32" w:name="_Toc15377199"/>
      <w:bookmarkStart w:id="33" w:name="_Toc27203"/>
      <w:r>
        <w:rPr>
          <w:rFonts w:ascii="黑体" w:eastAsia="黑体" w:hAnsi="黑体" w:cs="黑体" w:hint="eastAsia"/>
        </w:rPr>
        <w:t>二、2020年重点工作完成情况</w:t>
      </w:r>
      <w:bookmarkEnd w:id="31"/>
      <w:bookmarkEnd w:id="32"/>
      <w:bookmarkEnd w:id="33"/>
    </w:p>
    <w:p w:rsidR="00327246" w:rsidRDefault="00D33664">
      <w:pPr>
        <w:adjustRightInd w:val="0"/>
        <w:snapToGrid w:val="0"/>
        <w:spacing w:line="600" w:lineRule="exact"/>
        <w:ind w:firstLineChars="200" w:firstLine="643"/>
        <w:rPr>
          <w:rFonts w:ascii="仿宋" w:eastAsia="仿宋" w:hAnsi="仿宋" w:cs="仿宋"/>
          <w:b/>
          <w:bCs/>
          <w:sz w:val="32"/>
          <w:szCs w:val="32"/>
        </w:rPr>
      </w:pPr>
      <w:bookmarkStart w:id="34" w:name="_Toc27188"/>
      <w:bookmarkStart w:id="35" w:name="_Toc15377204"/>
      <w:r>
        <w:rPr>
          <w:rFonts w:ascii="仿宋" w:eastAsia="仿宋" w:hAnsi="仿宋" w:cs="仿宋" w:hint="eastAsia"/>
          <w:b/>
          <w:bCs/>
          <w:sz w:val="32"/>
          <w:szCs w:val="32"/>
        </w:rPr>
        <w:t>认真贯彻《3-6岁儿童学习与发展指南》《幼儿园教育指导纲要》，完成教育教学任务，坚持对幼儿进行生活卫生习惯和学习兴趣的培养，开展适宜幼儿年龄特点的游戏活动，顺利开展保育教育活动。</w:t>
      </w:r>
    </w:p>
    <w:p w:rsidR="00020D06" w:rsidRDefault="00020D06" w:rsidP="00020D06">
      <w:pPr>
        <w:pStyle w:val="2"/>
        <w:spacing w:before="0" w:after="0"/>
        <w:ind w:firstLineChars="200" w:firstLine="643"/>
        <w:rPr>
          <w:rFonts w:ascii="黑体" w:eastAsia="黑体" w:hAnsi="黑体" w:cs="黑体"/>
        </w:rPr>
      </w:pPr>
      <w:r>
        <w:rPr>
          <w:rFonts w:ascii="黑体" w:eastAsia="黑体" w:hAnsi="黑体" w:cs="黑体" w:hint="eastAsia"/>
        </w:rPr>
        <w:t>三、机构设置情况</w:t>
      </w:r>
    </w:p>
    <w:p w:rsidR="00020D06" w:rsidRPr="002B67E1" w:rsidRDefault="00020D06" w:rsidP="00020D06">
      <w:pPr>
        <w:adjustRightInd w:val="0"/>
        <w:snapToGrid w:val="0"/>
        <w:spacing w:line="600" w:lineRule="exact"/>
        <w:ind w:firstLineChars="200" w:firstLine="643"/>
        <w:rPr>
          <w:rFonts w:ascii="仿宋" w:eastAsia="仿宋" w:hAnsi="仿宋" w:cs="仿宋"/>
          <w:b/>
          <w:bCs/>
          <w:sz w:val="32"/>
          <w:szCs w:val="32"/>
        </w:rPr>
      </w:pPr>
      <w:r w:rsidRPr="00020D06">
        <w:rPr>
          <w:rFonts w:ascii="仿宋" w:eastAsia="仿宋" w:hAnsi="仿宋" w:cs="仿宋" w:hint="eastAsia"/>
          <w:b/>
          <w:bCs/>
          <w:sz w:val="32"/>
          <w:szCs w:val="32"/>
        </w:rPr>
        <w:t>幼儿园由10</w:t>
      </w:r>
      <w:r w:rsidR="00F40D07">
        <w:rPr>
          <w:rFonts w:ascii="仿宋" w:eastAsia="仿宋" w:hAnsi="仿宋" w:cs="仿宋" w:hint="eastAsia"/>
          <w:b/>
          <w:bCs/>
          <w:sz w:val="32"/>
          <w:szCs w:val="32"/>
        </w:rPr>
        <w:t>个内设机构组成，分别是园办、财务室、保健室、后勤及6</w:t>
      </w:r>
      <w:r w:rsidRPr="00020D06">
        <w:rPr>
          <w:rFonts w:ascii="仿宋" w:eastAsia="仿宋" w:hAnsi="仿宋" w:cs="仿宋" w:hint="eastAsia"/>
          <w:b/>
          <w:bCs/>
          <w:sz w:val="32"/>
          <w:szCs w:val="32"/>
        </w:rPr>
        <w:t>个班组。</w:t>
      </w:r>
    </w:p>
    <w:p w:rsidR="00327246" w:rsidRPr="00020D0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D33664">
      <w:pPr>
        <w:pStyle w:val="1"/>
        <w:adjustRightInd w:val="0"/>
        <w:snapToGrid w:val="0"/>
        <w:spacing w:after="0" w:line="600" w:lineRule="exact"/>
        <w:ind w:right="440"/>
        <w:jc w:val="center"/>
      </w:pPr>
      <w:bookmarkStart w:id="36" w:name="_Toc10980"/>
      <w:r>
        <w:rPr>
          <w:rFonts w:eastAsia="黑体"/>
          <w:color w:val="000000"/>
        </w:rPr>
        <w:lastRenderedPageBreak/>
        <w:t>第二部分</w:t>
      </w:r>
      <w:r>
        <w:rPr>
          <w:rFonts w:eastAsia="黑体"/>
          <w:color w:val="000000"/>
        </w:rPr>
        <w:t xml:space="preserve"> </w:t>
      </w:r>
      <w:r>
        <w:rPr>
          <w:rStyle w:val="1Char"/>
          <w:rFonts w:ascii="黑体" w:eastAsia="黑体" w:hAnsi="黑体" w:cs="黑体" w:hint="eastAsia"/>
          <w:b/>
          <w:bCs/>
        </w:rPr>
        <w:t>2020</w:t>
      </w:r>
      <w:r>
        <w:rPr>
          <w:rStyle w:val="1Char"/>
          <w:rFonts w:eastAsia="黑体"/>
          <w:b/>
          <w:bCs/>
        </w:rPr>
        <w:t>年度</w:t>
      </w:r>
      <w:r>
        <w:rPr>
          <w:rStyle w:val="1Char"/>
          <w:rFonts w:eastAsia="黑体" w:hint="eastAsia"/>
          <w:b/>
          <w:bCs/>
        </w:rPr>
        <w:t>单位</w:t>
      </w:r>
      <w:r>
        <w:rPr>
          <w:rStyle w:val="1Char"/>
          <w:rFonts w:eastAsia="黑体"/>
          <w:b/>
          <w:bCs/>
        </w:rPr>
        <w:t>决算情况说明</w:t>
      </w:r>
      <w:bookmarkEnd w:id="34"/>
      <w:bookmarkEnd w:id="35"/>
      <w:bookmarkEnd w:id="36"/>
    </w:p>
    <w:p w:rsidR="00327246" w:rsidRDefault="00D33664">
      <w:pPr>
        <w:pStyle w:val="aa"/>
        <w:numPr>
          <w:ilvl w:val="0"/>
          <w:numId w:val="1"/>
        </w:numPr>
        <w:adjustRightInd w:val="0"/>
        <w:snapToGrid w:val="0"/>
        <w:spacing w:line="600" w:lineRule="exact"/>
        <w:ind w:firstLineChars="0"/>
        <w:outlineLvl w:val="1"/>
        <w:rPr>
          <w:rStyle w:val="2Char"/>
          <w:rFonts w:ascii="Times New Roman" w:eastAsia="黑体" w:hAnsi="Times New Roman" w:cs="Times New Roman"/>
        </w:rPr>
      </w:pPr>
      <w:bookmarkStart w:id="37" w:name="_Toc7800"/>
      <w:bookmarkStart w:id="38" w:name="_Toc15377205"/>
      <w:bookmarkStart w:id="39" w:name="_Toc32478"/>
      <w:r>
        <w:rPr>
          <w:rFonts w:eastAsia="黑体"/>
          <w:b/>
          <w:bCs/>
          <w:color w:val="000000"/>
          <w:sz w:val="32"/>
          <w:szCs w:val="32"/>
        </w:rPr>
        <w:t>收</w:t>
      </w:r>
      <w:r>
        <w:rPr>
          <w:rStyle w:val="2Char"/>
          <w:rFonts w:ascii="Times New Roman" w:eastAsia="黑体" w:hAnsi="Times New Roman" w:cs="Times New Roman"/>
        </w:rPr>
        <w:t>入支出决算总体情况说明</w:t>
      </w:r>
      <w:bookmarkEnd w:id="37"/>
      <w:bookmarkEnd w:id="38"/>
      <w:bookmarkEnd w:id="39"/>
    </w:p>
    <w:p w:rsidR="00327246" w:rsidRDefault="00D33664" w:rsidP="00123E38">
      <w:pPr>
        <w:adjustRightInd w:val="0"/>
        <w:snapToGrid w:val="0"/>
        <w:spacing w:afterLines="67"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度收、支总计为546.98万元，与2019年相比，收、支总计各减少22.77万元，减少4%。主要变动原因：一是2020年9月幼儿园新增了5名在职人员；二是受疫情影响，2020年上半年仅开园一个半月；三是2020年新入园学生有所减少。</w:t>
      </w:r>
    </w:p>
    <w:p w:rsidR="00327246" w:rsidRDefault="00D33664">
      <w:pPr>
        <w:widowControl/>
        <w:jc w:val="center"/>
        <w:rPr>
          <w:rFonts w:eastAsia="仿宋_GB2312"/>
          <w:b/>
          <w:bCs/>
          <w:sz w:val="32"/>
          <w:szCs w:val="32"/>
        </w:rPr>
      </w:pPr>
      <w:r>
        <w:rPr>
          <w:rFonts w:eastAsia="仿宋_GB2312"/>
          <w:b/>
          <w:bCs/>
          <w:noProof/>
          <w:sz w:val="32"/>
          <w:szCs w:val="32"/>
        </w:rPr>
        <w:drawing>
          <wp:inline distT="0" distB="0" distL="0" distR="0">
            <wp:extent cx="3836670" cy="3927475"/>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17"/>
                    <a:srcRect/>
                    <a:stretch>
                      <a:fillRect/>
                    </a:stretch>
                  </pic:blipFill>
                  <pic:spPr>
                    <a:xfrm>
                      <a:off x="0" y="0"/>
                      <a:ext cx="3839916" cy="3930935"/>
                    </a:xfrm>
                    <a:prstGeom prst="rect">
                      <a:avLst/>
                    </a:prstGeom>
                    <a:noFill/>
                  </pic:spPr>
                </pic:pic>
              </a:graphicData>
            </a:graphic>
          </wp:inline>
        </w:drawing>
      </w:r>
    </w:p>
    <w:p w:rsidR="00327246" w:rsidRDefault="00D33664">
      <w:pPr>
        <w:pStyle w:val="aa"/>
        <w:numPr>
          <w:ilvl w:val="0"/>
          <w:numId w:val="1"/>
        </w:numPr>
        <w:adjustRightInd w:val="0"/>
        <w:snapToGrid w:val="0"/>
        <w:spacing w:line="600" w:lineRule="exact"/>
        <w:ind w:firstLineChars="0"/>
        <w:outlineLvl w:val="1"/>
        <w:rPr>
          <w:rStyle w:val="2Char"/>
          <w:rFonts w:ascii="Times New Roman" w:eastAsia="黑体" w:hAnsi="Times New Roman" w:cs="Times New Roman"/>
        </w:rPr>
      </w:pPr>
      <w:bookmarkStart w:id="40" w:name="_Toc28389"/>
      <w:bookmarkStart w:id="41" w:name="_Toc15377206"/>
      <w:bookmarkStart w:id="42" w:name="_Toc30029"/>
      <w:r>
        <w:rPr>
          <w:rFonts w:eastAsia="黑体"/>
          <w:b/>
          <w:bCs/>
          <w:color w:val="000000"/>
          <w:sz w:val="32"/>
          <w:szCs w:val="32"/>
        </w:rPr>
        <w:t>收</w:t>
      </w:r>
      <w:r>
        <w:rPr>
          <w:rStyle w:val="2Char"/>
          <w:rFonts w:ascii="Times New Roman" w:eastAsia="黑体" w:hAnsi="Times New Roman" w:cs="Times New Roman"/>
        </w:rPr>
        <w:t>入决算情况说明</w:t>
      </w:r>
      <w:bookmarkEnd w:id="40"/>
      <w:bookmarkEnd w:id="41"/>
      <w:bookmarkEnd w:id="42"/>
    </w:p>
    <w:p w:rsidR="00327246" w:rsidRDefault="00D33664">
      <w:pPr>
        <w:adjustRightInd w:val="0"/>
        <w:snapToGrid w:val="0"/>
        <w:spacing w:line="600" w:lineRule="exact"/>
        <w:ind w:firstLine="640"/>
        <w:rPr>
          <w:rFonts w:ascii="仿宋" w:eastAsia="仿宋" w:hAnsi="仿宋" w:cs="仿宋"/>
          <w:b/>
          <w:bCs/>
          <w:sz w:val="32"/>
          <w:szCs w:val="32"/>
        </w:rPr>
      </w:pPr>
      <w:r>
        <w:rPr>
          <w:rFonts w:ascii="仿宋" w:eastAsia="仿宋" w:hAnsi="仿宋" w:cs="仿宋" w:hint="eastAsia"/>
          <w:b/>
          <w:bCs/>
          <w:sz w:val="32"/>
          <w:szCs w:val="32"/>
        </w:rPr>
        <w:t>2020年本年收入合计546.98万元，其中：一般公共预算财政拨款收入386.31万元，占70.63%；事业收入0.2万元，占0.04%；其他收入121.28万元，占22.17%；上年结转和结余39.19万元，占7.16%。</w:t>
      </w:r>
    </w:p>
    <w:p w:rsidR="00327246" w:rsidRDefault="00D33664">
      <w:pPr>
        <w:widowControl/>
        <w:jc w:val="center"/>
        <w:rPr>
          <w:kern w:val="0"/>
          <w:sz w:val="32"/>
          <w:szCs w:val="32"/>
        </w:rPr>
      </w:pPr>
      <w:r>
        <w:rPr>
          <w:noProof/>
          <w:kern w:val="0"/>
          <w:sz w:val="32"/>
          <w:szCs w:val="32"/>
        </w:rPr>
        <w:lastRenderedPageBreak/>
        <w:drawing>
          <wp:inline distT="0" distB="0" distL="0" distR="0">
            <wp:extent cx="3655060" cy="3377565"/>
            <wp:effectExtent l="4445" t="4445" r="17145" b="8890"/>
            <wp:docPr id="1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7246" w:rsidRDefault="00D33664">
      <w:pPr>
        <w:pStyle w:val="aa"/>
        <w:numPr>
          <w:ilvl w:val="0"/>
          <w:numId w:val="1"/>
        </w:numPr>
        <w:adjustRightInd w:val="0"/>
        <w:snapToGrid w:val="0"/>
        <w:spacing w:line="600" w:lineRule="exact"/>
        <w:ind w:firstLineChars="0"/>
        <w:outlineLvl w:val="1"/>
        <w:rPr>
          <w:rStyle w:val="2Char"/>
          <w:rFonts w:ascii="Times New Roman" w:eastAsia="黑体" w:hAnsi="Times New Roman" w:cs="Times New Roman"/>
        </w:rPr>
      </w:pPr>
      <w:bookmarkStart w:id="43" w:name="_Toc15377207"/>
      <w:bookmarkStart w:id="44" w:name="_Toc5664"/>
      <w:bookmarkStart w:id="45" w:name="_Toc24350"/>
      <w:r>
        <w:rPr>
          <w:rFonts w:eastAsia="黑体"/>
          <w:b/>
          <w:bCs/>
          <w:color w:val="000000"/>
          <w:sz w:val="32"/>
          <w:szCs w:val="32"/>
        </w:rPr>
        <w:t>支</w:t>
      </w:r>
      <w:r>
        <w:rPr>
          <w:rStyle w:val="2Char"/>
          <w:rFonts w:ascii="Times New Roman" w:eastAsia="黑体" w:hAnsi="Times New Roman" w:cs="Times New Roman"/>
        </w:rPr>
        <w:t>出决算情况说明</w:t>
      </w:r>
      <w:bookmarkEnd w:id="43"/>
      <w:bookmarkEnd w:id="44"/>
      <w:bookmarkEnd w:id="45"/>
    </w:p>
    <w:p w:rsidR="00327246" w:rsidRDefault="00D33664" w:rsidP="00123E38">
      <w:pPr>
        <w:adjustRightInd w:val="0"/>
        <w:snapToGrid w:val="0"/>
        <w:spacing w:afterLines="100" w:line="600" w:lineRule="exact"/>
        <w:ind w:firstLine="640"/>
        <w:rPr>
          <w:rFonts w:ascii="仿宋" w:eastAsia="仿宋" w:hAnsi="仿宋" w:cs="仿宋"/>
          <w:b/>
          <w:bCs/>
          <w:sz w:val="32"/>
          <w:szCs w:val="32"/>
        </w:rPr>
      </w:pPr>
      <w:r>
        <w:rPr>
          <w:rFonts w:ascii="仿宋" w:eastAsia="仿宋" w:hAnsi="仿宋" w:cs="仿宋" w:hint="eastAsia"/>
          <w:b/>
          <w:bCs/>
          <w:sz w:val="32"/>
          <w:szCs w:val="32"/>
        </w:rPr>
        <w:t>2020年本年支出合计386.31万元，均为基本支出，占100%。</w:t>
      </w:r>
    </w:p>
    <w:p w:rsidR="00327246" w:rsidRDefault="00D33664">
      <w:pPr>
        <w:widowControl/>
        <w:jc w:val="center"/>
        <w:rPr>
          <w:rFonts w:eastAsia="黑体"/>
          <w:b/>
          <w:bCs/>
          <w:color w:val="000000"/>
          <w:sz w:val="32"/>
          <w:szCs w:val="32"/>
        </w:rPr>
      </w:pPr>
      <w:bookmarkStart w:id="46" w:name="_Toc15377208"/>
      <w:bookmarkStart w:id="47" w:name="_Toc30299"/>
      <w:r>
        <w:rPr>
          <w:rFonts w:eastAsia="黑体"/>
          <w:b/>
          <w:bCs/>
          <w:noProof/>
          <w:color w:val="000000"/>
          <w:sz w:val="32"/>
          <w:szCs w:val="32"/>
        </w:rPr>
        <w:drawing>
          <wp:inline distT="0" distB="0" distL="0" distR="0">
            <wp:extent cx="3763645" cy="3512185"/>
            <wp:effectExtent l="4445" t="4445" r="22860" b="76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7246" w:rsidRDefault="00327246">
      <w:pPr>
        <w:widowControl/>
        <w:jc w:val="center"/>
        <w:rPr>
          <w:rFonts w:eastAsia="黑体"/>
          <w:b/>
          <w:bCs/>
          <w:color w:val="000000"/>
          <w:sz w:val="32"/>
          <w:szCs w:val="32"/>
        </w:rPr>
      </w:pPr>
    </w:p>
    <w:p w:rsidR="00327246" w:rsidRDefault="00D33664">
      <w:pPr>
        <w:adjustRightInd w:val="0"/>
        <w:snapToGrid w:val="0"/>
        <w:spacing w:line="600" w:lineRule="exact"/>
        <w:ind w:firstLineChars="200" w:firstLine="643"/>
        <w:outlineLvl w:val="1"/>
        <w:rPr>
          <w:rStyle w:val="2Char"/>
          <w:rFonts w:ascii="Times New Roman" w:eastAsia="黑体" w:hAnsi="Times New Roman" w:cs="Times New Roman"/>
        </w:rPr>
      </w:pPr>
      <w:bookmarkStart w:id="48" w:name="_Toc3521"/>
      <w:r>
        <w:rPr>
          <w:rFonts w:eastAsia="黑体"/>
          <w:b/>
          <w:bCs/>
          <w:color w:val="000000"/>
          <w:sz w:val="32"/>
          <w:szCs w:val="32"/>
        </w:rPr>
        <w:lastRenderedPageBreak/>
        <w:t>四、财</w:t>
      </w:r>
      <w:r>
        <w:rPr>
          <w:rStyle w:val="2Char"/>
          <w:rFonts w:ascii="Times New Roman" w:eastAsia="黑体" w:hAnsi="Times New Roman" w:cs="Times New Roman"/>
        </w:rPr>
        <w:t>政拨款收入支出决算总体情况说明</w:t>
      </w:r>
      <w:bookmarkEnd w:id="46"/>
      <w:bookmarkEnd w:id="47"/>
      <w:bookmarkEnd w:id="48"/>
    </w:p>
    <w:p w:rsidR="00327246" w:rsidRDefault="00D33664" w:rsidP="00123E38">
      <w:pPr>
        <w:adjustRightInd w:val="0"/>
        <w:snapToGrid w:val="0"/>
        <w:spacing w:afterLines="100" w:line="600" w:lineRule="exact"/>
        <w:ind w:firstLine="640"/>
        <w:rPr>
          <w:rFonts w:ascii="仿宋" w:eastAsia="仿宋" w:hAnsi="仿宋" w:cs="仿宋"/>
          <w:b/>
          <w:bCs/>
          <w:sz w:val="32"/>
          <w:szCs w:val="32"/>
        </w:rPr>
      </w:pPr>
      <w:r>
        <w:rPr>
          <w:rFonts w:ascii="仿宋" w:eastAsia="仿宋" w:hAnsi="仿宋" w:cs="仿宋" w:hint="eastAsia"/>
          <w:b/>
          <w:bCs/>
          <w:sz w:val="32"/>
          <w:szCs w:val="32"/>
        </w:rPr>
        <w:t>2020年财政拨款收入388.09万元、支出386.31万元。与2019年相比，财政拨款收入增加56.40万元，增长17.00%支出增加54.62万元，增长16.47%。主要变动原因是2020年9月幼儿园新增了5名在职人员。</w:t>
      </w:r>
    </w:p>
    <w:p w:rsidR="00327246" w:rsidRDefault="00D33664">
      <w:pPr>
        <w:widowControl/>
        <w:jc w:val="center"/>
        <w:rPr>
          <w:rFonts w:eastAsia="仿宋"/>
          <w:b/>
          <w:bCs/>
          <w:color w:val="000000" w:themeColor="text1"/>
          <w:sz w:val="32"/>
          <w:szCs w:val="32"/>
        </w:rPr>
      </w:pPr>
      <w:r>
        <w:rPr>
          <w:rFonts w:eastAsia="仿宋"/>
          <w:b/>
          <w:bCs/>
          <w:noProof/>
          <w:color w:val="000000" w:themeColor="text1"/>
          <w:sz w:val="32"/>
          <w:szCs w:val="32"/>
        </w:rPr>
        <w:drawing>
          <wp:inline distT="0" distB="0" distL="0" distR="0">
            <wp:extent cx="4010025" cy="4110355"/>
            <wp:effectExtent l="19050" t="0" r="28520" b="3975"/>
            <wp:docPr id="2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7246" w:rsidRDefault="00D33664">
      <w:pPr>
        <w:adjustRightInd w:val="0"/>
        <w:snapToGrid w:val="0"/>
        <w:spacing w:line="600" w:lineRule="exact"/>
        <w:ind w:firstLineChars="200" w:firstLine="643"/>
        <w:outlineLvl w:val="1"/>
        <w:rPr>
          <w:rStyle w:val="2Char"/>
          <w:rFonts w:ascii="Times New Roman" w:eastAsia="黑体" w:hAnsi="Times New Roman" w:cs="Times New Roman"/>
        </w:rPr>
      </w:pPr>
      <w:bookmarkStart w:id="49" w:name="_Toc15377209"/>
      <w:bookmarkStart w:id="50" w:name="_Toc13717"/>
      <w:bookmarkStart w:id="51" w:name="_Toc838"/>
      <w:r>
        <w:rPr>
          <w:rFonts w:eastAsia="黑体"/>
          <w:b/>
          <w:bCs/>
          <w:color w:val="000000"/>
          <w:sz w:val="32"/>
          <w:szCs w:val="32"/>
        </w:rPr>
        <w:t>五、一</w:t>
      </w:r>
      <w:r>
        <w:rPr>
          <w:rStyle w:val="2Char"/>
          <w:rFonts w:ascii="Times New Roman" w:eastAsia="黑体" w:hAnsi="Times New Roman" w:cs="Times New Roman"/>
        </w:rPr>
        <w:t>般公共预算财政拨款支出决算情况说明</w:t>
      </w:r>
      <w:bookmarkEnd w:id="49"/>
      <w:bookmarkEnd w:id="50"/>
      <w:bookmarkEnd w:id="51"/>
    </w:p>
    <w:p w:rsidR="00327246" w:rsidRDefault="00D33664">
      <w:pPr>
        <w:adjustRightInd w:val="0"/>
        <w:snapToGrid w:val="0"/>
        <w:spacing w:line="600" w:lineRule="exact"/>
        <w:ind w:firstLineChars="200" w:firstLine="643"/>
        <w:outlineLvl w:val="2"/>
        <w:rPr>
          <w:rFonts w:ascii="楷体" w:eastAsia="楷体" w:hAnsi="楷体" w:cs="楷体"/>
          <w:b/>
          <w:bCs/>
          <w:color w:val="000000"/>
          <w:sz w:val="32"/>
          <w:szCs w:val="32"/>
        </w:rPr>
      </w:pPr>
      <w:bookmarkStart w:id="52" w:name="_Toc15377210"/>
      <w:r>
        <w:rPr>
          <w:rFonts w:ascii="楷体" w:eastAsia="楷体" w:hAnsi="楷体" w:cs="楷体" w:hint="eastAsia"/>
          <w:b/>
          <w:bCs/>
          <w:color w:val="000000"/>
          <w:sz w:val="32"/>
          <w:szCs w:val="32"/>
        </w:rPr>
        <w:t>（一）一般公共预算财政拨款支出决算总体情况</w:t>
      </w:r>
      <w:bookmarkEnd w:id="52"/>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2020年一般公共预算财政拨款支出386.31万元，占本年支出合计的70.63%。与2019年相比，一般公共预算财政拨款增加54.62万元，增长16.47%。主要变动原因是2020年9月幼儿园新增了5名在职人员。</w:t>
      </w:r>
    </w:p>
    <w:p w:rsidR="00327246" w:rsidRDefault="00D33664">
      <w:pPr>
        <w:adjustRightInd w:val="0"/>
        <w:snapToGrid w:val="0"/>
        <w:spacing w:line="360" w:lineRule="auto"/>
        <w:jc w:val="center"/>
        <w:rPr>
          <w:rFonts w:eastAsia="仿宋"/>
          <w:b/>
          <w:bCs/>
          <w:color w:val="000000"/>
          <w:sz w:val="32"/>
          <w:szCs w:val="32"/>
        </w:rPr>
      </w:pPr>
      <w:bookmarkStart w:id="53" w:name="_Toc15377211"/>
      <w:r>
        <w:rPr>
          <w:rFonts w:eastAsia="仿宋"/>
          <w:b/>
          <w:bCs/>
          <w:noProof/>
          <w:color w:val="000000"/>
          <w:sz w:val="32"/>
          <w:szCs w:val="32"/>
        </w:rPr>
        <w:lastRenderedPageBreak/>
        <w:drawing>
          <wp:inline distT="0" distB="0" distL="0" distR="0">
            <wp:extent cx="4043680" cy="4866005"/>
            <wp:effectExtent l="19050" t="0" r="13583" b="0"/>
            <wp:docPr id="25"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27246" w:rsidRDefault="00D33664">
      <w:pPr>
        <w:adjustRightInd w:val="0"/>
        <w:snapToGrid w:val="0"/>
        <w:spacing w:line="600" w:lineRule="exact"/>
        <w:ind w:firstLineChars="200" w:firstLine="643"/>
        <w:outlineLvl w:val="2"/>
        <w:rPr>
          <w:rFonts w:ascii="楷体" w:eastAsia="楷体" w:hAnsi="楷体" w:cs="楷体"/>
          <w:b/>
          <w:bCs/>
          <w:color w:val="000000"/>
          <w:sz w:val="32"/>
          <w:szCs w:val="32"/>
        </w:rPr>
      </w:pPr>
      <w:r>
        <w:rPr>
          <w:rFonts w:ascii="楷体" w:eastAsia="楷体" w:hAnsi="楷体" w:cs="楷体" w:hint="eastAsia"/>
          <w:b/>
          <w:bCs/>
          <w:color w:val="000000"/>
          <w:sz w:val="32"/>
          <w:szCs w:val="32"/>
        </w:rPr>
        <w:t>（二）一般公共预算财政拨款支出决算结构情况</w:t>
      </w:r>
      <w:bookmarkEnd w:id="53"/>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一般公共预算财政拨款支出386.31万元，主要用于以下方面：一般公共服务（类）支出59.18万元，占15.32%；教育支出（类）214.62，占55.56%；社会保障和就业（类）支出62.20万元，占16.10%；卫生健康（类）支出25.95万元，占6.71%；住房保障（类）支出24.36万元，占6.31%。</w:t>
      </w: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color w:val="000000"/>
          <w:sz w:val="32"/>
          <w:szCs w:val="32"/>
        </w:rPr>
      </w:pPr>
    </w:p>
    <w:p w:rsidR="00327246" w:rsidRDefault="00D33664">
      <w:pPr>
        <w:widowControl/>
        <w:jc w:val="center"/>
        <w:rPr>
          <w:rFonts w:eastAsia="仿宋"/>
          <w:b/>
          <w:bCs/>
          <w:color w:val="000000"/>
          <w:sz w:val="32"/>
          <w:szCs w:val="32"/>
        </w:rPr>
      </w:pPr>
      <w:r>
        <w:rPr>
          <w:rFonts w:eastAsia="仿宋"/>
          <w:b/>
          <w:bCs/>
          <w:noProof/>
          <w:color w:val="000000"/>
          <w:sz w:val="32"/>
          <w:szCs w:val="32"/>
        </w:rPr>
        <w:lastRenderedPageBreak/>
        <w:drawing>
          <wp:inline distT="0" distB="0" distL="0" distR="0">
            <wp:extent cx="4014470" cy="3401695"/>
            <wp:effectExtent l="4445" t="4445" r="19685" b="22860"/>
            <wp:docPr id="26"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7246" w:rsidRDefault="00D33664">
      <w:pPr>
        <w:adjustRightInd w:val="0"/>
        <w:snapToGrid w:val="0"/>
        <w:spacing w:line="360" w:lineRule="auto"/>
        <w:ind w:firstLineChars="200" w:firstLine="643"/>
        <w:outlineLvl w:val="2"/>
        <w:rPr>
          <w:rFonts w:ascii="楷体" w:eastAsia="楷体" w:hAnsi="楷体" w:cs="楷体"/>
          <w:b/>
          <w:bCs/>
          <w:color w:val="000000"/>
          <w:sz w:val="32"/>
          <w:szCs w:val="32"/>
        </w:rPr>
      </w:pPr>
      <w:bookmarkStart w:id="54" w:name="_Toc15377212"/>
      <w:r>
        <w:rPr>
          <w:rFonts w:ascii="楷体" w:eastAsia="楷体" w:hAnsi="楷体" w:cs="楷体" w:hint="eastAsia"/>
          <w:b/>
          <w:bCs/>
          <w:color w:val="000000"/>
          <w:sz w:val="32"/>
          <w:szCs w:val="32"/>
        </w:rPr>
        <w:t>（三）一般公共预算财政拨款支出决算具体情况</w:t>
      </w:r>
      <w:bookmarkEnd w:id="54"/>
    </w:p>
    <w:p w:rsidR="00327246" w:rsidRDefault="00D33664">
      <w:pPr>
        <w:adjustRightInd w:val="0"/>
        <w:snapToGrid w:val="0"/>
        <w:spacing w:line="600" w:lineRule="exact"/>
        <w:ind w:firstLineChars="200" w:firstLine="643"/>
        <w:rPr>
          <w:rFonts w:ascii="仿宋" w:eastAsia="仿宋" w:hAnsi="仿宋" w:cs="仿宋"/>
          <w:b/>
          <w:bCs/>
          <w:sz w:val="32"/>
          <w:szCs w:val="32"/>
        </w:rPr>
      </w:pPr>
      <w:bookmarkStart w:id="55" w:name="_Toc15378460"/>
      <w:bookmarkStart w:id="56" w:name="_Toc15377444"/>
      <w:bookmarkStart w:id="57" w:name="_Toc15377213"/>
      <w:r>
        <w:rPr>
          <w:rFonts w:ascii="仿宋" w:eastAsia="仿宋" w:hAnsi="仿宋" w:cs="仿宋" w:hint="eastAsia"/>
          <w:b/>
          <w:bCs/>
          <w:sz w:val="32"/>
          <w:szCs w:val="32"/>
        </w:rPr>
        <w:t>2020年一般公共预算支出决算数为386.31万元，完成预算99.54%。其中：</w:t>
      </w:r>
      <w:bookmarkEnd w:id="55"/>
      <w:bookmarkEnd w:id="56"/>
      <w:bookmarkEnd w:id="57"/>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一般公共服务支出（类）党委办公厅（室）及相关机构事务（款）行政运行（项）:支出决算为50.21万元，完成预算100%。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一般公共服务支出（类）党委办公厅（室）及相关机构事务（款）事业运行（项）：支出决算为8.96万元，完成预算100%。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教育支出（类）普通教育（款）学前教育（项）：支出决算为214.62万元，完成预算99.17%。决算数小于预算数的主要原因是经费计算口径不同所致。</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社会保障和就业支出（类）行政事业单位养老支出</w:t>
      </w:r>
      <w:r>
        <w:rPr>
          <w:rFonts w:ascii="仿宋" w:eastAsia="仿宋" w:hAnsi="仿宋" w:cs="仿宋" w:hint="eastAsia"/>
          <w:b/>
          <w:bCs/>
          <w:sz w:val="32"/>
          <w:szCs w:val="32"/>
        </w:rPr>
        <w:lastRenderedPageBreak/>
        <w:t>（款）事业单位离退休（项）支出13.67万元，完成预算100%。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社会保障和就业支出（类）行政事业单位养老支出（款）机关事业单位基本养老保险缴费支出（项）:支出决算为32.21万元，完成预算100%。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社会保障和就业支出（类）行政事业单位养老支出（款）机关事业单位职业年金缴费支出（项）:支出决算为16.24万元，完成预算100%。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社会保障和就业支出（类）其他社会保障和就业支出（款）其他社会保障和就业支出（项）:支出决算为0.08万元，完成预算100%。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卫生健康支出（类）行政事业单位医疗（款）事业单位医疗（项）:支出决算为25.95万元，完成预算100%。</w:t>
      </w:r>
    </w:p>
    <w:p w:rsidR="00327246" w:rsidRDefault="00D33664">
      <w:pPr>
        <w:numPr>
          <w:ilvl w:val="0"/>
          <w:numId w:val="2"/>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住房保障支出（类）住房改革支出（款）住房公积金（项）:支出决算为24.36万元，完成预算100%。</w:t>
      </w:r>
    </w:p>
    <w:p w:rsidR="00327246" w:rsidRDefault="00D33664">
      <w:pPr>
        <w:tabs>
          <w:tab w:val="right" w:pos="8306"/>
        </w:tabs>
        <w:adjustRightInd w:val="0"/>
        <w:snapToGrid w:val="0"/>
        <w:spacing w:line="600" w:lineRule="exact"/>
        <w:ind w:firstLine="640"/>
        <w:outlineLvl w:val="1"/>
        <w:rPr>
          <w:rStyle w:val="2Char"/>
          <w:rFonts w:ascii="Times New Roman" w:hAnsi="Times New Roman" w:cs="Times New Roman"/>
        </w:rPr>
      </w:pPr>
      <w:bookmarkStart w:id="58" w:name="_Toc15377214"/>
      <w:bookmarkStart w:id="59" w:name="_Toc29464"/>
      <w:bookmarkStart w:id="60" w:name="_Toc3417"/>
      <w:r>
        <w:rPr>
          <w:rFonts w:eastAsia="黑体"/>
          <w:b/>
          <w:bCs/>
          <w:color w:val="000000"/>
          <w:sz w:val="32"/>
          <w:szCs w:val="32"/>
        </w:rPr>
        <w:t>六、一</w:t>
      </w:r>
      <w:r>
        <w:rPr>
          <w:rStyle w:val="2Char"/>
          <w:rFonts w:ascii="Times New Roman" w:eastAsia="黑体" w:hAnsi="Times New Roman" w:cs="Times New Roman"/>
        </w:rPr>
        <w:t>般公共预算财政拨款基本支出决算情况说明</w:t>
      </w:r>
      <w:bookmarkEnd w:id="58"/>
      <w:bookmarkEnd w:id="59"/>
      <w:bookmarkEnd w:id="60"/>
      <w:r>
        <w:rPr>
          <w:rStyle w:val="2Char"/>
          <w:rFonts w:ascii="Times New Roman" w:eastAsia="黑体" w:hAnsi="Times New Roman" w:cs="Times New Roman"/>
        </w:rPr>
        <w:tab/>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2020年一般公共预算财政拨款基本支出386.31万元，其中：</w:t>
      </w:r>
    </w:p>
    <w:p w:rsidR="00327246" w:rsidRDefault="00D33664">
      <w:pPr>
        <w:numPr>
          <w:ilvl w:val="0"/>
          <w:numId w:val="3"/>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人员经费332.54万元，包括：基本工资、津贴补贴、绩效工资、机关事业单位基本养老保险缴费、机关事业单位职业年金缴费支出、职工基本医疗保险缴费、其他社会保障缴费、住房公积金、其他工资福利、奖励金、对个人和家庭的补助支出。</w:t>
      </w:r>
    </w:p>
    <w:p w:rsidR="00327246" w:rsidRDefault="00D33664">
      <w:pPr>
        <w:numPr>
          <w:ilvl w:val="0"/>
          <w:numId w:val="3"/>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公用经费53.76万元，主要包括：办公费、电费、邮</w:t>
      </w:r>
      <w:r>
        <w:rPr>
          <w:rFonts w:ascii="仿宋" w:eastAsia="仿宋" w:hAnsi="仿宋" w:cs="仿宋" w:hint="eastAsia"/>
          <w:b/>
          <w:bCs/>
          <w:sz w:val="32"/>
          <w:szCs w:val="32"/>
        </w:rPr>
        <w:lastRenderedPageBreak/>
        <w:t>电费、维修（护）费、培训费、劳务费、工会经费、福利费、其他商品和服务支出。</w:t>
      </w:r>
    </w:p>
    <w:p w:rsidR="00327246" w:rsidRDefault="00D33664">
      <w:pPr>
        <w:adjustRightInd w:val="0"/>
        <w:snapToGrid w:val="0"/>
        <w:spacing w:line="600" w:lineRule="exact"/>
        <w:ind w:firstLine="640"/>
        <w:outlineLvl w:val="1"/>
        <w:rPr>
          <w:rStyle w:val="2Char"/>
          <w:rFonts w:ascii="Times New Roman" w:eastAsia="黑体" w:hAnsi="Times New Roman" w:cs="Times New Roman"/>
        </w:rPr>
      </w:pPr>
      <w:bookmarkStart w:id="61" w:name="_Toc15377215"/>
      <w:bookmarkStart w:id="62" w:name="_Toc14376"/>
      <w:bookmarkStart w:id="63" w:name="_Toc8807"/>
      <w:r>
        <w:rPr>
          <w:rFonts w:eastAsia="黑体"/>
          <w:b/>
          <w:bCs/>
          <w:color w:val="000000"/>
          <w:sz w:val="32"/>
          <w:szCs w:val="32"/>
        </w:rPr>
        <w:t>七、</w:t>
      </w:r>
      <w:r>
        <w:rPr>
          <w:rStyle w:val="2Char"/>
          <w:rFonts w:ascii="Times New Roman" w:eastAsia="黑体" w:hAnsi="Times New Roman" w:cs="Times New Roman"/>
        </w:rPr>
        <w:t>“</w:t>
      </w:r>
      <w:r>
        <w:rPr>
          <w:rStyle w:val="2Char"/>
          <w:rFonts w:ascii="Times New Roman" w:eastAsia="黑体" w:hAnsi="Times New Roman" w:cs="Times New Roman"/>
        </w:rPr>
        <w:t>三公</w:t>
      </w:r>
      <w:r>
        <w:rPr>
          <w:rStyle w:val="2Char"/>
          <w:rFonts w:ascii="Times New Roman" w:eastAsia="黑体" w:hAnsi="Times New Roman" w:cs="Times New Roman"/>
        </w:rPr>
        <w:t>”</w:t>
      </w:r>
      <w:r>
        <w:rPr>
          <w:rStyle w:val="2Char"/>
          <w:rFonts w:ascii="Times New Roman" w:eastAsia="黑体" w:hAnsi="Times New Roman" w:cs="Times New Roman"/>
        </w:rPr>
        <w:t>经费财政拨款支出决算情况说明</w:t>
      </w:r>
      <w:bookmarkEnd w:id="61"/>
      <w:bookmarkEnd w:id="62"/>
      <w:bookmarkEnd w:id="63"/>
    </w:p>
    <w:p w:rsidR="00327246" w:rsidRDefault="00D33664">
      <w:pPr>
        <w:adjustRightInd w:val="0"/>
        <w:snapToGrid w:val="0"/>
        <w:spacing w:line="600" w:lineRule="exact"/>
        <w:ind w:firstLine="640"/>
        <w:outlineLvl w:val="2"/>
        <w:rPr>
          <w:rFonts w:ascii="楷体" w:eastAsia="楷体" w:hAnsi="楷体" w:cs="楷体"/>
          <w:b/>
          <w:bCs/>
          <w:color w:val="000000"/>
          <w:sz w:val="32"/>
          <w:szCs w:val="32"/>
        </w:rPr>
      </w:pPr>
      <w:bookmarkStart w:id="64" w:name="_Toc15377216"/>
      <w:r>
        <w:rPr>
          <w:rFonts w:ascii="楷体" w:eastAsia="楷体" w:hAnsi="楷体" w:cs="楷体" w:hint="eastAsia"/>
          <w:b/>
          <w:bCs/>
          <w:color w:val="000000"/>
          <w:sz w:val="32"/>
          <w:szCs w:val="32"/>
        </w:rPr>
        <w:t>（一）“三公”经费财政拨款支出决算总体情况说明</w:t>
      </w:r>
      <w:bookmarkEnd w:id="64"/>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2020年“三公”经费财政拨款支出决算为0万元。</w:t>
      </w:r>
    </w:p>
    <w:p w:rsidR="00327246" w:rsidRDefault="00D33664">
      <w:pPr>
        <w:adjustRightInd w:val="0"/>
        <w:snapToGrid w:val="0"/>
        <w:spacing w:line="600" w:lineRule="exact"/>
        <w:ind w:firstLine="640"/>
        <w:outlineLvl w:val="2"/>
        <w:rPr>
          <w:rFonts w:ascii="楷体" w:eastAsia="楷体" w:hAnsi="楷体" w:cs="楷体"/>
          <w:b/>
          <w:bCs/>
          <w:color w:val="000000"/>
          <w:sz w:val="32"/>
          <w:szCs w:val="32"/>
        </w:rPr>
      </w:pPr>
      <w:bookmarkStart w:id="65" w:name="_Toc15377217"/>
      <w:r>
        <w:rPr>
          <w:rFonts w:ascii="楷体" w:eastAsia="楷体" w:hAnsi="楷体" w:cs="楷体" w:hint="eastAsia"/>
          <w:b/>
          <w:bCs/>
          <w:color w:val="000000"/>
          <w:sz w:val="32"/>
          <w:szCs w:val="32"/>
        </w:rPr>
        <w:t>（二）“三公”经费财政拨款支出决算具体情况说明</w:t>
      </w:r>
      <w:bookmarkEnd w:id="65"/>
    </w:p>
    <w:p w:rsidR="00327246" w:rsidRDefault="00D33664">
      <w:pPr>
        <w:adjustRightInd w:val="0"/>
        <w:snapToGrid w:val="0"/>
        <w:spacing w:line="600" w:lineRule="exact"/>
        <w:ind w:firstLineChars="200" w:firstLine="643"/>
        <w:rPr>
          <w:rFonts w:eastAsia="仿宋_GB2312"/>
          <w:b/>
          <w:bCs/>
          <w:sz w:val="32"/>
          <w:szCs w:val="32"/>
        </w:rPr>
      </w:pPr>
      <w:r>
        <w:rPr>
          <w:rFonts w:ascii="仿宋" w:eastAsia="仿宋" w:hAnsi="仿宋" w:cs="仿宋" w:hint="eastAsia"/>
          <w:b/>
          <w:bCs/>
          <w:sz w:val="32"/>
          <w:szCs w:val="32"/>
        </w:rPr>
        <w:t>2020年“三公”经费财政拨款支出决算中，因公出国（境）经费支出决算0万元，占0%；公务用车购置及运行维护费支出决算0万元，占0%；公务接待费支出决算0万元，占0%。</w:t>
      </w:r>
    </w:p>
    <w:p w:rsidR="00327246" w:rsidRDefault="00D33664">
      <w:pPr>
        <w:numPr>
          <w:ilvl w:val="0"/>
          <w:numId w:val="4"/>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因公出国（境）经费支出0万元。</w:t>
      </w:r>
    </w:p>
    <w:p w:rsidR="00327246" w:rsidRDefault="00D33664">
      <w:pPr>
        <w:numPr>
          <w:ilvl w:val="0"/>
          <w:numId w:val="4"/>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公务用车购置及运行维护费支出0万元。</w:t>
      </w:r>
    </w:p>
    <w:p w:rsidR="00327246" w:rsidRDefault="00D33664">
      <w:pPr>
        <w:spacing w:line="600" w:lineRule="exact"/>
        <w:ind w:firstLine="640"/>
        <w:rPr>
          <w:rFonts w:ascii="仿宋" w:eastAsia="仿宋" w:hAnsi="仿宋" w:cs="仿宋"/>
          <w:b/>
          <w:bCs/>
          <w:sz w:val="32"/>
          <w:szCs w:val="32"/>
        </w:rPr>
      </w:pPr>
      <w:r>
        <w:rPr>
          <w:rFonts w:ascii="仿宋" w:eastAsia="仿宋" w:hAnsi="仿宋" w:cs="仿宋" w:hint="eastAsia"/>
          <w:b/>
          <w:bCs/>
          <w:sz w:val="32"/>
          <w:szCs w:val="32"/>
        </w:rPr>
        <w:t>其中：公务用车购置支出0万元。全年按规定更新购置公务用车0辆。截至2020年12月底，单位共有公务用车0辆。其中：轿车0辆、越野车0辆、小型载客汽车0辆、大中型载客汽车0辆、其他车型0辆。</w:t>
      </w:r>
    </w:p>
    <w:p w:rsidR="00327246" w:rsidRDefault="00D33664">
      <w:pPr>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公务用车运行维护费支出0万元。</w:t>
      </w:r>
    </w:p>
    <w:p w:rsidR="00327246" w:rsidRDefault="00D33664">
      <w:pPr>
        <w:numPr>
          <w:ilvl w:val="0"/>
          <w:numId w:val="4"/>
        </w:num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公务接待费支出0万元，完成预算0%。</w:t>
      </w:r>
    </w:p>
    <w:p w:rsidR="00327246" w:rsidRDefault="00D33664">
      <w:pPr>
        <w:adjustRightInd w:val="0"/>
        <w:snapToGrid w:val="0"/>
        <w:spacing w:line="600" w:lineRule="exact"/>
        <w:ind w:firstLine="640"/>
        <w:outlineLvl w:val="1"/>
        <w:rPr>
          <w:rStyle w:val="2Char"/>
          <w:rFonts w:ascii="Times New Roman" w:eastAsia="黑体" w:hAnsi="Times New Roman" w:cs="Times New Roman"/>
        </w:rPr>
      </w:pPr>
      <w:bookmarkStart w:id="66" w:name="_Toc25244"/>
      <w:bookmarkStart w:id="67" w:name="_Toc15377218"/>
      <w:bookmarkStart w:id="68" w:name="_Toc12249"/>
      <w:r>
        <w:rPr>
          <w:rFonts w:eastAsia="黑体"/>
          <w:b/>
          <w:bCs/>
          <w:color w:val="000000"/>
          <w:sz w:val="32"/>
          <w:szCs w:val="32"/>
        </w:rPr>
        <w:t>八、</w:t>
      </w:r>
      <w:r>
        <w:rPr>
          <w:rStyle w:val="2Char"/>
          <w:rFonts w:ascii="Times New Roman" w:eastAsia="黑体" w:hAnsi="Times New Roman" w:cs="Times New Roman"/>
        </w:rPr>
        <w:t>政府性基金预算支出决算情况说明</w:t>
      </w:r>
      <w:bookmarkEnd w:id="66"/>
      <w:bookmarkEnd w:id="67"/>
      <w:bookmarkEnd w:id="68"/>
    </w:p>
    <w:p w:rsidR="00327246" w:rsidRDefault="00D33664">
      <w:pPr>
        <w:adjustRightInd w:val="0"/>
        <w:snapToGrid w:val="0"/>
        <w:spacing w:line="600" w:lineRule="exact"/>
        <w:ind w:firstLine="640"/>
        <w:rPr>
          <w:rFonts w:ascii="仿宋" w:eastAsia="仿宋" w:hAnsi="仿宋" w:cs="仿宋"/>
          <w:b/>
          <w:bCs/>
          <w:color w:val="000000"/>
          <w:sz w:val="32"/>
          <w:szCs w:val="32"/>
        </w:rPr>
      </w:pPr>
      <w:r>
        <w:rPr>
          <w:rFonts w:ascii="仿宋" w:eastAsia="仿宋" w:hAnsi="仿宋" w:cs="仿宋" w:hint="eastAsia"/>
          <w:b/>
          <w:bCs/>
          <w:color w:val="000000"/>
          <w:sz w:val="32"/>
          <w:szCs w:val="32"/>
        </w:rPr>
        <w:t>2020年政府性基金预算拨款支出0万元。</w:t>
      </w:r>
    </w:p>
    <w:p w:rsidR="00327246" w:rsidRDefault="00D33664">
      <w:pPr>
        <w:numPr>
          <w:ilvl w:val="0"/>
          <w:numId w:val="5"/>
        </w:numPr>
        <w:adjustRightInd w:val="0"/>
        <w:snapToGrid w:val="0"/>
        <w:spacing w:line="600" w:lineRule="exact"/>
        <w:ind w:firstLine="640"/>
        <w:outlineLvl w:val="1"/>
        <w:rPr>
          <w:rStyle w:val="2Char"/>
          <w:rFonts w:ascii="Times New Roman" w:eastAsia="黑体" w:hAnsi="Times New Roman" w:cs="Times New Roman"/>
        </w:rPr>
      </w:pPr>
      <w:bookmarkStart w:id="69" w:name="_Toc24327"/>
      <w:bookmarkStart w:id="70" w:name="_Toc15377219"/>
      <w:bookmarkStart w:id="71" w:name="_Toc11872"/>
      <w:r>
        <w:rPr>
          <w:rStyle w:val="2Char"/>
          <w:rFonts w:ascii="Times New Roman" w:eastAsia="黑体" w:hAnsi="Times New Roman" w:cs="Times New Roman"/>
        </w:rPr>
        <w:t>国有资本经营预算支出决算情况说明</w:t>
      </w:r>
      <w:bookmarkEnd w:id="69"/>
      <w:bookmarkEnd w:id="70"/>
      <w:bookmarkEnd w:id="71"/>
    </w:p>
    <w:p w:rsidR="00327246" w:rsidRDefault="00D33664">
      <w:pPr>
        <w:adjustRightInd w:val="0"/>
        <w:snapToGrid w:val="0"/>
        <w:spacing w:line="600" w:lineRule="exact"/>
        <w:ind w:firstLine="640"/>
        <w:rPr>
          <w:rFonts w:ascii="仿宋" w:eastAsia="仿宋" w:hAnsi="仿宋" w:cs="仿宋"/>
          <w:b/>
          <w:bCs/>
          <w:color w:val="000000"/>
          <w:sz w:val="32"/>
          <w:szCs w:val="32"/>
        </w:rPr>
      </w:pPr>
      <w:r>
        <w:rPr>
          <w:rFonts w:ascii="仿宋" w:eastAsia="仿宋" w:hAnsi="仿宋" w:cs="仿宋" w:hint="eastAsia"/>
          <w:b/>
          <w:bCs/>
          <w:color w:val="000000"/>
          <w:sz w:val="32"/>
          <w:szCs w:val="32"/>
        </w:rPr>
        <w:t>2020年国有资本经营预算拨款支出0万元。</w:t>
      </w:r>
    </w:p>
    <w:p w:rsidR="00327246" w:rsidRDefault="00D33664">
      <w:pPr>
        <w:pStyle w:val="aa"/>
        <w:numPr>
          <w:ilvl w:val="0"/>
          <w:numId w:val="6"/>
        </w:numPr>
        <w:adjustRightInd w:val="0"/>
        <w:snapToGrid w:val="0"/>
        <w:spacing w:line="600" w:lineRule="exact"/>
        <w:ind w:firstLineChars="0"/>
        <w:rPr>
          <w:rStyle w:val="2Char"/>
          <w:rFonts w:ascii="Times New Roman" w:eastAsia="黑体" w:hAnsi="Times New Roman" w:cs="Times New Roman"/>
        </w:rPr>
      </w:pPr>
      <w:bookmarkStart w:id="72" w:name="_Toc31836"/>
      <w:bookmarkStart w:id="73" w:name="_Toc22562"/>
      <w:r>
        <w:rPr>
          <w:rStyle w:val="2Char"/>
          <w:rFonts w:ascii="黑体" w:eastAsia="黑体" w:hAnsi="黑体" w:hint="eastAsia"/>
          <w:bCs w:val="0"/>
        </w:rPr>
        <w:t>其他重要事项的情况</w:t>
      </w:r>
      <w:r>
        <w:rPr>
          <w:rStyle w:val="2Char"/>
          <w:rFonts w:ascii="Times New Roman" w:eastAsia="黑体" w:hAnsi="Times New Roman" w:cs="Times New Roman"/>
        </w:rPr>
        <w:t>说明</w:t>
      </w:r>
    </w:p>
    <w:bookmarkEnd w:id="72"/>
    <w:bookmarkEnd w:id="73"/>
    <w:p w:rsidR="00327246" w:rsidRDefault="00D33664">
      <w:pPr>
        <w:numPr>
          <w:ilvl w:val="0"/>
          <w:numId w:val="7"/>
        </w:numPr>
        <w:adjustRightInd w:val="0"/>
        <w:snapToGrid w:val="0"/>
        <w:spacing w:line="600" w:lineRule="exact"/>
        <w:ind w:firstLineChars="200" w:firstLine="643"/>
        <w:rPr>
          <w:rFonts w:ascii="楷体" w:eastAsia="楷体" w:hAnsi="楷体" w:cs="楷体"/>
          <w:b/>
          <w:bCs/>
          <w:sz w:val="32"/>
          <w:szCs w:val="32"/>
        </w:rPr>
      </w:pPr>
      <w:r>
        <w:rPr>
          <w:rFonts w:ascii="楷体" w:eastAsia="楷体" w:hAnsi="楷体" w:cs="楷体" w:hint="eastAsia"/>
          <w:b/>
          <w:color w:val="000000"/>
          <w:sz w:val="32"/>
          <w:szCs w:val="32"/>
        </w:rPr>
        <w:t>机关运行经费支出情况</w:t>
      </w:r>
    </w:p>
    <w:p w:rsidR="00327246" w:rsidRDefault="00D33664">
      <w:pPr>
        <w:adjustRightInd w:val="0"/>
        <w:snapToGrid w:val="0"/>
        <w:spacing w:line="600" w:lineRule="exact"/>
        <w:ind w:firstLine="640"/>
        <w:rPr>
          <w:rFonts w:ascii="楷体" w:eastAsia="楷体" w:hAnsi="楷体" w:cs="楷体"/>
          <w:b/>
          <w:bCs/>
          <w:sz w:val="32"/>
          <w:szCs w:val="32"/>
        </w:rPr>
      </w:pPr>
      <w:r>
        <w:rPr>
          <w:rFonts w:ascii="仿宋" w:eastAsia="仿宋" w:hAnsi="仿宋" w:cs="仿宋" w:hint="eastAsia"/>
          <w:b/>
          <w:bCs/>
          <w:color w:val="000000"/>
          <w:sz w:val="32"/>
          <w:szCs w:val="32"/>
        </w:rPr>
        <w:lastRenderedPageBreak/>
        <w:t>2020年中共四川省委办公厅</w:t>
      </w:r>
      <w:r w:rsidR="00123E38">
        <w:rPr>
          <w:rFonts w:ascii="仿宋" w:eastAsia="仿宋" w:hAnsi="仿宋" w:cs="仿宋" w:hint="eastAsia"/>
          <w:b/>
          <w:bCs/>
          <w:color w:val="000000"/>
          <w:sz w:val="32"/>
          <w:szCs w:val="32"/>
        </w:rPr>
        <w:t>幼儿园</w:t>
      </w:r>
      <w:r>
        <w:rPr>
          <w:rFonts w:ascii="仿宋" w:eastAsia="仿宋" w:hAnsi="仿宋" w:cs="仿宋" w:hint="eastAsia"/>
          <w:b/>
          <w:bCs/>
          <w:color w:val="000000"/>
          <w:sz w:val="32"/>
          <w:szCs w:val="32"/>
        </w:rPr>
        <w:t>机关运行经费支出0万元</w:t>
      </w:r>
      <w:r>
        <w:rPr>
          <w:rFonts w:ascii="仿宋" w:eastAsia="仿宋" w:hAnsi="仿宋" w:cs="仿宋" w:hint="eastAsia"/>
          <w:b/>
          <w:sz w:val="32"/>
          <w:szCs w:val="32"/>
        </w:rPr>
        <w:t>。</w:t>
      </w:r>
    </w:p>
    <w:p w:rsidR="00327246" w:rsidRDefault="00D33664">
      <w:pPr>
        <w:numPr>
          <w:ilvl w:val="0"/>
          <w:numId w:val="7"/>
        </w:numPr>
        <w:adjustRightInd w:val="0"/>
        <w:snapToGrid w:val="0"/>
        <w:spacing w:line="600" w:lineRule="exact"/>
        <w:ind w:firstLineChars="200" w:firstLine="643"/>
        <w:rPr>
          <w:rFonts w:ascii="楷体" w:eastAsia="楷体" w:hAnsi="楷体" w:cs="楷体"/>
          <w:b/>
          <w:bCs/>
          <w:sz w:val="32"/>
          <w:szCs w:val="32"/>
        </w:rPr>
      </w:pPr>
      <w:r>
        <w:rPr>
          <w:rFonts w:ascii="楷体" w:eastAsia="楷体" w:hAnsi="楷体" w:cs="楷体" w:hint="eastAsia"/>
          <w:b/>
          <w:color w:val="000000"/>
          <w:sz w:val="32"/>
          <w:szCs w:val="32"/>
        </w:rPr>
        <w:t>政府采购支出情况</w:t>
      </w:r>
    </w:p>
    <w:p w:rsidR="00327246" w:rsidRDefault="00D33664">
      <w:pPr>
        <w:adjustRightInd w:val="0"/>
        <w:snapToGrid w:val="0"/>
        <w:spacing w:line="600" w:lineRule="exact"/>
        <w:ind w:firstLine="640"/>
        <w:rPr>
          <w:rFonts w:ascii="楷体" w:eastAsia="楷体" w:hAnsi="楷体" w:cs="楷体"/>
          <w:b/>
          <w:bCs/>
          <w:sz w:val="32"/>
          <w:szCs w:val="32"/>
        </w:rPr>
      </w:pPr>
      <w:r>
        <w:rPr>
          <w:rFonts w:ascii="仿宋" w:eastAsia="仿宋" w:hAnsi="仿宋" w:cs="仿宋" w:hint="eastAsia"/>
          <w:b/>
          <w:bCs/>
          <w:color w:val="000000"/>
          <w:sz w:val="32"/>
          <w:szCs w:val="32"/>
        </w:rPr>
        <w:t>2020年，中共四川省委办公厅幼儿园政府采购支出总额0万元，其中：政府采购货物支出0万元、政府采购工程支出0万元、政府采购服务支出0万元。</w:t>
      </w:r>
    </w:p>
    <w:p w:rsidR="00327246" w:rsidRDefault="00D33664">
      <w:pPr>
        <w:numPr>
          <w:ilvl w:val="0"/>
          <w:numId w:val="7"/>
        </w:numPr>
        <w:adjustRightInd w:val="0"/>
        <w:snapToGrid w:val="0"/>
        <w:spacing w:line="600" w:lineRule="exact"/>
        <w:ind w:firstLineChars="200" w:firstLine="643"/>
        <w:rPr>
          <w:rFonts w:ascii="楷体" w:eastAsia="楷体" w:hAnsi="楷体" w:cs="楷体"/>
          <w:b/>
          <w:color w:val="000000"/>
          <w:sz w:val="32"/>
          <w:szCs w:val="32"/>
        </w:rPr>
      </w:pPr>
      <w:r>
        <w:rPr>
          <w:rFonts w:ascii="楷体" w:eastAsia="楷体" w:hAnsi="楷体" w:cs="楷体" w:hint="eastAsia"/>
          <w:b/>
          <w:color w:val="000000"/>
          <w:sz w:val="32"/>
          <w:szCs w:val="32"/>
        </w:rPr>
        <w:t>国有资产占有使用情况</w:t>
      </w:r>
    </w:p>
    <w:p w:rsidR="00327246" w:rsidRDefault="00D33664">
      <w:pPr>
        <w:adjustRightInd w:val="0"/>
        <w:snapToGrid w:val="0"/>
        <w:spacing w:line="600" w:lineRule="exact"/>
        <w:ind w:firstLine="640"/>
        <w:rPr>
          <w:rFonts w:ascii="仿宋" w:eastAsia="仿宋" w:hAnsi="仿宋" w:cs="仿宋"/>
          <w:b/>
          <w:bCs/>
          <w:color w:val="000000"/>
          <w:sz w:val="32"/>
          <w:szCs w:val="32"/>
        </w:rPr>
      </w:pPr>
      <w:r>
        <w:rPr>
          <w:rFonts w:ascii="仿宋" w:eastAsia="仿宋" w:hAnsi="仿宋" w:cs="仿宋" w:hint="eastAsia"/>
          <w:b/>
          <w:bCs/>
          <w:color w:val="000000"/>
          <w:sz w:val="32"/>
          <w:szCs w:val="32"/>
        </w:rPr>
        <w:t>截至2020年12月31日，中共四川省委办公厅幼儿园共有车辆0辆。单价50万元以上通用设备0台（套），单价100万元以上专用设备0台（套）。</w:t>
      </w:r>
    </w:p>
    <w:p w:rsidR="00327246" w:rsidRDefault="00D33664">
      <w:pPr>
        <w:numPr>
          <w:ilvl w:val="0"/>
          <w:numId w:val="7"/>
        </w:numPr>
        <w:adjustRightInd w:val="0"/>
        <w:snapToGrid w:val="0"/>
        <w:spacing w:line="600" w:lineRule="exact"/>
        <w:ind w:firstLineChars="200" w:firstLine="643"/>
        <w:rPr>
          <w:rFonts w:ascii="楷体" w:eastAsia="楷体" w:hAnsi="楷体" w:cs="楷体"/>
          <w:b/>
          <w:bCs/>
          <w:sz w:val="32"/>
          <w:szCs w:val="32"/>
        </w:rPr>
      </w:pPr>
      <w:r>
        <w:rPr>
          <w:rFonts w:ascii="楷体" w:eastAsia="楷体" w:hAnsi="楷体" w:cs="楷体" w:hint="eastAsia"/>
          <w:b/>
          <w:bCs/>
          <w:sz w:val="32"/>
          <w:szCs w:val="32"/>
        </w:rPr>
        <w:t>预算绩效管理情况</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因中共四川省委办公厅幼儿园2020年无项目经费，故该单位无预算绩效管理相关事项。</w:t>
      </w: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bookmarkStart w:id="74" w:name="_GoBack"/>
      <w:bookmarkEnd w:id="74"/>
    </w:p>
    <w:p w:rsidR="00327246" w:rsidRDefault="00D33664">
      <w:pPr>
        <w:numPr>
          <w:ilvl w:val="0"/>
          <w:numId w:val="8"/>
        </w:numPr>
        <w:adjustRightInd w:val="0"/>
        <w:snapToGrid w:val="0"/>
        <w:spacing w:line="360" w:lineRule="auto"/>
        <w:ind w:firstLineChars="150" w:firstLine="663"/>
        <w:jc w:val="center"/>
        <w:outlineLvl w:val="0"/>
        <w:rPr>
          <w:rFonts w:ascii="黑体" w:eastAsia="黑体" w:hAnsi="黑体" w:cs="黑体"/>
          <w:b/>
          <w:bCs/>
          <w:color w:val="000000"/>
          <w:sz w:val="44"/>
          <w:szCs w:val="44"/>
        </w:rPr>
      </w:pPr>
      <w:bookmarkStart w:id="75" w:name="_Toc15377225"/>
      <w:bookmarkStart w:id="76" w:name="_Toc6862"/>
      <w:bookmarkStart w:id="77" w:name="_Toc23816"/>
      <w:r>
        <w:rPr>
          <w:rFonts w:ascii="黑体" w:eastAsia="黑体" w:hAnsi="黑体" w:cs="黑体" w:hint="eastAsia"/>
          <w:b/>
          <w:bCs/>
          <w:color w:val="000000"/>
          <w:sz w:val="44"/>
          <w:szCs w:val="44"/>
        </w:rPr>
        <w:t>名</w:t>
      </w:r>
      <w:r>
        <w:rPr>
          <w:rStyle w:val="1Char"/>
          <w:rFonts w:ascii="黑体" w:eastAsia="黑体" w:hAnsi="黑体" w:cs="黑体" w:hint="eastAsia"/>
        </w:rPr>
        <w:t>词解释</w:t>
      </w:r>
      <w:bookmarkEnd w:id="75"/>
      <w:bookmarkEnd w:id="76"/>
      <w:bookmarkEnd w:id="77"/>
    </w:p>
    <w:p w:rsidR="00327246" w:rsidRDefault="00D33664">
      <w:pPr>
        <w:adjustRightInd w:val="0"/>
        <w:snapToGrid w:val="0"/>
        <w:spacing w:line="600" w:lineRule="exact"/>
        <w:ind w:firstLineChars="200" w:firstLine="643"/>
        <w:rPr>
          <w:rFonts w:ascii="仿宋" w:eastAsia="仿宋" w:hAnsi="仿宋" w:cs="仿宋"/>
          <w:b/>
          <w:bCs/>
          <w:sz w:val="32"/>
          <w:szCs w:val="32"/>
        </w:rPr>
      </w:pPr>
      <w:bookmarkStart w:id="78" w:name="_Toc15377226"/>
      <w:r>
        <w:rPr>
          <w:rFonts w:ascii="仿宋" w:eastAsia="仿宋" w:hAnsi="仿宋" w:cs="仿宋" w:hint="eastAsia"/>
          <w:b/>
          <w:bCs/>
          <w:sz w:val="32"/>
          <w:szCs w:val="32"/>
        </w:rPr>
        <w:t xml:space="preserve">1.财政拨款收入：指省级财政当年拨付的资金。　</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2.基本支出：指为保障机构正常运转、完成日常工作任务而发生的人员支出和公用支出。</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 xml:space="preserve">3.项目支出：指在基本支出之外为完成特定行政任务和事业发展目标所发生的支出。　</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4.“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支出。</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5.一般公共服务支出（类）党委办公厅（室）及相关机构事务（款）行政运行（项）：反映行政单位（包括实行公务员管理的事业单位）的基本支出。</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6.一般公共服务支出（类）党委办公厅（室）及相关机构事务（款）事业运行（项）：反映事业单位的基本支出，不包括行政单位（包括实行公务员管理的事业单位）后勤服务中心、医务室等附属事业单位。</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lastRenderedPageBreak/>
        <w:t>7.教育支出（类）普通教育（款）学前教育（项）：反映各部门举办的学前教育支出。</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8.社会保障和就业支出（类）行政事业单位养老支出（款）机关事业单位基本养老保险缴费支出（项）：反映机关事业单位实施养老保险制度由单位缴纳的基本养老保险费支出。</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9.卫生健康支出（类）行政事业单位医疗（款）行政单位医疗（项）：反映财政部安排的行政单位（包括实行公务员管理的事业单位）基本医疗保险缴费经费。</w:t>
      </w:r>
    </w:p>
    <w:p w:rsidR="00327246" w:rsidRDefault="00D33664">
      <w:pPr>
        <w:adjustRightInd w:val="0"/>
        <w:snapToGrid w:val="0"/>
        <w:spacing w:line="600" w:lineRule="exact"/>
        <w:ind w:firstLineChars="200" w:firstLine="643"/>
        <w:rPr>
          <w:rFonts w:ascii="仿宋" w:eastAsia="仿宋" w:hAnsi="仿宋" w:cs="仿宋"/>
          <w:b/>
          <w:bCs/>
          <w:sz w:val="32"/>
          <w:szCs w:val="32"/>
        </w:rPr>
      </w:pPr>
      <w:r>
        <w:rPr>
          <w:rFonts w:ascii="仿宋" w:eastAsia="仿宋" w:hAnsi="仿宋" w:cs="仿宋" w:hint="eastAsia"/>
          <w:b/>
          <w:bCs/>
          <w:sz w:val="32"/>
          <w:szCs w:val="32"/>
        </w:rPr>
        <w:t>10.住房保障支出（类）住房改革支出（款）住房公积金（项）：反映行政事业单位按人力资源和社会保障部、财政部规定的基本工资和津贴补贴以及规定比例为职工缴纳的住房公积金。</w:t>
      </w: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600" w:lineRule="exact"/>
        <w:ind w:firstLineChars="200" w:firstLine="643"/>
        <w:rPr>
          <w:rFonts w:ascii="仿宋" w:eastAsia="仿宋" w:hAnsi="仿宋" w:cs="仿宋"/>
          <w:b/>
          <w:bCs/>
          <w:sz w:val="32"/>
          <w:szCs w:val="32"/>
        </w:rPr>
      </w:pPr>
    </w:p>
    <w:p w:rsidR="00327246" w:rsidRDefault="00327246">
      <w:pPr>
        <w:adjustRightInd w:val="0"/>
        <w:snapToGrid w:val="0"/>
        <w:spacing w:line="360" w:lineRule="auto"/>
        <w:jc w:val="center"/>
        <w:outlineLvl w:val="0"/>
        <w:rPr>
          <w:rStyle w:val="1Char"/>
        </w:rPr>
      </w:pPr>
    </w:p>
    <w:p w:rsidR="00327246" w:rsidRDefault="00327246">
      <w:pPr>
        <w:adjustRightInd w:val="0"/>
        <w:snapToGrid w:val="0"/>
        <w:spacing w:line="360" w:lineRule="auto"/>
        <w:jc w:val="center"/>
        <w:outlineLvl w:val="0"/>
        <w:rPr>
          <w:rStyle w:val="1Char"/>
        </w:rPr>
      </w:pPr>
    </w:p>
    <w:p w:rsidR="00327246" w:rsidRDefault="00327246">
      <w:pPr>
        <w:adjustRightInd w:val="0"/>
        <w:snapToGrid w:val="0"/>
        <w:spacing w:line="360" w:lineRule="auto"/>
        <w:jc w:val="center"/>
        <w:outlineLvl w:val="0"/>
        <w:rPr>
          <w:rStyle w:val="1Char"/>
        </w:rPr>
      </w:pPr>
    </w:p>
    <w:p w:rsidR="00327246" w:rsidRDefault="00327246">
      <w:pPr>
        <w:adjustRightInd w:val="0"/>
        <w:snapToGrid w:val="0"/>
        <w:spacing w:line="360" w:lineRule="auto"/>
        <w:jc w:val="center"/>
        <w:outlineLvl w:val="0"/>
        <w:rPr>
          <w:rStyle w:val="1Char"/>
        </w:rPr>
      </w:pPr>
    </w:p>
    <w:p w:rsidR="00327246" w:rsidRDefault="00327246">
      <w:pPr>
        <w:adjustRightInd w:val="0"/>
        <w:snapToGrid w:val="0"/>
        <w:spacing w:line="360" w:lineRule="auto"/>
        <w:outlineLvl w:val="0"/>
        <w:rPr>
          <w:rStyle w:val="1Char"/>
        </w:rPr>
      </w:pPr>
    </w:p>
    <w:p w:rsidR="00327246" w:rsidRDefault="00327246">
      <w:pPr>
        <w:adjustRightInd w:val="0"/>
        <w:snapToGrid w:val="0"/>
        <w:spacing w:line="360" w:lineRule="auto"/>
        <w:outlineLvl w:val="0"/>
        <w:rPr>
          <w:rStyle w:val="1Char"/>
        </w:rPr>
      </w:pPr>
    </w:p>
    <w:p w:rsidR="00327246" w:rsidRDefault="00D33664">
      <w:pPr>
        <w:numPr>
          <w:ilvl w:val="0"/>
          <w:numId w:val="8"/>
        </w:numPr>
        <w:adjustRightInd w:val="0"/>
        <w:snapToGrid w:val="0"/>
        <w:spacing w:line="360" w:lineRule="auto"/>
        <w:ind w:firstLineChars="150" w:firstLine="663"/>
        <w:jc w:val="center"/>
        <w:outlineLvl w:val="0"/>
        <w:rPr>
          <w:rStyle w:val="1Char"/>
          <w:rFonts w:eastAsia="黑体"/>
        </w:rPr>
      </w:pPr>
      <w:bookmarkStart w:id="79" w:name="_Toc4508"/>
      <w:bookmarkStart w:id="80" w:name="_Toc12612"/>
      <w:r>
        <w:rPr>
          <w:rStyle w:val="1Char"/>
          <w:rFonts w:eastAsia="黑体" w:hint="eastAsia"/>
        </w:rPr>
        <w:lastRenderedPageBreak/>
        <w:t>附件</w:t>
      </w:r>
      <w:bookmarkEnd w:id="79"/>
      <w:bookmarkEnd w:id="80"/>
    </w:p>
    <w:p w:rsidR="00327246" w:rsidRDefault="00D33664">
      <w:pPr>
        <w:adjustRightInd w:val="0"/>
        <w:snapToGrid w:val="0"/>
        <w:spacing w:line="600" w:lineRule="exact"/>
        <w:ind w:firstLineChars="200" w:firstLine="643"/>
        <w:rPr>
          <w:rFonts w:ascii="仿宋" w:eastAsia="仿宋" w:hAnsi="仿宋" w:cs="仿宋"/>
          <w:b/>
          <w:color w:val="000000"/>
          <w:kern w:val="0"/>
          <w:sz w:val="32"/>
          <w:szCs w:val="32"/>
        </w:rPr>
      </w:pPr>
      <w:r>
        <w:rPr>
          <w:rFonts w:ascii="仿宋" w:eastAsia="仿宋" w:hAnsi="仿宋" w:cs="仿宋" w:hint="eastAsia"/>
          <w:b/>
          <w:color w:val="000000"/>
          <w:kern w:val="0"/>
          <w:sz w:val="32"/>
          <w:szCs w:val="32"/>
        </w:rPr>
        <w:t>无</w:t>
      </w:r>
    </w:p>
    <w:p w:rsidR="00327246" w:rsidRDefault="00327246">
      <w:pPr>
        <w:adjustRightInd w:val="0"/>
        <w:snapToGrid w:val="0"/>
        <w:spacing w:line="360" w:lineRule="auto"/>
        <w:rPr>
          <w:rFonts w:eastAsia="方正仿宋简体"/>
          <w:b/>
          <w:color w:val="000000"/>
          <w:kern w:val="0"/>
          <w:sz w:val="32"/>
          <w:szCs w:val="32"/>
        </w:rPr>
        <w:sectPr w:rsidR="00327246">
          <w:footerReference w:type="default" r:id="rId23"/>
          <w:pgSz w:w="11906" w:h="16838"/>
          <w:pgMar w:top="1440" w:right="1800" w:bottom="1440" w:left="1800" w:header="851" w:footer="992" w:gutter="0"/>
          <w:pgNumType w:start="1"/>
          <w:cols w:space="425"/>
          <w:docGrid w:type="lines" w:linePitch="312"/>
        </w:sectPr>
      </w:pPr>
    </w:p>
    <w:p w:rsidR="00327246" w:rsidRDefault="00D33664">
      <w:pPr>
        <w:adjustRightInd w:val="0"/>
        <w:snapToGrid w:val="0"/>
        <w:spacing w:line="600" w:lineRule="exact"/>
        <w:jc w:val="center"/>
        <w:outlineLvl w:val="0"/>
        <w:rPr>
          <w:rStyle w:val="1Char"/>
          <w:rFonts w:eastAsia="黑体"/>
        </w:rPr>
      </w:pPr>
      <w:bookmarkStart w:id="81" w:name="_Toc22133"/>
      <w:bookmarkStart w:id="82" w:name="_Toc3960"/>
      <w:r>
        <w:rPr>
          <w:rFonts w:eastAsia="黑体"/>
          <w:b/>
          <w:bCs/>
          <w:color w:val="000000"/>
          <w:sz w:val="44"/>
          <w:szCs w:val="44"/>
        </w:rPr>
        <w:lastRenderedPageBreak/>
        <w:t>第</w:t>
      </w:r>
      <w:r>
        <w:rPr>
          <w:rStyle w:val="1Char"/>
          <w:rFonts w:eastAsia="黑体"/>
        </w:rPr>
        <w:t>五部分</w:t>
      </w:r>
      <w:r>
        <w:rPr>
          <w:rStyle w:val="1Char"/>
          <w:rFonts w:eastAsia="黑体"/>
        </w:rPr>
        <w:t xml:space="preserve"> </w:t>
      </w:r>
      <w:r>
        <w:rPr>
          <w:rStyle w:val="1Char"/>
          <w:rFonts w:eastAsia="黑体"/>
        </w:rPr>
        <w:t>附表</w:t>
      </w:r>
      <w:bookmarkEnd w:id="78"/>
      <w:bookmarkEnd w:id="81"/>
      <w:bookmarkEnd w:id="82"/>
    </w:p>
    <w:p w:rsidR="00327246" w:rsidRDefault="00D33664">
      <w:pPr>
        <w:pStyle w:val="2"/>
        <w:adjustRightInd w:val="0"/>
        <w:snapToGrid w:val="0"/>
        <w:spacing w:line="600" w:lineRule="exact"/>
        <w:rPr>
          <w:rFonts w:ascii="仿宋" w:eastAsia="仿宋" w:hAnsi="仿宋" w:cs="仿宋"/>
          <w:color w:val="000000"/>
        </w:rPr>
      </w:pPr>
      <w:bookmarkStart w:id="83" w:name="_Toc27919"/>
      <w:bookmarkStart w:id="84" w:name="_Toc6419"/>
      <w:r>
        <w:rPr>
          <w:rFonts w:ascii="仿宋" w:eastAsia="仿宋" w:hAnsi="仿宋" w:cs="仿宋" w:hint="eastAsia"/>
          <w:color w:val="000000"/>
        </w:rPr>
        <w:t>一、收</w:t>
      </w:r>
      <w:r>
        <w:rPr>
          <w:rStyle w:val="2Char"/>
          <w:rFonts w:ascii="仿宋" w:eastAsia="仿宋" w:hAnsi="仿宋" w:cs="仿宋" w:hint="eastAsia"/>
          <w:b/>
          <w:bCs/>
        </w:rPr>
        <w:t>入支出决算总表</w:t>
      </w:r>
      <w:bookmarkEnd w:id="83"/>
      <w:bookmarkEnd w:id="84"/>
    </w:p>
    <w:p w:rsidR="00327246" w:rsidRDefault="00D33664">
      <w:pPr>
        <w:pStyle w:val="2"/>
        <w:adjustRightInd w:val="0"/>
        <w:snapToGrid w:val="0"/>
        <w:spacing w:line="600" w:lineRule="exact"/>
        <w:rPr>
          <w:rFonts w:ascii="仿宋" w:eastAsia="仿宋" w:hAnsi="仿宋" w:cs="仿宋"/>
          <w:color w:val="000000"/>
        </w:rPr>
      </w:pPr>
      <w:bookmarkStart w:id="85" w:name="_Toc5888"/>
      <w:bookmarkStart w:id="86" w:name="_Toc12493"/>
      <w:r>
        <w:rPr>
          <w:rFonts w:ascii="仿宋" w:eastAsia="仿宋" w:hAnsi="仿宋" w:cs="仿宋" w:hint="eastAsia"/>
          <w:color w:val="000000"/>
        </w:rPr>
        <w:t>二、收</w:t>
      </w:r>
      <w:r>
        <w:rPr>
          <w:rStyle w:val="2Char"/>
          <w:rFonts w:ascii="仿宋" w:eastAsia="仿宋" w:hAnsi="仿宋" w:cs="仿宋" w:hint="eastAsia"/>
          <w:b/>
          <w:bCs/>
        </w:rPr>
        <w:t>入决算表</w:t>
      </w:r>
      <w:bookmarkEnd w:id="85"/>
      <w:bookmarkEnd w:id="86"/>
    </w:p>
    <w:p w:rsidR="00327246" w:rsidRDefault="00D33664">
      <w:pPr>
        <w:pStyle w:val="2"/>
        <w:adjustRightInd w:val="0"/>
        <w:snapToGrid w:val="0"/>
        <w:spacing w:line="600" w:lineRule="exact"/>
        <w:rPr>
          <w:rFonts w:ascii="仿宋" w:eastAsia="仿宋" w:hAnsi="仿宋" w:cs="仿宋"/>
          <w:color w:val="000000"/>
        </w:rPr>
      </w:pPr>
      <w:bookmarkStart w:id="87" w:name="_Toc14432"/>
      <w:bookmarkStart w:id="88" w:name="_Toc10347"/>
      <w:r>
        <w:rPr>
          <w:rStyle w:val="2Char"/>
          <w:rFonts w:ascii="仿宋" w:eastAsia="仿宋" w:hAnsi="仿宋" w:cs="仿宋" w:hint="eastAsia"/>
          <w:b/>
          <w:bCs/>
        </w:rPr>
        <w:t>三、</w:t>
      </w:r>
      <w:r>
        <w:rPr>
          <w:rFonts w:ascii="仿宋" w:eastAsia="仿宋" w:hAnsi="仿宋" w:cs="仿宋" w:hint="eastAsia"/>
          <w:color w:val="000000"/>
        </w:rPr>
        <w:t>支</w:t>
      </w:r>
      <w:r>
        <w:rPr>
          <w:rStyle w:val="2Char"/>
          <w:rFonts w:ascii="仿宋" w:eastAsia="仿宋" w:hAnsi="仿宋" w:cs="仿宋" w:hint="eastAsia"/>
          <w:b/>
          <w:bCs/>
        </w:rPr>
        <w:t>出决算表</w:t>
      </w:r>
      <w:bookmarkEnd w:id="87"/>
      <w:bookmarkEnd w:id="88"/>
    </w:p>
    <w:p w:rsidR="00327246" w:rsidRDefault="00D33664">
      <w:pPr>
        <w:pStyle w:val="2"/>
        <w:adjustRightInd w:val="0"/>
        <w:snapToGrid w:val="0"/>
        <w:spacing w:line="600" w:lineRule="exact"/>
        <w:rPr>
          <w:rFonts w:ascii="仿宋" w:eastAsia="仿宋" w:hAnsi="仿宋" w:cs="仿宋"/>
          <w:color w:val="000000"/>
        </w:rPr>
      </w:pPr>
      <w:bookmarkStart w:id="89" w:name="_Toc32089"/>
      <w:bookmarkStart w:id="90" w:name="_Toc12255"/>
      <w:r>
        <w:rPr>
          <w:rStyle w:val="2Char"/>
          <w:rFonts w:ascii="仿宋" w:eastAsia="仿宋" w:hAnsi="仿宋" w:cs="仿宋" w:hint="eastAsia"/>
          <w:b/>
          <w:bCs/>
        </w:rPr>
        <w:t>四、</w:t>
      </w:r>
      <w:r>
        <w:rPr>
          <w:rFonts w:ascii="仿宋" w:eastAsia="仿宋" w:hAnsi="仿宋" w:cs="仿宋" w:hint="eastAsia"/>
          <w:color w:val="000000"/>
        </w:rPr>
        <w:t>财</w:t>
      </w:r>
      <w:r>
        <w:rPr>
          <w:rStyle w:val="2Char"/>
          <w:rFonts w:ascii="仿宋" w:eastAsia="仿宋" w:hAnsi="仿宋" w:cs="仿宋" w:hint="eastAsia"/>
          <w:b/>
          <w:bCs/>
        </w:rPr>
        <w:t>政拨款收入支出决算总表</w:t>
      </w:r>
      <w:bookmarkEnd w:id="89"/>
      <w:bookmarkEnd w:id="90"/>
    </w:p>
    <w:p w:rsidR="00327246" w:rsidRDefault="00D33664">
      <w:pPr>
        <w:pStyle w:val="2"/>
        <w:adjustRightInd w:val="0"/>
        <w:snapToGrid w:val="0"/>
        <w:spacing w:line="600" w:lineRule="exact"/>
        <w:rPr>
          <w:rFonts w:ascii="仿宋" w:eastAsia="仿宋" w:hAnsi="仿宋" w:cs="仿宋"/>
          <w:color w:val="000000"/>
        </w:rPr>
      </w:pPr>
      <w:bookmarkStart w:id="91" w:name="_Toc24337"/>
      <w:bookmarkStart w:id="92" w:name="_Toc3718"/>
      <w:r>
        <w:rPr>
          <w:rStyle w:val="2Char"/>
          <w:rFonts w:ascii="仿宋" w:eastAsia="仿宋" w:hAnsi="仿宋" w:cs="仿宋" w:hint="eastAsia"/>
          <w:b/>
          <w:bCs/>
        </w:rPr>
        <w:t>五、</w:t>
      </w:r>
      <w:r>
        <w:rPr>
          <w:rFonts w:ascii="仿宋" w:eastAsia="仿宋" w:hAnsi="仿宋" w:cs="仿宋" w:hint="eastAsia"/>
          <w:color w:val="000000"/>
        </w:rPr>
        <w:t>财</w:t>
      </w:r>
      <w:r>
        <w:rPr>
          <w:rStyle w:val="2Char"/>
          <w:rFonts w:ascii="仿宋" w:eastAsia="仿宋" w:hAnsi="仿宋" w:cs="仿宋" w:hint="eastAsia"/>
          <w:b/>
          <w:bCs/>
        </w:rPr>
        <w:t>政拨款支出决算明细表</w:t>
      </w:r>
      <w:bookmarkEnd w:id="91"/>
      <w:bookmarkEnd w:id="92"/>
    </w:p>
    <w:p w:rsidR="00327246" w:rsidRDefault="00D33664">
      <w:pPr>
        <w:pStyle w:val="2"/>
        <w:adjustRightInd w:val="0"/>
        <w:snapToGrid w:val="0"/>
        <w:spacing w:line="600" w:lineRule="exact"/>
        <w:rPr>
          <w:rFonts w:ascii="仿宋" w:eastAsia="仿宋" w:hAnsi="仿宋" w:cs="仿宋"/>
          <w:color w:val="000000"/>
        </w:rPr>
      </w:pPr>
      <w:bookmarkStart w:id="93" w:name="_Toc25652"/>
      <w:bookmarkStart w:id="94" w:name="_Toc5051"/>
      <w:r>
        <w:rPr>
          <w:rStyle w:val="2Char"/>
          <w:rFonts w:ascii="仿宋" w:eastAsia="仿宋" w:hAnsi="仿宋" w:cs="仿宋" w:hint="eastAsia"/>
          <w:b/>
          <w:bCs/>
        </w:rPr>
        <w:t>六、</w:t>
      </w:r>
      <w:r>
        <w:rPr>
          <w:rFonts w:ascii="仿宋" w:eastAsia="仿宋" w:hAnsi="仿宋" w:cs="仿宋" w:hint="eastAsia"/>
          <w:color w:val="000000"/>
        </w:rPr>
        <w:t>一</w:t>
      </w:r>
      <w:r>
        <w:rPr>
          <w:rStyle w:val="2Char"/>
          <w:rFonts w:ascii="仿宋" w:eastAsia="仿宋" w:hAnsi="仿宋" w:cs="仿宋" w:hint="eastAsia"/>
          <w:b/>
          <w:bCs/>
        </w:rPr>
        <w:t>般公共预算财政拨款支出决算表</w:t>
      </w:r>
      <w:bookmarkEnd w:id="93"/>
      <w:bookmarkEnd w:id="94"/>
    </w:p>
    <w:p w:rsidR="00327246" w:rsidRDefault="00D33664">
      <w:pPr>
        <w:pStyle w:val="2"/>
        <w:adjustRightInd w:val="0"/>
        <w:snapToGrid w:val="0"/>
        <w:spacing w:line="600" w:lineRule="exact"/>
        <w:rPr>
          <w:rFonts w:ascii="仿宋" w:eastAsia="仿宋" w:hAnsi="仿宋" w:cs="仿宋"/>
          <w:color w:val="000000"/>
        </w:rPr>
      </w:pPr>
      <w:bookmarkStart w:id="95" w:name="_Toc24920"/>
      <w:bookmarkStart w:id="96" w:name="_Toc24592"/>
      <w:r>
        <w:rPr>
          <w:rStyle w:val="2Char"/>
          <w:rFonts w:ascii="仿宋" w:eastAsia="仿宋" w:hAnsi="仿宋" w:cs="仿宋" w:hint="eastAsia"/>
          <w:b/>
          <w:bCs/>
        </w:rPr>
        <w:t>七、</w:t>
      </w:r>
      <w:r>
        <w:rPr>
          <w:rFonts w:ascii="仿宋" w:eastAsia="仿宋" w:hAnsi="仿宋" w:cs="仿宋" w:hint="eastAsia"/>
          <w:color w:val="000000"/>
        </w:rPr>
        <w:t>一</w:t>
      </w:r>
      <w:r>
        <w:rPr>
          <w:rStyle w:val="2Char"/>
          <w:rFonts w:ascii="仿宋" w:eastAsia="仿宋" w:hAnsi="仿宋" w:cs="仿宋" w:hint="eastAsia"/>
          <w:b/>
          <w:bCs/>
        </w:rPr>
        <w:t>般公共预算财政拨款支出决算明细表</w:t>
      </w:r>
      <w:bookmarkEnd w:id="95"/>
      <w:bookmarkEnd w:id="96"/>
    </w:p>
    <w:p w:rsidR="00327246" w:rsidRDefault="00D33664">
      <w:pPr>
        <w:pStyle w:val="2"/>
        <w:adjustRightInd w:val="0"/>
        <w:snapToGrid w:val="0"/>
        <w:spacing w:line="600" w:lineRule="exact"/>
        <w:rPr>
          <w:rFonts w:ascii="仿宋" w:eastAsia="仿宋" w:hAnsi="仿宋" w:cs="仿宋"/>
          <w:color w:val="000000"/>
        </w:rPr>
      </w:pPr>
      <w:bookmarkStart w:id="97" w:name="_Toc25080"/>
      <w:bookmarkStart w:id="98" w:name="_Toc26851"/>
      <w:r>
        <w:rPr>
          <w:rStyle w:val="2Char"/>
          <w:rFonts w:ascii="仿宋" w:eastAsia="仿宋" w:hAnsi="仿宋" w:cs="仿宋" w:hint="eastAsia"/>
          <w:b/>
          <w:bCs/>
        </w:rPr>
        <w:t>八、</w:t>
      </w:r>
      <w:r>
        <w:rPr>
          <w:rFonts w:ascii="仿宋" w:eastAsia="仿宋" w:hAnsi="仿宋" w:cs="仿宋" w:hint="eastAsia"/>
          <w:color w:val="000000"/>
        </w:rPr>
        <w:t>一</w:t>
      </w:r>
      <w:r>
        <w:rPr>
          <w:rStyle w:val="2Char"/>
          <w:rFonts w:ascii="仿宋" w:eastAsia="仿宋" w:hAnsi="仿宋" w:cs="仿宋" w:hint="eastAsia"/>
          <w:b/>
          <w:bCs/>
        </w:rPr>
        <w:t>般公共预算财政拨款基本支出决算表</w:t>
      </w:r>
      <w:bookmarkEnd w:id="97"/>
      <w:bookmarkEnd w:id="98"/>
    </w:p>
    <w:p w:rsidR="00327246" w:rsidRDefault="00D33664">
      <w:pPr>
        <w:pStyle w:val="2"/>
        <w:adjustRightInd w:val="0"/>
        <w:snapToGrid w:val="0"/>
        <w:spacing w:line="600" w:lineRule="exact"/>
        <w:rPr>
          <w:rFonts w:ascii="仿宋" w:eastAsia="仿宋" w:hAnsi="仿宋" w:cs="仿宋"/>
          <w:color w:val="000000"/>
        </w:rPr>
      </w:pPr>
      <w:bookmarkStart w:id="99" w:name="_Toc24289"/>
      <w:bookmarkStart w:id="100" w:name="_Toc16356"/>
      <w:r>
        <w:rPr>
          <w:rStyle w:val="2Char"/>
          <w:rFonts w:ascii="仿宋" w:eastAsia="仿宋" w:hAnsi="仿宋" w:cs="仿宋" w:hint="eastAsia"/>
          <w:b/>
          <w:bCs/>
        </w:rPr>
        <w:t>九、</w:t>
      </w:r>
      <w:r>
        <w:rPr>
          <w:rFonts w:ascii="仿宋" w:eastAsia="仿宋" w:hAnsi="仿宋" w:cs="仿宋" w:hint="eastAsia"/>
          <w:color w:val="000000"/>
        </w:rPr>
        <w:t>一</w:t>
      </w:r>
      <w:r>
        <w:rPr>
          <w:rStyle w:val="2Char"/>
          <w:rFonts w:ascii="仿宋" w:eastAsia="仿宋" w:hAnsi="仿宋" w:cs="仿宋" w:hint="eastAsia"/>
          <w:b/>
          <w:bCs/>
        </w:rPr>
        <w:t>般公共预算财政拨款项目支出决算表</w:t>
      </w:r>
      <w:bookmarkEnd w:id="99"/>
      <w:bookmarkEnd w:id="100"/>
    </w:p>
    <w:p w:rsidR="00327246" w:rsidRDefault="00D33664">
      <w:pPr>
        <w:pStyle w:val="2"/>
        <w:adjustRightInd w:val="0"/>
        <w:snapToGrid w:val="0"/>
        <w:spacing w:line="600" w:lineRule="exact"/>
        <w:rPr>
          <w:rFonts w:ascii="仿宋" w:eastAsia="仿宋" w:hAnsi="仿宋" w:cs="仿宋"/>
          <w:color w:val="000000"/>
        </w:rPr>
      </w:pPr>
      <w:bookmarkStart w:id="101" w:name="_Toc30460"/>
      <w:bookmarkStart w:id="102" w:name="_Toc30116"/>
      <w:r>
        <w:rPr>
          <w:rStyle w:val="2Char"/>
          <w:rFonts w:ascii="仿宋" w:eastAsia="仿宋" w:hAnsi="仿宋" w:cs="仿宋" w:hint="eastAsia"/>
          <w:b/>
          <w:bCs/>
        </w:rPr>
        <w:t>十、</w:t>
      </w:r>
      <w:r>
        <w:rPr>
          <w:rFonts w:ascii="仿宋" w:eastAsia="仿宋" w:hAnsi="仿宋" w:cs="仿宋" w:hint="eastAsia"/>
          <w:color w:val="000000"/>
        </w:rPr>
        <w:t>一</w:t>
      </w:r>
      <w:r>
        <w:rPr>
          <w:rStyle w:val="2Char"/>
          <w:rFonts w:ascii="仿宋" w:eastAsia="仿宋" w:hAnsi="仿宋" w:cs="仿宋" w:hint="eastAsia"/>
          <w:b/>
          <w:bCs/>
        </w:rPr>
        <w:t>般公共预算财政拨款“三公”经费支出决算表</w:t>
      </w:r>
      <w:bookmarkEnd w:id="101"/>
      <w:bookmarkEnd w:id="102"/>
    </w:p>
    <w:p w:rsidR="00327246" w:rsidRDefault="00D33664">
      <w:pPr>
        <w:pStyle w:val="2"/>
        <w:adjustRightInd w:val="0"/>
        <w:snapToGrid w:val="0"/>
        <w:spacing w:line="600" w:lineRule="exact"/>
        <w:rPr>
          <w:rFonts w:ascii="仿宋" w:eastAsia="仿宋" w:hAnsi="仿宋" w:cs="仿宋"/>
          <w:color w:val="000000"/>
        </w:rPr>
      </w:pPr>
      <w:bookmarkStart w:id="103" w:name="_Toc8348"/>
      <w:bookmarkStart w:id="104" w:name="_Toc13967"/>
      <w:r>
        <w:rPr>
          <w:rStyle w:val="2Char"/>
          <w:rFonts w:ascii="仿宋" w:eastAsia="仿宋" w:hAnsi="仿宋" w:cs="仿宋" w:hint="eastAsia"/>
          <w:b/>
          <w:bCs/>
        </w:rPr>
        <w:t>十一、</w:t>
      </w:r>
      <w:r>
        <w:rPr>
          <w:rFonts w:ascii="仿宋" w:eastAsia="仿宋" w:hAnsi="仿宋" w:cs="仿宋" w:hint="eastAsia"/>
          <w:color w:val="000000"/>
        </w:rPr>
        <w:t>政</w:t>
      </w:r>
      <w:r>
        <w:rPr>
          <w:rStyle w:val="2Char"/>
          <w:rFonts w:ascii="仿宋" w:eastAsia="仿宋" w:hAnsi="仿宋" w:cs="仿宋" w:hint="eastAsia"/>
          <w:b/>
          <w:bCs/>
        </w:rPr>
        <w:t>府性基金预算财政拨款收入支出决算表</w:t>
      </w:r>
      <w:bookmarkEnd w:id="103"/>
      <w:bookmarkEnd w:id="104"/>
    </w:p>
    <w:p w:rsidR="00327246" w:rsidRDefault="00D33664">
      <w:pPr>
        <w:pStyle w:val="2"/>
        <w:adjustRightInd w:val="0"/>
        <w:snapToGrid w:val="0"/>
        <w:spacing w:line="600" w:lineRule="exact"/>
        <w:rPr>
          <w:rFonts w:ascii="仿宋" w:eastAsia="仿宋" w:hAnsi="仿宋" w:cs="仿宋"/>
          <w:color w:val="000000"/>
        </w:rPr>
      </w:pPr>
      <w:bookmarkStart w:id="105" w:name="_Toc12951"/>
      <w:bookmarkStart w:id="106" w:name="_Toc22014"/>
      <w:r>
        <w:rPr>
          <w:rStyle w:val="2Char"/>
          <w:rFonts w:ascii="仿宋" w:eastAsia="仿宋" w:hAnsi="仿宋" w:cs="仿宋" w:hint="eastAsia"/>
          <w:b/>
          <w:bCs/>
        </w:rPr>
        <w:t>十二、</w:t>
      </w:r>
      <w:r>
        <w:rPr>
          <w:rFonts w:ascii="仿宋" w:eastAsia="仿宋" w:hAnsi="仿宋" w:cs="仿宋" w:hint="eastAsia"/>
          <w:color w:val="000000"/>
        </w:rPr>
        <w:t>政</w:t>
      </w:r>
      <w:r>
        <w:rPr>
          <w:rStyle w:val="2Char"/>
          <w:rFonts w:ascii="仿宋" w:eastAsia="仿宋" w:hAnsi="仿宋" w:cs="仿宋" w:hint="eastAsia"/>
          <w:b/>
          <w:bCs/>
        </w:rPr>
        <w:t>府性基金预算财政拨款“三公”经费支出决算表</w:t>
      </w:r>
      <w:bookmarkEnd w:id="105"/>
      <w:bookmarkEnd w:id="106"/>
    </w:p>
    <w:p w:rsidR="00327246" w:rsidRDefault="00D33664">
      <w:pPr>
        <w:pStyle w:val="2"/>
        <w:adjustRightInd w:val="0"/>
        <w:snapToGrid w:val="0"/>
        <w:spacing w:line="600" w:lineRule="exact"/>
        <w:rPr>
          <w:rStyle w:val="2Char"/>
          <w:rFonts w:ascii="仿宋" w:eastAsia="仿宋" w:hAnsi="仿宋" w:cs="仿宋"/>
          <w:b/>
          <w:bCs/>
        </w:rPr>
      </w:pPr>
      <w:bookmarkStart w:id="107" w:name="_Toc25090"/>
      <w:bookmarkStart w:id="108" w:name="_Toc30477"/>
      <w:r>
        <w:rPr>
          <w:rStyle w:val="2Char"/>
          <w:rFonts w:ascii="仿宋" w:eastAsia="仿宋" w:hAnsi="仿宋" w:cs="仿宋" w:hint="eastAsia"/>
          <w:b/>
          <w:bCs/>
        </w:rPr>
        <w:t>十三、</w:t>
      </w:r>
      <w:bookmarkEnd w:id="107"/>
      <w:r>
        <w:rPr>
          <w:rFonts w:ascii="仿宋" w:eastAsia="仿宋" w:hAnsi="仿宋" w:hint="eastAsia"/>
          <w:bCs w:val="0"/>
          <w:color w:val="000000"/>
        </w:rPr>
        <w:t>国</w:t>
      </w:r>
      <w:r>
        <w:rPr>
          <w:rStyle w:val="2Char"/>
          <w:rFonts w:ascii="仿宋" w:eastAsia="仿宋" w:hAnsi="仿宋" w:hint="eastAsia"/>
          <w:b/>
        </w:rPr>
        <w:t>有资本经营预算财政拨款收入支出决算表</w:t>
      </w:r>
      <w:bookmarkEnd w:id="108"/>
    </w:p>
    <w:p w:rsidR="00327246" w:rsidRDefault="00D33664">
      <w:pPr>
        <w:pStyle w:val="2"/>
        <w:adjustRightInd w:val="0"/>
        <w:snapToGrid w:val="0"/>
        <w:spacing w:line="600" w:lineRule="exact"/>
        <w:rPr>
          <w:rStyle w:val="2Char"/>
          <w:rFonts w:ascii="仿宋" w:eastAsia="仿宋" w:hAnsi="仿宋" w:cs="仿宋"/>
          <w:b/>
          <w:bCs/>
        </w:rPr>
      </w:pPr>
      <w:bookmarkStart w:id="109" w:name="_Toc25592"/>
      <w:r>
        <w:rPr>
          <w:rStyle w:val="2Char"/>
          <w:rFonts w:ascii="仿宋" w:eastAsia="仿宋" w:hAnsi="仿宋" w:cs="仿宋" w:hint="eastAsia"/>
          <w:b/>
          <w:bCs/>
        </w:rPr>
        <w:t>十四、</w:t>
      </w:r>
      <w:r>
        <w:rPr>
          <w:rStyle w:val="2Char"/>
          <w:rFonts w:ascii="仿宋" w:eastAsia="仿宋" w:hAnsi="仿宋" w:hint="eastAsia"/>
          <w:b/>
          <w:bCs/>
        </w:rPr>
        <w:t>国有资本经营预算财政拨款支出决算表</w:t>
      </w:r>
      <w:bookmarkEnd w:id="109"/>
    </w:p>
    <w:p w:rsidR="00327246" w:rsidRDefault="00327246"/>
    <w:p w:rsidR="00020D06" w:rsidRDefault="00020D06"/>
    <w:p w:rsidR="00020D06" w:rsidRDefault="00020D06"/>
    <w:sectPr w:rsidR="00020D06" w:rsidSect="00327246">
      <w:footerReference w:type="default" r:id="rId24"/>
      <w:footerReference w:type="first" r:id="rId2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008" w:rsidRDefault="00AA7008" w:rsidP="00327246">
      <w:r>
        <w:separator/>
      </w:r>
    </w:p>
  </w:endnote>
  <w:endnote w:type="continuationSeparator" w:id="1">
    <w:p w:rsidR="00AA7008" w:rsidRDefault="00AA7008" w:rsidP="003272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楷体_GB2312">
    <w:altName w:val="Arial Unicode MS"/>
    <w:charset w:val="86"/>
    <w:family w:val="auto"/>
    <w:pitch w:val="default"/>
    <w:sig w:usb0="00000000" w:usb1="080E0000" w:usb2="0000000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3BEA86AA-D6BE-4414-A4AB-2E7AEF3CF677}"/>
    <w:embedBold r:id="rId2" w:fontKey="{0B16BF45-EA3E-438C-B905-475FA64D5DBE}"/>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3" w:fontKey="{CB4F06F3-B1DB-4E46-AEEA-4163608A4047}"/>
  </w:font>
  <w:font w:name="仿宋">
    <w:panose1 w:val="02010609060101010101"/>
    <w:charset w:val="86"/>
    <w:family w:val="modern"/>
    <w:pitch w:val="fixed"/>
    <w:sig w:usb0="800002BF" w:usb1="38CF7CFA" w:usb2="00000016" w:usb3="00000000" w:csb0="00040001" w:csb1="00000000"/>
    <w:embedRegular r:id="rId4" w:subsetted="1" w:fontKey="{5B83C5D2-51D4-492C-B2C2-7F4251E604C5}"/>
    <w:embedBold r:id="rId5" w:subsetted="1" w:fontKey="{2298B11E-5A0C-48A7-BC80-8270F45C4B32}"/>
  </w:font>
  <w:font w:name="方正小标宋简体">
    <w:panose1 w:val="02010601030101010101"/>
    <w:charset w:val="86"/>
    <w:family w:val="auto"/>
    <w:pitch w:val="variable"/>
    <w:sig w:usb0="00000001" w:usb1="080E0000" w:usb2="00000010" w:usb3="00000000" w:csb0="00040000" w:csb1="00000000"/>
    <w:embedBold r:id="rId6" w:subsetted="1" w:fontKey="{CF6C134A-6DDE-4837-AAA2-C12B0CDC4DD6}"/>
  </w:font>
  <w:font w:name="黑体">
    <w:altName w:val="SimHei"/>
    <w:panose1 w:val="02010609060101010101"/>
    <w:charset w:val="86"/>
    <w:family w:val="modern"/>
    <w:pitch w:val="fixed"/>
    <w:sig w:usb0="800002BF" w:usb1="38CF7CFA" w:usb2="00000016" w:usb3="00000000" w:csb0="00040001" w:csb1="00000000"/>
    <w:embedRegular r:id="rId7" w:subsetted="1" w:fontKey="{8A0A7FCC-AA7D-436F-BE7B-C65447975E1D}"/>
    <w:embedBold r:id="rId8" w:subsetted="1" w:fontKey="{EA0008C9-3E78-4DC6-B808-A1C66A043C58}"/>
  </w:font>
  <w:font w:name="楷体">
    <w:panose1 w:val="02010609060101010101"/>
    <w:charset w:val="86"/>
    <w:family w:val="modern"/>
    <w:pitch w:val="fixed"/>
    <w:sig w:usb0="800002BF" w:usb1="38CF7CFA" w:usb2="00000016" w:usb3="00000000" w:csb0="00040001" w:csb1="00000000"/>
    <w:embedBold r:id="rId9" w:subsetted="1" w:fontKey="{0C4E087B-A4C8-4CBF-87DC-8E7E78741B79}"/>
  </w:font>
  <w:font w:name="方正仿宋简体">
    <w:panose1 w:val="02000000000000000000"/>
    <w:charset w:val="86"/>
    <w:family w:val="auto"/>
    <w:pitch w:val="variable"/>
    <w:sig w:usb0="A00002BF" w:usb1="184F6CFA" w:usb2="00000012"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5"/>
      <w:jc w:val="center"/>
    </w:pPr>
  </w:p>
  <w:p w:rsidR="00327246" w:rsidRDefault="00327246">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5"/>
      <w:jc w:val="center"/>
    </w:pPr>
  </w:p>
  <w:p w:rsidR="00327246" w:rsidRDefault="00327246">
    <w:pPr>
      <w:pStyle w:val="a5"/>
      <w:tabs>
        <w:tab w:val="clear" w:pos="4153"/>
      </w:tabs>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03933">
    <w:pPr>
      <w:pStyle w:val="a5"/>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filled="f" stroked="f" strokeweight=".5pt">
          <v:textbox style="mso-fit-shape-to-text:t" inset="0,0,0,0">
            <w:txbxContent>
              <w:p w:rsidR="00327246" w:rsidRDefault="00303933">
                <w:pPr>
                  <w:pStyle w:val="a5"/>
                </w:pPr>
                <w:r>
                  <w:rPr>
                    <w:rFonts w:hint="eastAsia"/>
                  </w:rPr>
                  <w:fldChar w:fldCharType="begin"/>
                </w:r>
                <w:r w:rsidR="00D33664">
                  <w:rPr>
                    <w:rFonts w:hint="eastAsia"/>
                  </w:rPr>
                  <w:instrText xml:space="preserve"> PAGE  \* MERGEFORMAT </w:instrText>
                </w:r>
                <w:r>
                  <w:rPr>
                    <w:rFonts w:hint="eastAsia"/>
                  </w:rPr>
                  <w:fldChar w:fldCharType="separate"/>
                </w:r>
                <w:r w:rsidR="00D33664">
                  <w:rPr>
                    <w:rFonts w:hint="eastAsia"/>
                  </w:rPr>
                  <w:t>1</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03933">
    <w:pPr>
      <w:pStyle w:val="a5"/>
      <w:jc w:val="center"/>
    </w:pPr>
    <w:r>
      <w:pict>
        <v:shapetype id="_x0000_t202" coordsize="21600,21600" o:spt="202" path="m,l,21600r21600,l21600,xe">
          <v:stroke joinstyle="miter"/>
          <v:path gradientshapeok="t" o:connecttype="rect"/>
        </v:shapetype>
        <v:shape id="_x0000_s1029"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327246" w:rsidRDefault="00303933">
                <w:pPr>
                  <w:pStyle w:val="a5"/>
                  <w:jc w:val="center"/>
                </w:pPr>
                <w:r>
                  <w:fldChar w:fldCharType="begin"/>
                </w:r>
                <w:r w:rsidR="00D33664">
                  <w:instrText>PAGE   \* MERGEFORMAT</w:instrText>
                </w:r>
                <w:r>
                  <w:fldChar w:fldCharType="separate"/>
                </w:r>
                <w:r w:rsidR="00123E38" w:rsidRPr="00123E38">
                  <w:rPr>
                    <w:noProof/>
                    <w:lang w:val="zh-CN"/>
                  </w:rPr>
                  <w:t>7</w:t>
                </w:r>
                <w:r>
                  <w:fldChar w:fldCharType="end"/>
                </w:r>
              </w:p>
              <w:p w:rsidR="00327246" w:rsidRDefault="00327246"/>
            </w:txbxContent>
          </v:textbox>
          <w10:wrap anchorx="margin"/>
        </v:shape>
      </w:pict>
    </w:r>
  </w:p>
  <w:p w:rsidR="00327246" w:rsidRDefault="00327246">
    <w:pPr>
      <w:pStyle w:val="a5"/>
      <w:tabs>
        <w:tab w:val="clear" w:pos="4153"/>
      </w:tabs>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03933">
    <w:pPr>
      <w:pStyle w:val="a5"/>
      <w:jc w:val="center"/>
    </w:pPr>
    <w: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filled="f" stroked="f" strokeweight=".5pt">
          <v:textbox style="mso-fit-shape-to-text:t" inset="0,0,0,0">
            <w:txbxContent>
              <w:sdt>
                <w:sdtPr>
                  <w:id w:val="-1994781956"/>
                </w:sdtPr>
                <w:sdtContent>
                  <w:p w:rsidR="00327246" w:rsidRDefault="00303933">
                    <w:pPr>
                      <w:pStyle w:val="a5"/>
                      <w:jc w:val="center"/>
                    </w:pPr>
                    <w:r>
                      <w:fldChar w:fldCharType="begin"/>
                    </w:r>
                    <w:r w:rsidR="00D33664">
                      <w:instrText>PAGE   \* MERGEFORMAT</w:instrText>
                    </w:r>
                    <w:r>
                      <w:fldChar w:fldCharType="separate"/>
                    </w:r>
                    <w:r w:rsidR="00020D06" w:rsidRPr="00020D06">
                      <w:rPr>
                        <w:noProof/>
                        <w:lang w:val="zh-CN"/>
                      </w:rPr>
                      <w:t>14</w:t>
                    </w:r>
                    <w:r>
                      <w:fldChar w:fldCharType="end"/>
                    </w:r>
                  </w:p>
                </w:sdtContent>
              </w:sdt>
              <w:p w:rsidR="00327246" w:rsidRDefault="00327246"/>
            </w:txbxContent>
          </v:textbox>
          <w10:wrap anchorx="margin"/>
        </v:shape>
      </w:pict>
    </w:r>
  </w:p>
  <w:p w:rsidR="00327246" w:rsidRDefault="00327246">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03933">
    <w:pPr>
      <w:pStyle w:val="a5"/>
    </w:pPr>
    <w:r>
      <w:pict>
        <v:shapetype id="_x0000_t202" coordsize="21600,21600" o:spt="202" path="m,l,21600r21600,l21600,xe">
          <v:stroke joinstyle="miter"/>
          <v:path gradientshapeok="t" o:connecttype="rect"/>
        </v:shapetype>
        <v:shape id="_x0000_s1028"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327246" w:rsidRDefault="00303933">
                <w:pPr>
                  <w:pStyle w:val="a5"/>
                </w:pPr>
                <w:r>
                  <w:rPr>
                    <w:rFonts w:hint="eastAsia"/>
                  </w:rPr>
                  <w:fldChar w:fldCharType="begin"/>
                </w:r>
                <w:r w:rsidR="00D33664">
                  <w:rPr>
                    <w:rFonts w:hint="eastAsia"/>
                  </w:rPr>
                  <w:instrText xml:space="preserve"> PAGE  \* MERGEFORMAT </w:instrText>
                </w:r>
                <w:r>
                  <w:rPr>
                    <w:rFonts w:hint="eastAsia"/>
                  </w:rPr>
                  <w:fldChar w:fldCharType="separate"/>
                </w:r>
                <w:r w:rsidR="00123E38">
                  <w:rPr>
                    <w:noProof/>
                  </w:rPr>
                  <w:t>13</w:t>
                </w:r>
                <w:r>
                  <w:rPr>
                    <w:rFonts w:hint="eastAsia"/>
                  </w:rPr>
                  <w:fldChar w:fldCharType="end"/>
                </w:r>
              </w:p>
            </w:txbxContent>
          </v:textbox>
          <w10:wrap anchorx="margin"/>
        </v:shape>
      </w:pict>
    </w:r>
    <w:r w:rsidR="00D33664">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008" w:rsidRDefault="00AA7008" w:rsidP="00327246">
      <w:r>
        <w:separator/>
      </w:r>
    </w:p>
  </w:footnote>
  <w:footnote w:type="continuationSeparator" w:id="1">
    <w:p w:rsidR="00AA7008" w:rsidRDefault="00AA7008" w:rsidP="003272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246" w:rsidRDefault="0032724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652CEC"/>
    <w:multiLevelType w:val="singleLevel"/>
    <w:tmpl w:val="CF652CEC"/>
    <w:lvl w:ilvl="0">
      <w:start w:val="9"/>
      <w:numFmt w:val="chineseCounting"/>
      <w:suff w:val="nothing"/>
      <w:lvlText w:val="%1、"/>
      <w:lvlJc w:val="left"/>
      <w:rPr>
        <w:rFonts w:hint="eastAsia"/>
      </w:rPr>
    </w:lvl>
  </w:abstractNum>
  <w:abstractNum w:abstractNumId="1">
    <w:nsid w:val="E2FA047D"/>
    <w:multiLevelType w:val="singleLevel"/>
    <w:tmpl w:val="E2FA047D"/>
    <w:lvl w:ilvl="0">
      <w:start w:val="3"/>
      <w:numFmt w:val="chineseCounting"/>
      <w:suff w:val="space"/>
      <w:lvlText w:val="第%1部分"/>
      <w:lvlJc w:val="left"/>
      <w:rPr>
        <w:rFonts w:hint="eastAsia"/>
      </w:rPr>
    </w:lvl>
  </w:abstractNum>
  <w:abstractNum w:abstractNumId="2">
    <w:nsid w:val="EC0BEF30"/>
    <w:multiLevelType w:val="singleLevel"/>
    <w:tmpl w:val="EC0BEF30"/>
    <w:lvl w:ilvl="0">
      <w:start w:val="1"/>
      <w:numFmt w:val="chineseCounting"/>
      <w:suff w:val="nothing"/>
      <w:lvlText w:val="（%1）"/>
      <w:lvlJc w:val="left"/>
      <w:rPr>
        <w:rFonts w:ascii="楷体_GB2312" w:eastAsia="楷体_GB2312" w:hAnsi="楷体_GB2312" w:cs="楷体_GB2312" w:hint="eastAsia"/>
        <w:b/>
        <w:bCs/>
        <w:sz w:val="32"/>
        <w:szCs w:val="32"/>
      </w:rPr>
    </w:lvl>
  </w:abstractNum>
  <w:abstractNum w:abstractNumId="3">
    <w:nsid w:val="F09ACF31"/>
    <w:multiLevelType w:val="singleLevel"/>
    <w:tmpl w:val="F09ACF31"/>
    <w:lvl w:ilvl="0">
      <w:start w:val="1"/>
      <w:numFmt w:val="decimal"/>
      <w:suff w:val="space"/>
      <w:lvlText w:val="%1."/>
      <w:lvlJc w:val="left"/>
    </w:lvl>
  </w:abstractNum>
  <w:abstractNum w:abstractNumId="4">
    <w:nsid w:val="FBCB5F45"/>
    <w:multiLevelType w:val="singleLevel"/>
    <w:tmpl w:val="FBCB5F45"/>
    <w:lvl w:ilvl="0">
      <w:start w:val="1"/>
      <w:numFmt w:val="decimal"/>
      <w:lvlText w:val="%1."/>
      <w:lvlJc w:val="left"/>
      <w:pPr>
        <w:tabs>
          <w:tab w:val="left" w:pos="312"/>
        </w:tabs>
      </w:pPr>
    </w:lvl>
  </w:abstractNum>
  <w:abstractNum w:abstractNumId="5">
    <w:nsid w:val="1272550B"/>
    <w:multiLevelType w:val="multilevel"/>
    <w:tmpl w:val="1272550B"/>
    <w:lvl w:ilvl="0">
      <w:start w:val="1"/>
      <w:numFmt w:val="japaneseCounting"/>
      <w:lvlText w:val="%1、"/>
      <w:lvlJc w:val="left"/>
      <w:pPr>
        <w:ind w:left="1360" w:hanging="720"/>
      </w:pPr>
      <w:rPr>
        <w:rFonts w:hint="default"/>
        <w:b w:val="0"/>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6">
    <w:nsid w:val="17F426B7"/>
    <w:multiLevelType w:val="multilevel"/>
    <w:tmpl w:val="17F426B7"/>
    <w:lvl w:ilvl="0">
      <w:start w:val="10"/>
      <w:numFmt w:val="japaneseCounting"/>
      <w:lvlText w:val="%1、"/>
      <w:lvlJc w:val="left"/>
      <w:pPr>
        <w:ind w:left="1429" w:hanging="72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7">
    <w:nsid w:val="1B4BCB90"/>
    <w:multiLevelType w:val="singleLevel"/>
    <w:tmpl w:val="1B4BCB90"/>
    <w:lvl w:ilvl="0">
      <w:start w:val="1"/>
      <w:numFmt w:val="decimal"/>
      <w:suff w:val="space"/>
      <w:lvlText w:val="%1."/>
      <w:lvlJc w:val="left"/>
    </w:lvl>
  </w:abstractNum>
  <w:num w:numId="1">
    <w:abstractNumId w:val="5"/>
  </w:num>
  <w:num w:numId="2">
    <w:abstractNumId w:val="4"/>
  </w:num>
  <w:num w:numId="3">
    <w:abstractNumId w:val="3"/>
  </w:num>
  <w:num w:numId="4">
    <w:abstractNumId w:val="7"/>
  </w:num>
  <w:num w:numId="5">
    <w:abstractNumId w:val="0"/>
  </w:num>
  <w:num w:numId="6">
    <w:abstractNumId w:val="6"/>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bordersDoNotSurroundHeader/>
  <w:bordersDoNotSurroundFooter/>
  <w:defaultTabStop w:val="420"/>
  <w:drawingGridHorizontalSpacing w:val="105"/>
  <w:drawingGridVerticalSpacing w:val="156"/>
  <w:noPunctuationKerning/>
  <w:characterSpacingControl w:val="compressPunctuation"/>
  <w:hdrShapeDefaults>
    <o:shapedefaults v:ext="edit" spidmax="1126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F1361C"/>
    <w:rsid w:val="00020D06"/>
    <w:rsid w:val="000222C6"/>
    <w:rsid w:val="0002549F"/>
    <w:rsid w:val="0006487A"/>
    <w:rsid w:val="00065F8F"/>
    <w:rsid w:val="000768F2"/>
    <w:rsid w:val="0009184B"/>
    <w:rsid w:val="0009593C"/>
    <w:rsid w:val="000A70D3"/>
    <w:rsid w:val="000B047F"/>
    <w:rsid w:val="000B5923"/>
    <w:rsid w:val="000B5A48"/>
    <w:rsid w:val="000B6FF3"/>
    <w:rsid w:val="000C3467"/>
    <w:rsid w:val="000C3CA6"/>
    <w:rsid w:val="000C7C75"/>
    <w:rsid w:val="000D1267"/>
    <w:rsid w:val="000D1D50"/>
    <w:rsid w:val="000D5782"/>
    <w:rsid w:val="000E6613"/>
    <w:rsid w:val="000E7119"/>
    <w:rsid w:val="000E78C7"/>
    <w:rsid w:val="00114E9B"/>
    <w:rsid w:val="00123E38"/>
    <w:rsid w:val="0014729F"/>
    <w:rsid w:val="0015306E"/>
    <w:rsid w:val="00157BAB"/>
    <w:rsid w:val="001654D1"/>
    <w:rsid w:val="0018106D"/>
    <w:rsid w:val="001877A7"/>
    <w:rsid w:val="00191536"/>
    <w:rsid w:val="00196687"/>
    <w:rsid w:val="001C0962"/>
    <w:rsid w:val="001D6EF5"/>
    <w:rsid w:val="001D7531"/>
    <w:rsid w:val="001E50C3"/>
    <w:rsid w:val="001E737D"/>
    <w:rsid w:val="001F0592"/>
    <w:rsid w:val="001F7506"/>
    <w:rsid w:val="002006CD"/>
    <w:rsid w:val="00202B36"/>
    <w:rsid w:val="00204B7A"/>
    <w:rsid w:val="0021101A"/>
    <w:rsid w:val="00220536"/>
    <w:rsid w:val="00235629"/>
    <w:rsid w:val="002447A8"/>
    <w:rsid w:val="00260C38"/>
    <w:rsid w:val="002616C0"/>
    <w:rsid w:val="002662AA"/>
    <w:rsid w:val="00266C0B"/>
    <w:rsid w:val="00280496"/>
    <w:rsid w:val="002825F2"/>
    <w:rsid w:val="00286E37"/>
    <w:rsid w:val="00295495"/>
    <w:rsid w:val="002B2613"/>
    <w:rsid w:val="002B7E9B"/>
    <w:rsid w:val="002F1818"/>
    <w:rsid w:val="002F567B"/>
    <w:rsid w:val="00303933"/>
    <w:rsid w:val="003216A9"/>
    <w:rsid w:val="00327246"/>
    <w:rsid w:val="003311A6"/>
    <w:rsid w:val="00340267"/>
    <w:rsid w:val="0035681E"/>
    <w:rsid w:val="0037013F"/>
    <w:rsid w:val="00374D32"/>
    <w:rsid w:val="00380C92"/>
    <w:rsid w:val="00381A0E"/>
    <w:rsid w:val="003A484F"/>
    <w:rsid w:val="003A5EF7"/>
    <w:rsid w:val="003B0BE0"/>
    <w:rsid w:val="003B0C1B"/>
    <w:rsid w:val="003B688C"/>
    <w:rsid w:val="003C0291"/>
    <w:rsid w:val="003C39AE"/>
    <w:rsid w:val="003C7B60"/>
    <w:rsid w:val="003D1115"/>
    <w:rsid w:val="003D1FB2"/>
    <w:rsid w:val="003D66DA"/>
    <w:rsid w:val="003E1310"/>
    <w:rsid w:val="003E6F55"/>
    <w:rsid w:val="00406254"/>
    <w:rsid w:val="00407811"/>
    <w:rsid w:val="004223DE"/>
    <w:rsid w:val="00434489"/>
    <w:rsid w:val="00437085"/>
    <w:rsid w:val="00443880"/>
    <w:rsid w:val="004464F4"/>
    <w:rsid w:val="00464971"/>
    <w:rsid w:val="00471401"/>
    <w:rsid w:val="00473F31"/>
    <w:rsid w:val="0048263A"/>
    <w:rsid w:val="00487E5D"/>
    <w:rsid w:val="004A711F"/>
    <w:rsid w:val="004B199D"/>
    <w:rsid w:val="004B4690"/>
    <w:rsid w:val="004D2454"/>
    <w:rsid w:val="004E0A2D"/>
    <w:rsid w:val="004E206B"/>
    <w:rsid w:val="004E2B02"/>
    <w:rsid w:val="004E6DF7"/>
    <w:rsid w:val="004F0FBD"/>
    <w:rsid w:val="00505A47"/>
    <w:rsid w:val="00512FDA"/>
    <w:rsid w:val="00520DA0"/>
    <w:rsid w:val="0052157E"/>
    <w:rsid w:val="005664BB"/>
    <w:rsid w:val="00576249"/>
    <w:rsid w:val="0058486E"/>
    <w:rsid w:val="0058649A"/>
    <w:rsid w:val="005B7FE4"/>
    <w:rsid w:val="005D1C8B"/>
    <w:rsid w:val="005D2B60"/>
    <w:rsid w:val="005D5CED"/>
    <w:rsid w:val="005D6E54"/>
    <w:rsid w:val="005E58E9"/>
    <w:rsid w:val="005F131A"/>
    <w:rsid w:val="005F1A4C"/>
    <w:rsid w:val="00605688"/>
    <w:rsid w:val="006070AF"/>
    <w:rsid w:val="00607E6C"/>
    <w:rsid w:val="006101B1"/>
    <w:rsid w:val="00622830"/>
    <w:rsid w:val="00630AEF"/>
    <w:rsid w:val="006325F8"/>
    <w:rsid w:val="00634C9A"/>
    <w:rsid w:val="006440E4"/>
    <w:rsid w:val="0066343B"/>
    <w:rsid w:val="006748A4"/>
    <w:rsid w:val="00683E73"/>
    <w:rsid w:val="006A3141"/>
    <w:rsid w:val="006A5E34"/>
    <w:rsid w:val="006B2422"/>
    <w:rsid w:val="006B2B9A"/>
    <w:rsid w:val="006C1937"/>
    <w:rsid w:val="006F020C"/>
    <w:rsid w:val="00701FCF"/>
    <w:rsid w:val="0071145A"/>
    <w:rsid w:val="007127B7"/>
    <w:rsid w:val="007369D3"/>
    <w:rsid w:val="007416B6"/>
    <w:rsid w:val="00746F48"/>
    <w:rsid w:val="00747321"/>
    <w:rsid w:val="0075404D"/>
    <w:rsid w:val="0076182A"/>
    <w:rsid w:val="00766A53"/>
    <w:rsid w:val="00767B7E"/>
    <w:rsid w:val="007770C3"/>
    <w:rsid w:val="00784D24"/>
    <w:rsid w:val="00785FBA"/>
    <w:rsid w:val="00786E4A"/>
    <w:rsid w:val="007875EB"/>
    <w:rsid w:val="00790E18"/>
    <w:rsid w:val="0079426B"/>
    <w:rsid w:val="007C6106"/>
    <w:rsid w:val="007D3F19"/>
    <w:rsid w:val="007E48EA"/>
    <w:rsid w:val="007E7BCA"/>
    <w:rsid w:val="007F1991"/>
    <w:rsid w:val="007F2C2F"/>
    <w:rsid w:val="007F317F"/>
    <w:rsid w:val="007F4334"/>
    <w:rsid w:val="007F55FC"/>
    <w:rsid w:val="007F5665"/>
    <w:rsid w:val="00800112"/>
    <w:rsid w:val="00815346"/>
    <w:rsid w:val="008253BB"/>
    <w:rsid w:val="0083706E"/>
    <w:rsid w:val="008423A5"/>
    <w:rsid w:val="00850625"/>
    <w:rsid w:val="00853718"/>
    <w:rsid w:val="00855221"/>
    <w:rsid w:val="00860645"/>
    <w:rsid w:val="00871F71"/>
    <w:rsid w:val="00880C18"/>
    <w:rsid w:val="00885AF4"/>
    <w:rsid w:val="008939CD"/>
    <w:rsid w:val="008B768C"/>
    <w:rsid w:val="008C4DB1"/>
    <w:rsid w:val="008C4EAF"/>
    <w:rsid w:val="008C5176"/>
    <w:rsid w:val="008C7FD0"/>
    <w:rsid w:val="008E1DE7"/>
    <w:rsid w:val="008E707C"/>
    <w:rsid w:val="008F34F0"/>
    <w:rsid w:val="008F5CF1"/>
    <w:rsid w:val="00900AEE"/>
    <w:rsid w:val="00900B08"/>
    <w:rsid w:val="00902155"/>
    <w:rsid w:val="00902FA3"/>
    <w:rsid w:val="00923564"/>
    <w:rsid w:val="0092392E"/>
    <w:rsid w:val="009315F9"/>
    <w:rsid w:val="00946945"/>
    <w:rsid w:val="00951248"/>
    <w:rsid w:val="0095152F"/>
    <w:rsid w:val="00954C49"/>
    <w:rsid w:val="0097099F"/>
    <w:rsid w:val="00971997"/>
    <w:rsid w:val="00971FFC"/>
    <w:rsid w:val="00984054"/>
    <w:rsid w:val="0098660A"/>
    <w:rsid w:val="00990659"/>
    <w:rsid w:val="0099292D"/>
    <w:rsid w:val="009931C3"/>
    <w:rsid w:val="009968E7"/>
    <w:rsid w:val="009B2C43"/>
    <w:rsid w:val="009B4EAE"/>
    <w:rsid w:val="009B7573"/>
    <w:rsid w:val="009C22F4"/>
    <w:rsid w:val="009C2E98"/>
    <w:rsid w:val="009D3447"/>
    <w:rsid w:val="009D4711"/>
    <w:rsid w:val="009F1185"/>
    <w:rsid w:val="009F18CD"/>
    <w:rsid w:val="009F2A13"/>
    <w:rsid w:val="00A04EB0"/>
    <w:rsid w:val="00A051C5"/>
    <w:rsid w:val="00A13CC1"/>
    <w:rsid w:val="00A16847"/>
    <w:rsid w:val="00A268C4"/>
    <w:rsid w:val="00A307CD"/>
    <w:rsid w:val="00A40A00"/>
    <w:rsid w:val="00A4142F"/>
    <w:rsid w:val="00A56DF2"/>
    <w:rsid w:val="00A67AB5"/>
    <w:rsid w:val="00A91760"/>
    <w:rsid w:val="00A93B00"/>
    <w:rsid w:val="00A93C21"/>
    <w:rsid w:val="00AA7008"/>
    <w:rsid w:val="00AB2AC5"/>
    <w:rsid w:val="00AC2D69"/>
    <w:rsid w:val="00AC3C6A"/>
    <w:rsid w:val="00AD4DE2"/>
    <w:rsid w:val="00AD5620"/>
    <w:rsid w:val="00AD7C1B"/>
    <w:rsid w:val="00AE16BA"/>
    <w:rsid w:val="00AE1EBE"/>
    <w:rsid w:val="00AE6BA0"/>
    <w:rsid w:val="00AF29B4"/>
    <w:rsid w:val="00AF58B6"/>
    <w:rsid w:val="00B03C9D"/>
    <w:rsid w:val="00B04170"/>
    <w:rsid w:val="00B060AE"/>
    <w:rsid w:val="00B10517"/>
    <w:rsid w:val="00B1126D"/>
    <w:rsid w:val="00B14E76"/>
    <w:rsid w:val="00B161B8"/>
    <w:rsid w:val="00B2048C"/>
    <w:rsid w:val="00B24E72"/>
    <w:rsid w:val="00B310B9"/>
    <w:rsid w:val="00B320C0"/>
    <w:rsid w:val="00B35F3F"/>
    <w:rsid w:val="00B36CBB"/>
    <w:rsid w:val="00B425E0"/>
    <w:rsid w:val="00B440AA"/>
    <w:rsid w:val="00B44B70"/>
    <w:rsid w:val="00B53C56"/>
    <w:rsid w:val="00B6302E"/>
    <w:rsid w:val="00B77EA6"/>
    <w:rsid w:val="00B81598"/>
    <w:rsid w:val="00B841F1"/>
    <w:rsid w:val="00B844DC"/>
    <w:rsid w:val="00B944D6"/>
    <w:rsid w:val="00BB4DF0"/>
    <w:rsid w:val="00BC289F"/>
    <w:rsid w:val="00BC5361"/>
    <w:rsid w:val="00BC5460"/>
    <w:rsid w:val="00BC6B50"/>
    <w:rsid w:val="00BD0E25"/>
    <w:rsid w:val="00BD4496"/>
    <w:rsid w:val="00BF5BD6"/>
    <w:rsid w:val="00C03E31"/>
    <w:rsid w:val="00C13014"/>
    <w:rsid w:val="00C33E72"/>
    <w:rsid w:val="00C354B2"/>
    <w:rsid w:val="00C35554"/>
    <w:rsid w:val="00C42709"/>
    <w:rsid w:val="00C525AE"/>
    <w:rsid w:val="00C53368"/>
    <w:rsid w:val="00C533CC"/>
    <w:rsid w:val="00C5751C"/>
    <w:rsid w:val="00C61BFC"/>
    <w:rsid w:val="00C62B85"/>
    <w:rsid w:val="00C6530E"/>
    <w:rsid w:val="00C65438"/>
    <w:rsid w:val="00C918D7"/>
    <w:rsid w:val="00C91CBB"/>
    <w:rsid w:val="00CA6518"/>
    <w:rsid w:val="00CB71B6"/>
    <w:rsid w:val="00CC09B6"/>
    <w:rsid w:val="00CC40E8"/>
    <w:rsid w:val="00CC666F"/>
    <w:rsid w:val="00CD1E3F"/>
    <w:rsid w:val="00CD689C"/>
    <w:rsid w:val="00CE44F6"/>
    <w:rsid w:val="00CE49DA"/>
    <w:rsid w:val="00CE7B61"/>
    <w:rsid w:val="00D00095"/>
    <w:rsid w:val="00D17258"/>
    <w:rsid w:val="00D20620"/>
    <w:rsid w:val="00D26091"/>
    <w:rsid w:val="00D33664"/>
    <w:rsid w:val="00D34E7C"/>
    <w:rsid w:val="00D35489"/>
    <w:rsid w:val="00D51276"/>
    <w:rsid w:val="00D6299E"/>
    <w:rsid w:val="00D7035F"/>
    <w:rsid w:val="00D7716E"/>
    <w:rsid w:val="00D952A2"/>
    <w:rsid w:val="00DA65AC"/>
    <w:rsid w:val="00DB1913"/>
    <w:rsid w:val="00DC410D"/>
    <w:rsid w:val="00DC68CA"/>
    <w:rsid w:val="00DC7CBA"/>
    <w:rsid w:val="00DD73B7"/>
    <w:rsid w:val="00DF28BC"/>
    <w:rsid w:val="00DF34B9"/>
    <w:rsid w:val="00E01053"/>
    <w:rsid w:val="00E05D08"/>
    <w:rsid w:val="00E07ACF"/>
    <w:rsid w:val="00E331A1"/>
    <w:rsid w:val="00E33202"/>
    <w:rsid w:val="00E336A9"/>
    <w:rsid w:val="00E338E4"/>
    <w:rsid w:val="00E50624"/>
    <w:rsid w:val="00E568DF"/>
    <w:rsid w:val="00E64269"/>
    <w:rsid w:val="00E82267"/>
    <w:rsid w:val="00EA010F"/>
    <w:rsid w:val="00EB5E04"/>
    <w:rsid w:val="00EC4BB6"/>
    <w:rsid w:val="00ED1B63"/>
    <w:rsid w:val="00ED3C1F"/>
    <w:rsid w:val="00ED420E"/>
    <w:rsid w:val="00ED4F42"/>
    <w:rsid w:val="00EE2F57"/>
    <w:rsid w:val="00EF4C34"/>
    <w:rsid w:val="00EF77C6"/>
    <w:rsid w:val="00F0511E"/>
    <w:rsid w:val="00F05438"/>
    <w:rsid w:val="00F1361C"/>
    <w:rsid w:val="00F160C7"/>
    <w:rsid w:val="00F36D8F"/>
    <w:rsid w:val="00F40D07"/>
    <w:rsid w:val="00F417B1"/>
    <w:rsid w:val="00F455DB"/>
    <w:rsid w:val="00F602DF"/>
    <w:rsid w:val="00F81FD9"/>
    <w:rsid w:val="00F841AA"/>
    <w:rsid w:val="00FA23E8"/>
    <w:rsid w:val="00FD3CC1"/>
    <w:rsid w:val="00FE7703"/>
    <w:rsid w:val="00FF1E02"/>
    <w:rsid w:val="00FF30B4"/>
    <w:rsid w:val="0134714E"/>
    <w:rsid w:val="015D74CC"/>
    <w:rsid w:val="017A49FE"/>
    <w:rsid w:val="017C721E"/>
    <w:rsid w:val="0185104E"/>
    <w:rsid w:val="019F7441"/>
    <w:rsid w:val="01B17741"/>
    <w:rsid w:val="01D1123D"/>
    <w:rsid w:val="01D55F13"/>
    <w:rsid w:val="01DE0F9E"/>
    <w:rsid w:val="01F462DE"/>
    <w:rsid w:val="021C53B8"/>
    <w:rsid w:val="023332C0"/>
    <w:rsid w:val="023A70FE"/>
    <w:rsid w:val="024C438C"/>
    <w:rsid w:val="02576AB9"/>
    <w:rsid w:val="02675CE5"/>
    <w:rsid w:val="029134F5"/>
    <w:rsid w:val="02A543F1"/>
    <w:rsid w:val="02E434AE"/>
    <w:rsid w:val="02F743CA"/>
    <w:rsid w:val="031B34FA"/>
    <w:rsid w:val="034B442F"/>
    <w:rsid w:val="036F09EC"/>
    <w:rsid w:val="037424B2"/>
    <w:rsid w:val="03900CE7"/>
    <w:rsid w:val="03CE2112"/>
    <w:rsid w:val="03ED1A6F"/>
    <w:rsid w:val="03F21EC7"/>
    <w:rsid w:val="03FA7625"/>
    <w:rsid w:val="04083A9B"/>
    <w:rsid w:val="04C45D76"/>
    <w:rsid w:val="04C60B81"/>
    <w:rsid w:val="04DB480C"/>
    <w:rsid w:val="05213E47"/>
    <w:rsid w:val="05337991"/>
    <w:rsid w:val="0590502C"/>
    <w:rsid w:val="059705FA"/>
    <w:rsid w:val="05BC1413"/>
    <w:rsid w:val="05BD0CDD"/>
    <w:rsid w:val="05BE3E29"/>
    <w:rsid w:val="05D1565E"/>
    <w:rsid w:val="05E24935"/>
    <w:rsid w:val="05ED7D4D"/>
    <w:rsid w:val="05F037C6"/>
    <w:rsid w:val="05F50C8B"/>
    <w:rsid w:val="05FD5505"/>
    <w:rsid w:val="05FF678B"/>
    <w:rsid w:val="060C7B8C"/>
    <w:rsid w:val="063F3AB9"/>
    <w:rsid w:val="06495735"/>
    <w:rsid w:val="06633455"/>
    <w:rsid w:val="066901E3"/>
    <w:rsid w:val="06A12CDC"/>
    <w:rsid w:val="06DD1535"/>
    <w:rsid w:val="078431D1"/>
    <w:rsid w:val="07C40ED7"/>
    <w:rsid w:val="0810100A"/>
    <w:rsid w:val="0859022E"/>
    <w:rsid w:val="089D5D23"/>
    <w:rsid w:val="08B40CC8"/>
    <w:rsid w:val="08BA4D8A"/>
    <w:rsid w:val="08E8575A"/>
    <w:rsid w:val="08EA5B6E"/>
    <w:rsid w:val="095A7C00"/>
    <w:rsid w:val="095F237E"/>
    <w:rsid w:val="09897992"/>
    <w:rsid w:val="09B108C0"/>
    <w:rsid w:val="09B12B57"/>
    <w:rsid w:val="09B666F1"/>
    <w:rsid w:val="09C63351"/>
    <w:rsid w:val="09F729DF"/>
    <w:rsid w:val="09FF15A1"/>
    <w:rsid w:val="0A030E0E"/>
    <w:rsid w:val="0A2B3473"/>
    <w:rsid w:val="0A3C686F"/>
    <w:rsid w:val="0A4E41AA"/>
    <w:rsid w:val="0A80764E"/>
    <w:rsid w:val="0A9C1552"/>
    <w:rsid w:val="0AB30820"/>
    <w:rsid w:val="0ACF3BC0"/>
    <w:rsid w:val="0B022E55"/>
    <w:rsid w:val="0B0429EB"/>
    <w:rsid w:val="0B2719FC"/>
    <w:rsid w:val="0B4B734D"/>
    <w:rsid w:val="0B533CB3"/>
    <w:rsid w:val="0B762A27"/>
    <w:rsid w:val="0B8B1A4C"/>
    <w:rsid w:val="0B956417"/>
    <w:rsid w:val="0BA838B7"/>
    <w:rsid w:val="0BD44ED8"/>
    <w:rsid w:val="0BEF6334"/>
    <w:rsid w:val="0C163ED9"/>
    <w:rsid w:val="0C3D0BC3"/>
    <w:rsid w:val="0C570F30"/>
    <w:rsid w:val="0CAF46BA"/>
    <w:rsid w:val="0CED4AAB"/>
    <w:rsid w:val="0D0935A9"/>
    <w:rsid w:val="0D0A1F41"/>
    <w:rsid w:val="0D0A35CB"/>
    <w:rsid w:val="0D17337B"/>
    <w:rsid w:val="0D3C1245"/>
    <w:rsid w:val="0D40113E"/>
    <w:rsid w:val="0D9A0974"/>
    <w:rsid w:val="0DA03719"/>
    <w:rsid w:val="0DB82FC6"/>
    <w:rsid w:val="0E0E2959"/>
    <w:rsid w:val="0E2B4868"/>
    <w:rsid w:val="0E2F543E"/>
    <w:rsid w:val="0E31016F"/>
    <w:rsid w:val="0E46049D"/>
    <w:rsid w:val="0E58041E"/>
    <w:rsid w:val="0E5A1440"/>
    <w:rsid w:val="0E5C3034"/>
    <w:rsid w:val="0E8962F2"/>
    <w:rsid w:val="0E9B68DB"/>
    <w:rsid w:val="0ED26B1D"/>
    <w:rsid w:val="0F184478"/>
    <w:rsid w:val="0F3F2AB0"/>
    <w:rsid w:val="0F3F454E"/>
    <w:rsid w:val="0F7420B4"/>
    <w:rsid w:val="10266173"/>
    <w:rsid w:val="10524A27"/>
    <w:rsid w:val="108B5788"/>
    <w:rsid w:val="10972599"/>
    <w:rsid w:val="109A067B"/>
    <w:rsid w:val="10C055FF"/>
    <w:rsid w:val="11037D1D"/>
    <w:rsid w:val="11163158"/>
    <w:rsid w:val="11313DEA"/>
    <w:rsid w:val="11662C34"/>
    <w:rsid w:val="116D46BD"/>
    <w:rsid w:val="1172737C"/>
    <w:rsid w:val="11F54669"/>
    <w:rsid w:val="12054E4B"/>
    <w:rsid w:val="121026F2"/>
    <w:rsid w:val="124E684D"/>
    <w:rsid w:val="129F1627"/>
    <w:rsid w:val="12B16A1E"/>
    <w:rsid w:val="12FC1DE9"/>
    <w:rsid w:val="134D19E0"/>
    <w:rsid w:val="13A64B88"/>
    <w:rsid w:val="141226E4"/>
    <w:rsid w:val="14387264"/>
    <w:rsid w:val="14433D6F"/>
    <w:rsid w:val="146B61E6"/>
    <w:rsid w:val="14770163"/>
    <w:rsid w:val="14921B9E"/>
    <w:rsid w:val="14CE2643"/>
    <w:rsid w:val="14DA121B"/>
    <w:rsid w:val="14EF7818"/>
    <w:rsid w:val="14F61C61"/>
    <w:rsid w:val="150A0C22"/>
    <w:rsid w:val="154523BF"/>
    <w:rsid w:val="155C2A53"/>
    <w:rsid w:val="158B4A81"/>
    <w:rsid w:val="159E4B67"/>
    <w:rsid w:val="15B67D22"/>
    <w:rsid w:val="15EC256B"/>
    <w:rsid w:val="16197596"/>
    <w:rsid w:val="165656DF"/>
    <w:rsid w:val="167D6888"/>
    <w:rsid w:val="16BB723D"/>
    <w:rsid w:val="16C45DDA"/>
    <w:rsid w:val="17447C37"/>
    <w:rsid w:val="175C3675"/>
    <w:rsid w:val="17C266EE"/>
    <w:rsid w:val="17ED693C"/>
    <w:rsid w:val="17FA36F6"/>
    <w:rsid w:val="180635E6"/>
    <w:rsid w:val="183237E4"/>
    <w:rsid w:val="184E5B1E"/>
    <w:rsid w:val="189339BF"/>
    <w:rsid w:val="18B4159C"/>
    <w:rsid w:val="18B60A25"/>
    <w:rsid w:val="18CF6DBE"/>
    <w:rsid w:val="18F85453"/>
    <w:rsid w:val="19056D8F"/>
    <w:rsid w:val="192D447F"/>
    <w:rsid w:val="194477C6"/>
    <w:rsid w:val="19537D12"/>
    <w:rsid w:val="19541716"/>
    <w:rsid w:val="196C64C6"/>
    <w:rsid w:val="199B46C2"/>
    <w:rsid w:val="19FB3BF8"/>
    <w:rsid w:val="1A1B56C8"/>
    <w:rsid w:val="1AD923B9"/>
    <w:rsid w:val="1AFB5788"/>
    <w:rsid w:val="1B29136A"/>
    <w:rsid w:val="1B625949"/>
    <w:rsid w:val="1B6715F7"/>
    <w:rsid w:val="1B893B92"/>
    <w:rsid w:val="1BB36D4A"/>
    <w:rsid w:val="1BB979D5"/>
    <w:rsid w:val="1BDF3007"/>
    <w:rsid w:val="1BE14580"/>
    <w:rsid w:val="1C1576D9"/>
    <w:rsid w:val="1C426807"/>
    <w:rsid w:val="1C6D330F"/>
    <w:rsid w:val="1C7D1A47"/>
    <w:rsid w:val="1CA95A3A"/>
    <w:rsid w:val="1CB72182"/>
    <w:rsid w:val="1CC112A9"/>
    <w:rsid w:val="1CC57BED"/>
    <w:rsid w:val="1CD4002E"/>
    <w:rsid w:val="1D2149C9"/>
    <w:rsid w:val="1D233F72"/>
    <w:rsid w:val="1D454DAB"/>
    <w:rsid w:val="1D7A370B"/>
    <w:rsid w:val="1D8310C3"/>
    <w:rsid w:val="1D976051"/>
    <w:rsid w:val="1DA65E41"/>
    <w:rsid w:val="1DAA00DE"/>
    <w:rsid w:val="1DEB4A7D"/>
    <w:rsid w:val="1E2A1A74"/>
    <w:rsid w:val="1E3126F4"/>
    <w:rsid w:val="1E3B5B2C"/>
    <w:rsid w:val="1E495499"/>
    <w:rsid w:val="1E6657E2"/>
    <w:rsid w:val="1E826E10"/>
    <w:rsid w:val="1E9D3641"/>
    <w:rsid w:val="1F056FCC"/>
    <w:rsid w:val="1F4A08AA"/>
    <w:rsid w:val="1FBE5875"/>
    <w:rsid w:val="1FD26A68"/>
    <w:rsid w:val="20466D9C"/>
    <w:rsid w:val="20B83993"/>
    <w:rsid w:val="20D01A39"/>
    <w:rsid w:val="21180641"/>
    <w:rsid w:val="211C7F4F"/>
    <w:rsid w:val="21512FB2"/>
    <w:rsid w:val="2177524E"/>
    <w:rsid w:val="21997BCC"/>
    <w:rsid w:val="21AC6948"/>
    <w:rsid w:val="21C24357"/>
    <w:rsid w:val="21DE7F62"/>
    <w:rsid w:val="21DF5CBD"/>
    <w:rsid w:val="220D0BE0"/>
    <w:rsid w:val="224E4629"/>
    <w:rsid w:val="225405C2"/>
    <w:rsid w:val="226A2D2A"/>
    <w:rsid w:val="227359E3"/>
    <w:rsid w:val="227859EE"/>
    <w:rsid w:val="22847938"/>
    <w:rsid w:val="22B54DF6"/>
    <w:rsid w:val="22C72194"/>
    <w:rsid w:val="234C47C3"/>
    <w:rsid w:val="237F316C"/>
    <w:rsid w:val="23AB2A09"/>
    <w:rsid w:val="23BB68E0"/>
    <w:rsid w:val="23CD1262"/>
    <w:rsid w:val="23F83E44"/>
    <w:rsid w:val="240371BF"/>
    <w:rsid w:val="244C19CB"/>
    <w:rsid w:val="247F10D1"/>
    <w:rsid w:val="24E17D9F"/>
    <w:rsid w:val="24F210CB"/>
    <w:rsid w:val="25011E26"/>
    <w:rsid w:val="25017EA9"/>
    <w:rsid w:val="250250D9"/>
    <w:rsid w:val="250C07DA"/>
    <w:rsid w:val="25212B8B"/>
    <w:rsid w:val="252E000A"/>
    <w:rsid w:val="254C4243"/>
    <w:rsid w:val="257778C4"/>
    <w:rsid w:val="257D791F"/>
    <w:rsid w:val="25C574DF"/>
    <w:rsid w:val="25EC39C6"/>
    <w:rsid w:val="25F70070"/>
    <w:rsid w:val="26362FB2"/>
    <w:rsid w:val="26520854"/>
    <w:rsid w:val="26C3458D"/>
    <w:rsid w:val="26D75E10"/>
    <w:rsid w:val="26FE78F4"/>
    <w:rsid w:val="274417F9"/>
    <w:rsid w:val="27543F80"/>
    <w:rsid w:val="27BB727B"/>
    <w:rsid w:val="27C26906"/>
    <w:rsid w:val="27EA1A53"/>
    <w:rsid w:val="27EB4C40"/>
    <w:rsid w:val="27FD106A"/>
    <w:rsid w:val="28016C22"/>
    <w:rsid w:val="28147850"/>
    <w:rsid w:val="28170C71"/>
    <w:rsid w:val="28356D36"/>
    <w:rsid w:val="28427682"/>
    <w:rsid w:val="28451115"/>
    <w:rsid w:val="284C31E0"/>
    <w:rsid w:val="28750A46"/>
    <w:rsid w:val="28901816"/>
    <w:rsid w:val="289F4176"/>
    <w:rsid w:val="28C15A7C"/>
    <w:rsid w:val="291776DD"/>
    <w:rsid w:val="291B3271"/>
    <w:rsid w:val="294F43E9"/>
    <w:rsid w:val="295221ED"/>
    <w:rsid w:val="296F3983"/>
    <w:rsid w:val="29C96CFB"/>
    <w:rsid w:val="29FD04D3"/>
    <w:rsid w:val="2A023505"/>
    <w:rsid w:val="2A055731"/>
    <w:rsid w:val="2A14179D"/>
    <w:rsid w:val="2A193111"/>
    <w:rsid w:val="2A340CD4"/>
    <w:rsid w:val="2AA86D6B"/>
    <w:rsid w:val="2ACE43D8"/>
    <w:rsid w:val="2ADF1028"/>
    <w:rsid w:val="2AF97160"/>
    <w:rsid w:val="2B0B4CEE"/>
    <w:rsid w:val="2B255B02"/>
    <w:rsid w:val="2B4B0ABD"/>
    <w:rsid w:val="2BC73D16"/>
    <w:rsid w:val="2C1D79A8"/>
    <w:rsid w:val="2C3528B4"/>
    <w:rsid w:val="2C456659"/>
    <w:rsid w:val="2C4938D2"/>
    <w:rsid w:val="2C56647B"/>
    <w:rsid w:val="2C6274BE"/>
    <w:rsid w:val="2C8E05D7"/>
    <w:rsid w:val="2C8F7E70"/>
    <w:rsid w:val="2C975468"/>
    <w:rsid w:val="2CA42F84"/>
    <w:rsid w:val="2CB22649"/>
    <w:rsid w:val="2CED383A"/>
    <w:rsid w:val="2D56396E"/>
    <w:rsid w:val="2D5F3E4A"/>
    <w:rsid w:val="2D5F4E5F"/>
    <w:rsid w:val="2D634EAD"/>
    <w:rsid w:val="2D7514D8"/>
    <w:rsid w:val="2DCF2FCB"/>
    <w:rsid w:val="2DF47A49"/>
    <w:rsid w:val="2E165B9E"/>
    <w:rsid w:val="2E190AE3"/>
    <w:rsid w:val="2E2F4F2B"/>
    <w:rsid w:val="2E584355"/>
    <w:rsid w:val="2E8520C3"/>
    <w:rsid w:val="2EB42BF1"/>
    <w:rsid w:val="2EF36A3C"/>
    <w:rsid w:val="2F031607"/>
    <w:rsid w:val="2F23799A"/>
    <w:rsid w:val="2F5225B0"/>
    <w:rsid w:val="2F586635"/>
    <w:rsid w:val="2F601B8A"/>
    <w:rsid w:val="2F6871D8"/>
    <w:rsid w:val="2F7321B4"/>
    <w:rsid w:val="2F845D0E"/>
    <w:rsid w:val="2FA079B6"/>
    <w:rsid w:val="2FE426C4"/>
    <w:rsid w:val="30342400"/>
    <w:rsid w:val="30584E64"/>
    <w:rsid w:val="306A1B3F"/>
    <w:rsid w:val="307E7588"/>
    <w:rsid w:val="30944491"/>
    <w:rsid w:val="30AD2B3B"/>
    <w:rsid w:val="30B47666"/>
    <w:rsid w:val="30BA1F1A"/>
    <w:rsid w:val="30C17FD9"/>
    <w:rsid w:val="30C65C79"/>
    <w:rsid w:val="31223B07"/>
    <w:rsid w:val="312636E5"/>
    <w:rsid w:val="319B1372"/>
    <w:rsid w:val="319F7F4E"/>
    <w:rsid w:val="31CE3E14"/>
    <w:rsid w:val="32123F91"/>
    <w:rsid w:val="3214405D"/>
    <w:rsid w:val="327939BF"/>
    <w:rsid w:val="32BA132F"/>
    <w:rsid w:val="32CC2965"/>
    <w:rsid w:val="32EA6D4C"/>
    <w:rsid w:val="333D245A"/>
    <w:rsid w:val="333F5C6D"/>
    <w:rsid w:val="33630B20"/>
    <w:rsid w:val="33690D36"/>
    <w:rsid w:val="339869F7"/>
    <w:rsid w:val="33A36C4E"/>
    <w:rsid w:val="33D42BA1"/>
    <w:rsid w:val="33EE121C"/>
    <w:rsid w:val="33FA487A"/>
    <w:rsid w:val="341A20E2"/>
    <w:rsid w:val="342601C9"/>
    <w:rsid w:val="34304402"/>
    <w:rsid w:val="34481043"/>
    <w:rsid w:val="34555316"/>
    <w:rsid w:val="3487031D"/>
    <w:rsid w:val="3491168A"/>
    <w:rsid w:val="350B47C7"/>
    <w:rsid w:val="353D71AC"/>
    <w:rsid w:val="356404C4"/>
    <w:rsid w:val="35645131"/>
    <w:rsid w:val="3596533D"/>
    <w:rsid w:val="35BD14D6"/>
    <w:rsid w:val="35F041A0"/>
    <w:rsid w:val="365C19D2"/>
    <w:rsid w:val="36737230"/>
    <w:rsid w:val="36CB1FC7"/>
    <w:rsid w:val="3718089D"/>
    <w:rsid w:val="371F35C7"/>
    <w:rsid w:val="372157E9"/>
    <w:rsid w:val="37342B9A"/>
    <w:rsid w:val="375441A5"/>
    <w:rsid w:val="37793570"/>
    <w:rsid w:val="378B29C9"/>
    <w:rsid w:val="37A03FB4"/>
    <w:rsid w:val="37AE31EA"/>
    <w:rsid w:val="37AF4500"/>
    <w:rsid w:val="37B42B20"/>
    <w:rsid w:val="37DC62AC"/>
    <w:rsid w:val="37E6222B"/>
    <w:rsid w:val="37E80537"/>
    <w:rsid w:val="37F47325"/>
    <w:rsid w:val="380C3D50"/>
    <w:rsid w:val="38140B5F"/>
    <w:rsid w:val="3836451C"/>
    <w:rsid w:val="38493F65"/>
    <w:rsid w:val="3851759C"/>
    <w:rsid w:val="38771FBA"/>
    <w:rsid w:val="38E82B1C"/>
    <w:rsid w:val="39177DBA"/>
    <w:rsid w:val="39857D99"/>
    <w:rsid w:val="39BF4459"/>
    <w:rsid w:val="3A320852"/>
    <w:rsid w:val="3A44767E"/>
    <w:rsid w:val="3A4D1079"/>
    <w:rsid w:val="3A5822A8"/>
    <w:rsid w:val="3A5A66FF"/>
    <w:rsid w:val="3A664AB6"/>
    <w:rsid w:val="3A863AA4"/>
    <w:rsid w:val="3A891A5C"/>
    <w:rsid w:val="3A8E1EDF"/>
    <w:rsid w:val="3AC57334"/>
    <w:rsid w:val="3ACE081A"/>
    <w:rsid w:val="3ADA6DDA"/>
    <w:rsid w:val="3ADE6050"/>
    <w:rsid w:val="3AEC5ABE"/>
    <w:rsid w:val="3B437A2D"/>
    <w:rsid w:val="3B446196"/>
    <w:rsid w:val="3B671AF5"/>
    <w:rsid w:val="3B7643EA"/>
    <w:rsid w:val="3B9F21C3"/>
    <w:rsid w:val="3BA0511E"/>
    <w:rsid w:val="3BA060FC"/>
    <w:rsid w:val="3BCB13F7"/>
    <w:rsid w:val="3BF97BF8"/>
    <w:rsid w:val="3C187DF8"/>
    <w:rsid w:val="3C1D0008"/>
    <w:rsid w:val="3C2352C8"/>
    <w:rsid w:val="3C5976F8"/>
    <w:rsid w:val="3CC87D2D"/>
    <w:rsid w:val="3CCB1D67"/>
    <w:rsid w:val="3D1D04F6"/>
    <w:rsid w:val="3D1D471F"/>
    <w:rsid w:val="3DCD3FE1"/>
    <w:rsid w:val="3DE26E09"/>
    <w:rsid w:val="3DEC45A2"/>
    <w:rsid w:val="3E025562"/>
    <w:rsid w:val="3E1D58B3"/>
    <w:rsid w:val="3E517657"/>
    <w:rsid w:val="3E5F6295"/>
    <w:rsid w:val="3EA61056"/>
    <w:rsid w:val="3EC653D0"/>
    <w:rsid w:val="3ED86C93"/>
    <w:rsid w:val="3EDB17F4"/>
    <w:rsid w:val="3EE447E9"/>
    <w:rsid w:val="3F0723E5"/>
    <w:rsid w:val="3F3B2E97"/>
    <w:rsid w:val="3F8D2051"/>
    <w:rsid w:val="3F9209B2"/>
    <w:rsid w:val="40245DD4"/>
    <w:rsid w:val="402A54EB"/>
    <w:rsid w:val="40306E40"/>
    <w:rsid w:val="404A78CE"/>
    <w:rsid w:val="40985E5D"/>
    <w:rsid w:val="40BA4923"/>
    <w:rsid w:val="40C60516"/>
    <w:rsid w:val="40D37DFE"/>
    <w:rsid w:val="40FE7CBC"/>
    <w:rsid w:val="411069FA"/>
    <w:rsid w:val="41361034"/>
    <w:rsid w:val="414E2340"/>
    <w:rsid w:val="41791DC8"/>
    <w:rsid w:val="419602D6"/>
    <w:rsid w:val="41B71350"/>
    <w:rsid w:val="41C27A87"/>
    <w:rsid w:val="41DA53E0"/>
    <w:rsid w:val="41F230F1"/>
    <w:rsid w:val="41F521F3"/>
    <w:rsid w:val="420B0E4F"/>
    <w:rsid w:val="424B5091"/>
    <w:rsid w:val="42534DD8"/>
    <w:rsid w:val="42CC54D7"/>
    <w:rsid w:val="42F62542"/>
    <w:rsid w:val="43237E01"/>
    <w:rsid w:val="432E09B8"/>
    <w:rsid w:val="43313A5A"/>
    <w:rsid w:val="436B40C2"/>
    <w:rsid w:val="43812C80"/>
    <w:rsid w:val="43CE7A75"/>
    <w:rsid w:val="43D76590"/>
    <w:rsid w:val="43DD35F2"/>
    <w:rsid w:val="43E8369A"/>
    <w:rsid w:val="440539B0"/>
    <w:rsid w:val="440A760E"/>
    <w:rsid w:val="44161471"/>
    <w:rsid w:val="44265361"/>
    <w:rsid w:val="444B286B"/>
    <w:rsid w:val="445826AF"/>
    <w:rsid w:val="4464026F"/>
    <w:rsid w:val="446E67AC"/>
    <w:rsid w:val="4496034E"/>
    <w:rsid w:val="44E036A3"/>
    <w:rsid w:val="44F87357"/>
    <w:rsid w:val="450338AA"/>
    <w:rsid w:val="451F03F4"/>
    <w:rsid w:val="459A040C"/>
    <w:rsid w:val="460B08AF"/>
    <w:rsid w:val="46222F5F"/>
    <w:rsid w:val="46826A51"/>
    <w:rsid w:val="46A109D7"/>
    <w:rsid w:val="46AA29E3"/>
    <w:rsid w:val="46C12822"/>
    <w:rsid w:val="46D61EEB"/>
    <w:rsid w:val="479E23C0"/>
    <w:rsid w:val="47BF78F1"/>
    <w:rsid w:val="47C20F59"/>
    <w:rsid w:val="47EA3551"/>
    <w:rsid w:val="47F15CCD"/>
    <w:rsid w:val="48333FB1"/>
    <w:rsid w:val="4843209F"/>
    <w:rsid w:val="48516003"/>
    <w:rsid w:val="485D4BB8"/>
    <w:rsid w:val="486C3CAA"/>
    <w:rsid w:val="48741417"/>
    <w:rsid w:val="489D394F"/>
    <w:rsid w:val="489F4970"/>
    <w:rsid w:val="48B7076E"/>
    <w:rsid w:val="48F54882"/>
    <w:rsid w:val="490C79AB"/>
    <w:rsid w:val="49162786"/>
    <w:rsid w:val="49406BDD"/>
    <w:rsid w:val="495A71FC"/>
    <w:rsid w:val="49650050"/>
    <w:rsid w:val="49652FF8"/>
    <w:rsid w:val="499C4A81"/>
    <w:rsid w:val="49D97B38"/>
    <w:rsid w:val="4A141601"/>
    <w:rsid w:val="4A1D54F7"/>
    <w:rsid w:val="4A2F1196"/>
    <w:rsid w:val="4A3254E1"/>
    <w:rsid w:val="4A36216C"/>
    <w:rsid w:val="4A4C5380"/>
    <w:rsid w:val="4A6066A9"/>
    <w:rsid w:val="4A76742B"/>
    <w:rsid w:val="4A944EBA"/>
    <w:rsid w:val="4B172BBA"/>
    <w:rsid w:val="4B265CA5"/>
    <w:rsid w:val="4B422BED"/>
    <w:rsid w:val="4B4C1D18"/>
    <w:rsid w:val="4B99086C"/>
    <w:rsid w:val="4BA25DD9"/>
    <w:rsid w:val="4BAB53AC"/>
    <w:rsid w:val="4BEE4800"/>
    <w:rsid w:val="4BF10F3C"/>
    <w:rsid w:val="4C033B46"/>
    <w:rsid w:val="4C3B0EC7"/>
    <w:rsid w:val="4C3D35E3"/>
    <w:rsid w:val="4C52390E"/>
    <w:rsid w:val="4D2A3AAB"/>
    <w:rsid w:val="4D305099"/>
    <w:rsid w:val="4D4300F2"/>
    <w:rsid w:val="4D5A20B6"/>
    <w:rsid w:val="4D6A7D52"/>
    <w:rsid w:val="4D6E6979"/>
    <w:rsid w:val="4D914202"/>
    <w:rsid w:val="4DA14649"/>
    <w:rsid w:val="4DB27413"/>
    <w:rsid w:val="4DD90D80"/>
    <w:rsid w:val="4DEC462C"/>
    <w:rsid w:val="4E4F6222"/>
    <w:rsid w:val="4EC259C1"/>
    <w:rsid w:val="4EF200AF"/>
    <w:rsid w:val="4F381A17"/>
    <w:rsid w:val="4FAD1475"/>
    <w:rsid w:val="4FBC58D8"/>
    <w:rsid w:val="4FFA5C80"/>
    <w:rsid w:val="502040FA"/>
    <w:rsid w:val="503F6761"/>
    <w:rsid w:val="50421DCA"/>
    <w:rsid w:val="50755490"/>
    <w:rsid w:val="507A338E"/>
    <w:rsid w:val="507C4FC1"/>
    <w:rsid w:val="508569FA"/>
    <w:rsid w:val="50904F07"/>
    <w:rsid w:val="50972C96"/>
    <w:rsid w:val="50A26212"/>
    <w:rsid w:val="50C771D8"/>
    <w:rsid w:val="50E535BF"/>
    <w:rsid w:val="50E54771"/>
    <w:rsid w:val="5160549E"/>
    <w:rsid w:val="516532F7"/>
    <w:rsid w:val="51DF437C"/>
    <w:rsid w:val="51FB2D30"/>
    <w:rsid w:val="52144CB4"/>
    <w:rsid w:val="5262597E"/>
    <w:rsid w:val="527C2BC2"/>
    <w:rsid w:val="527D271D"/>
    <w:rsid w:val="5292273F"/>
    <w:rsid w:val="52A30310"/>
    <w:rsid w:val="52AD763A"/>
    <w:rsid w:val="52D54473"/>
    <w:rsid w:val="52F36228"/>
    <w:rsid w:val="530B0877"/>
    <w:rsid w:val="53226659"/>
    <w:rsid w:val="53423150"/>
    <w:rsid w:val="534C1F85"/>
    <w:rsid w:val="535469D4"/>
    <w:rsid w:val="53E77194"/>
    <w:rsid w:val="53EB5A67"/>
    <w:rsid w:val="540853DA"/>
    <w:rsid w:val="541A60F0"/>
    <w:rsid w:val="54264508"/>
    <w:rsid w:val="54775FE8"/>
    <w:rsid w:val="547C70C4"/>
    <w:rsid w:val="54DA60AE"/>
    <w:rsid w:val="54DE1B54"/>
    <w:rsid w:val="552E67F7"/>
    <w:rsid w:val="55764323"/>
    <w:rsid w:val="55A76204"/>
    <w:rsid w:val="55B5370E"/>
    <w:rsid w:val="55B85082"/>
    <w:rsid w:val="55EC5F49"/>
    <w:rsid w:val="560633C1"/>
    <w:rsid w:val="561206CA"/>
    <w:rsid w:val="561545AD"/>
    <w:rsid w:val="56492E22"/>
    <w:rsid w:val="565113CF"/>
    <w:rsid w:val="56A873BD"/>
    <w:rsid w:val="56B76C3F"/>
    <w:rsid w:val="56DA0BB2"/>
    <w:rsid w:val="574A26DF"/>
    <w:rsid w:val="575819DD"/>
    <w:rsid w:val="57C345D9"/>
    <w:rsid w:val="583B45C4"/>
    <w:rsid w:val="58496B54"/>
    <w:rsid w:val="58825524"/>
    <w:rsid w:val="58A74FC8"/>
    <w:rsid w:val="58BE37F8"/>
    <w:rsid w:val="58CD62EA"/>
    <w:rsid w:val="59083BAB"/>
    <w:rsid w:val="591C716A"/>
    <w:rsid w:val="593819BB"/>
    <w:rsid w:val="593E3E9F"/>
    <w:rsid w:val="598E3C02"/>
    <w:rsid w:val="59A82A88"/>
    <w:rsid w:val="59D55A01"/>
    <w:rsid w:val="59E11B7A"/>
    <w:rsid w:val="59E706B3"/>
    <w:rsid w:val="5A574090"/>
    <w:rsid w:val="5A5E206B"/>
    <w:rsid w:val="5A6F6294"/>
    <w:rsid w:val="5A7C3A1B"/>
    <w:rsid w:val="5B2907B8"/>
    <w:rsid w:val="5B437C14"/>
    <w:rsid w:val="5B4C473C"/>
    <w:rsid w:val="5B677BF4"/>
    <w:rsid w:val="5B753AD1"/>
    <w:rsid w:val="5B960358"/>
    <w:rsid w:val="5BA04847"/>
    <w:rsid w:val="5BF83264"/>
    <w:rsid w:val="5C0D626C"/>
    <w:rsid w:val="5C925A32"/>
    <w:rsid w:val="5CB912CF"/>
    <w:rsid w:val="5CCE781C"/>
    <w:rsid w:val="5CF60F2B"/>
    <w:rsid w:val="5D1C42B5"/>
    <w:rsid w:val="5D731F2B"/>
    <w:rsid w:val="5DEF3BB7"/>
    <w:rsid w:val="5E0D1F00"/>
    <w:rsid w:val="5E267589"/>
    <w:rsid w:val="5E6D5355"/>
    <w:rsid w:val="5E7F3DF2"/>
    <w:rsid w:val="5E8F507F"/>
    <w:rsid w:val="5EAC650D"/>
    <w:rsid w:val="5EB9642B"/>
    <w:rsid w:val="5EE43014"/>
    <w:rsid w:val="5EEA1034"/>
    <w:rsid w:val="5EEC598C"/>
    <w:rsid w:val="5F09172E"/>
    <w:rsid w:val="5F467E2A"/>
    <w:rsid w:val="5F6A6296"/>
    <w:rsid w:val="5F8F3360"/>
    <w:rsid w:val="5FDD7C60"/>
    <w:rsid w:val="60062096"/>
    <w:rsid w:val="601F4F65"/>
    <w:rsid w:val="604E7BFD"/>
    <w:rsid w:val="61543C41"/>
    <w:rsid w:val="6167418F"/>
    <w:rsid w:val="618978A6"/>
    <w:rsid w:val="61967F23"/>
    <w:rsid w:val="61B6163E"/>
    <w:rsid w:val="61BA5906"/>
    <w:rsid w:val="61E20FBC"/>
    <w:rsid w:val="61E810BC"/>
    <w:rsid w:val="61FE5754"/>
    <w:rsid w:val="620E23CA"/>
    <w:rsid w:val="62102818"/>
    <w:rsid w:val="624A2095"/>
    <w:rsid w:val="62836778"/>
    <w:rsid w:val="62857E0D"/>
    <w:rsid w:val="62AB7997"/>
    <w:rsid w:val="62CC02CB"/>
    <w:rsid w:val="62DE4166"/>
    <w:rsid w:val="62EF3833"/>
    <w:rsid w:val="63067ECF"/>
    <w:rsid w:val="631D61C5"/>
    <w:rsid w:val="638719D2"/>
    <w:rsid w:val="638A7448"/>
    <w:rsid w:val="63D32FA2"/>
    <w:rsid w:val="64262C6B"/>
    <w:rsid w:val="64327DAA"/>
    <w:rsid w:val="643915B0"/>
    <w:rsid w:val="646A006E"/>
    <w:rsid w:val="6470374C"/>
    <w:rsid w:val="647249BF"/>
    <w:rsid w:val="647B06F0"/>
    <w:rsid w:val="64F6554D"/>
    <w:rsid w:val="64F84E50"/>
    <w:rsid w:val="65280967"/>
    <w:rsid w:val="6529747B"/>
    <w:rsid w:val="654E2F30"/>
    <w:rsid w:val="655E4797"/>
    <w:rsid w:val="65722FD4"/>
    <w:rsid w:val="65820706"/>
    <w:rsid w:val="658B3251"/>
    <w:rsid w:val="659E6372"/>
    <w:rsid w:val="65C63FE3"/>
    <w:rsid w:val="66004F01"/>
    <w:rsid w:val="6609392E"/>
    <w:rsid w:val="660A6DB1"/>
    <w:rsid w:val="66250B19"/>
    <w:rsid w:val="66366EBA"/>
    <w:rsid w:val="664663AB"/>
    <w:rsid w:val="66501C40"/>
    <w:rsid w:val="66824240"/>
    <w:rsid w:val="669155F7"/>
    <w:rsid w:val="66A259D9"/>
    <w:rsid w:val="66C03D83"/>
    <w:rsid w:val="66D44B16"/>
    <w:rsid w:val="67010E02"/>
    <w:rsid w:val="6719485A"/>
    <w:rsid w:val="672107DF"/>
    <w:rsid w:val="67280241"/>
    <w:rsid w:val="67466BCF"/>
    <w:rsid w:val="67844ABD"/>
    <w:rsid w:val="67C07D22"/>
    <w:rsid w:val="67C61613"/>
    <w:rsid w:val="67D05EC2"/>
    <w:rsid w:val="67D36E8D"/>
    <w:rsid w:val="67DF4840"/>
    <w:rsid w:val="67F137D5"/>
    <w:rsid w:val="681A5D1F"/>
    <w:rsid w:val="68217A18"/>
    <w:rsid w:val="683547F7"/>
    <w:rsid w:val="683D1973"/>
    <w:rsid w:val="683E761C"/>
    <w:rsid w:val="685E5676"/>
    <w:rsid w:val="68616631"/>
    <w:rsid w:val="68623CE4"/>
    <w:rsid w:val="686E6129"/>
    <w:rsid w:val="68A1687C"/>
    <w:rsid w:val="68D4510B"/>
    <w:rsid w:val="68D72FCD"/>
    <w:rsid w:val="68EC5ADC"/>
    <w:rsid w:val="69135B83"/>
    <w:rsid w:val="6938587E"/>
    <w:rsid w:val="694C4A31"/>
    <w:rsid w:val="69856309"/>
    <w:rsid w:val="699232E1"/>
    <w:rsid w:val="699941C6"/>
    <w:rsid w:val="699976EA"/>
    <w:rsid w:val="69C5778F"/>
    <w:rsid w:val="69D27622"/>
    <w:rsid w:val="69ED3265"/>
    <w:rsid w:val="6A0224F5"/>
    <w:rsid w:val="6A5A31FC"/>
    <w:rsid w:val="6A770068"/>
    <w:rsid w:val="6A8207E0"/>
    <w:rsid w:val="6A9D3E35"/>
    <w:rsid w:val="6AA25366"/>
    <w:rsid w:val="6B1061BB"/>
    <w:rsid w:val="6B2F2FEA"/>
    <w:rsid w:val="6B7D035D"/>
    <w:rsid w:val="6B8A714F"/>
    <w:rsid w:val="6B9D695F"/>
    <w:rsid w:val="6BB31EA7"/>
    <w:rsid w:val="6BE1709B"/>
    <w:rsid w:val="6C154750"/>
    <w:rsid w:val="6CDE6CA9"/>
    <w:rsid w:val="6D1E65C7"/>
    <w:rsid w:val="6D3614C7"/>
    <w:rsid w:val="6D3B3476"/>
    <w:rsid w:val="6D3C5ABD"/>
    <w:rsid w:val="6E1566E0"/>
    <w:rsid w:val="6E3A2D66"/>
    <w:rsid w:val="6E9968FE"/>
    <w:rsid w:val="6EE64186"/>
    <w:rsid w:val="6EF42C77"/>
    <w:rsid w:val="6F6253E0"/>
    <w:rsid w:val="6F625A14"/>
    <w:rsid w:val="6FC90F0B"/>
    <w:rsid w:val="6FCA22A3"/>
    <w:rsid w:val="6FE55ACA"/>
    <w:rsid w:val="6FEB0581"/>
    <w:rsid w:val="706E50C0"/>
    <w:rsid w:val="70DA32A6"/>
    <w:rsid w:val="70E01009"/>
    <w:rsid w:val="70E317E7"/>
    <w:rsid w:val="70ED4246"/>
    <w:rsid w:val="70EE1F26"/>
    <w:rsid w:val="710B4B04"/>
    <w:rsid w:val="7117119A"/>
    <w:rsid w:val="71596AF6"/>
    <w:rsid w:val="71633430"/>
    <w:rsid w:val="71702154"/>
    <w:rsid w:val="717B7C26"/>
    <w:rsid w:val="71DA0900"/>
    <w:rsid w:val="72045BB5"/>
    <w:rsid w:val="722C40A6"/>
    <w:rsid w:val="727D4AF5"/>
    <w:rsid w:val="72AF0B9A"/>
    <w:rsid w:val="72C02149"/>
    <w:rsid w:val="73154FD7"/>
    <w:rsid w:val="73C20A5C"/>
    <w:rsid w:val="740B262A"/>
    <w:rsid w:val="74247876"/>
    <w:rsid w:val="74306D2C"/>
    <w:rsid w:val="74473732"/>
    <w:rsid w:val="74535CCA"/>
    <w:rsid w:val="746D3A32"/>
    <w:rsid w:val="747B1414"/>
    <w:rsid w:val="74E60282"/>
    <w:rsid w:val="75095F53"/>
    <w:rsid w:val="75441569"/>
    <w:rsid w:val="755A3C18"/>
    <w:rsid w:val="757E23E4"/>
    <w:rsid w:val="75AF03D0"/>
    <w:rsid w:val="75B149C7"/>
    <w:rsid w:val="75B45452"/>
    <w:rsid w:val="75BC51D0"/>
    <w:rsid w:val="75BE23F4"/>
    <w:rsid w:val="75EE0EF3"/>
    <w:rsid w:val="760F7A60"/>
    <w:rsid w:val="763F02DD"/>
    <w:rsid w:val="765E6ACD"/>
    <w:rsid w:val="76745605"/>
    <w:rsid w:val="76954CF7"/>
    <w:rsid w:val="76AE2875"/>
    <w:rsid w:val="76AF06E6"/>
    <w:rsid w:val="76B006CC"/>
    <w:rsid w:val="76CB6B69"/>
    <w:rsid w:val="76ED0B49"/>
    <w:rsid w:val="76EF1F9A"/>
    <w:rsid w:val="77426605"/>
    <w:rsid w:val="780E66BC"/>
    <w:rsid w:val="782228B7"/>
    <w:rsid w:val="78223E86"/>
    <w:rsid w:val="78305AE1"/>
    <w:rsid w:val="78733D12"/>
    <w:rsid w:val="78750F8D"/>
    <w:rsid w:val="787769B5"/>
    <w:rsid w:val="789471D5"/>
    <w:rsid w:val="789D638B"/>
    <w:rsid w:val="78B438F3"/>
    <w:rsid w:val="78DD1797"/>
    <w:rsid w:val="78DD1C79"/>
    <w:rsid w:val="78EF5568"/>
    <w:rsid w:val="790C708B"/>
    <w:rsid w:val="79432D09"/>
    <w:rsid w:val="797A5806"/>
    <w:rsid w:val="799105E9"/>
    <w:rsid w:val="79FB30DD"/>
    <w:rsid w:val="7A3F341B"/>
    <w:rsid w:val="7A7F58FF"/>
    <w:rsid w:val="7A8C6818"/>
    <w:rsid w:val="7A8E51C0"/>
    <w:rsid w:val="7A9F411A"/>
    <w:rsid w:val="7AAA77FD"/>
    <w:rsid w:val="7AE90A6B"/>
    <w:rsid w:val="7AEF02AD"/>
    <w:rsid w:val="7B180A13"/>
    <w:rsid w:val="7B1C0E5C"/>
    <w:rsid w:val="7B397573"/>
    <w:rsid w:val="7B514AAB"/>
    <w:rsid w:val="7B603DB0"/>
    <w:rsid w:val="7B7036F4"/>
    <w:rsid w:val="7B8A2718"/>
    <w:rsid w:val="7BCC6881"/>
    <w:rsid w:val="7BD54D49"/>
    <w:rsid w:val="7BEC55F2"/>
    <w:rsid w:val="7C0379C0"/>
    <w:rsid w:val="7C2A58B0"/>
    <w:rsid w:val="7C3330C8"/>
    <w:rsid w:val="7C5643D7"/>
    <w:rsid w:val="7C56536B"/>
    <w:rsid w:val="7C5A40DE"/>
    <w:rsid w:val="7CE86CA7"/>
    <w:rsid w:val="7CE87FCB"/>
    <w:rsid w:val="7CF7325A"/>
    <w:rsid w:val="7D064990"/>
    <w:rsid w:val="7D291E5B"/>
    <w:rsid w:val="7D9A6DB2"/>
    <w:rsid w:val="7DAE05F7"/>
    <w:rsid w:val="7DD90E26"/>
    <w:rsid w:val="7DEA6B7B"/>
    <w:rsid w:val="7E4E2F22"/>
    <w:rsid w:val="7EA678AB"/>
    <w:rsid w:val="7ECF5E07"/>
    <w:rsid w:val="7ED36730"/>
    <w:rsid w:val="7EEE42B9"/>
    <w:rsid w:val="7F2B06EF"/>
    <w:rsid w:val="7F2E6D52"/>
    <w:rsid w:val="7F50406E"/>
    <w:rsid w:val="7F706DB9"/>
    <w:rsid w:val="7F885F46"/>
    <w:rsid w:val="7F900C80"/>
    <w:rsid w:val="7FD97D68"/>
    <w:rsid w:val="7FE703A8"/>
    <w:rsid w:val="7FF9230A"/>
    <w:rsid w:val="7FFE40E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Hyperlink" w:semiHidden="0" w:qFormat="1"/>
    <w:lsdException w:name="Strong" w:semiHidden="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246"/>
    <w:pPr>
      <w:widowControl w:val="0"/>
      <w:jc w:val="both"/>
    </w:pPr>
    <w:rPr>
      <w:kern w:val="2"/>
      <w:sz w:val="21"/>
      <w:szCs w:val="24"/>
    </w:rPr>
  </w:style>
  <w:style w:type="paragraph" w:styleId="1">
    <w:name w:val="heading 1"/>
    <w:basedOn w:val="a"/>
    <w:next w:val="a"/>
    <w:link w:val="1Char"/>
    <w:uiPriority w:val="9"/>
    <w:qFormat/>
    <w:rsid w:val="0032724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2724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qFormat/>
    <w:rsid w:val="00327246"/>
    <w:pPr>
      <w:spacing w:beforeLines="30"/>
    </w:pPr>
    <w:rPr>
      <w:rFonts w:ascii="仿宋_GB2312" w:eastAsia="仿宋_GB2312"/>
      <w:kern w:val="0"/>
      <w:sz w:val="30"/>
    </w:rPr>
  </w:style>
  <w:style w:type="paragraph" w:styleId="3">
    <w:name w:val="toc 3"/>
    <w:basedOn w:val="a"/>
    <w:next w:val="a"/>
    <w:uiPriority w:val="39"/>
    <w:unhideWhenUsed/>
    <w:qFormat/>
    <w:rsid w:val="00327246"/>
    <w:pPr>
      <w:tabs>
        <w:tab w:val="right" w:leader="dot" w:pos="8296"/>
      </w:tabs>
      <w:ind w:leftChars="400" w:left="840"/>
    </w:pPr>
  </w:style>
  <w:style w:type="paragraph" w:styleId="a4">
    <w:name w:val="Balloon Text"/>
    <w:basedOn w:val="a"/>
    <w:link w:val="Char0"/>
    <w:uiPriority w:val="99"/>
    <w:semiHidden/>
    <w:unhideWhenUsed/>
    <w:qFormat/>
    <w:rsid w:val="00327246"/>
    <w:rPr>
      <w:sz w:val="18"/>
      <w:szCs w:val="18"/>
    </w:rPr>
  </w:style>
  <w:style w:type="paragraph" w:styleId="a5">
    <w:name w:val="footer"/>
    <w:basedOn w:val="a"/>
    <w:link w:val="Char1"/>
    <w:uiPriority w:val="99"/>
    <w:qFormat/>
    <w:rsid w:val="00327246"/>
    <w:pPr>
      <w:tabs>
        <w:tab w:val="center" w:pos="4153"/>
        <w:tab w:val="right" w:pos="8306"/>
      </w:tabs>
      <w:snapToGrid w:val="0"/>
      <w:jc w:val="left"/>
    </w:pPr>
    <w:rPr>
      <w:rFonts w:ascii="Calibri" w:hAnsi="Calibri"/>
      <w:kern w:val="0"/>
      <w:sz w:val="18"/>
      <w:szCs w:val="18"/>
    </w:rPr>
  </w:style>
  <w:style w:type="paragraph" w:styleId="a6">
    <w:name w:val="header"/>
    <w:basedOn w:val="a"/>
    <w:link w:val="Char2"/>
    <w:uiPriority w:val="99"/>
    <w:semiHidden/>
    <w:qFormat/>
    <w:rsid w:val="00327246"/>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327246"/>
    <w:pPr>
      <w:tabs>
        <w:tab w:val="right" w:leader="dot" w:pos="8296"/>
      </w:tabs>
      <w:spacing w:before="93"/>
      <w:jc w:val="center"/>
    </w:pPr>
    <w:rPr>
      <w:rFonts w:ascii="仿宋" w:eastAsia="仿宋" w:hAnsi="仿宋"/>
      <w:sz w:val="28"/>
      <w:szCs w:val="28"/>
    </w:rPr>
  </w:style>
  <w:style w:type="paragraph" w:styleId="20">
    <w:name w:val="toc 2"/>
    <w:basedOn w:val="a"/>
    <w:next w:val="a"/>
    <w:uiPriority w:val="39"/>
    <w:unhideWhenUsed/>
    <w:qFormat/>
    <w:rsid w:val="00327246"/>
    <w:pPr>
      <w:tabs>
        <w:tab w:val="right" w:leader="dot" w:pos="8296"/>
      </w:tabs>
      <w:ind w:leftChars="200" w:left="420"/>
    </w:pPr>
  </w:style>
  <w:style w:type="table" w:styleId="a7">
    <w:name w:val="Table Grid"/>
    <w:basedOn w:val="a1"/>
    <w:uiPriority w:val="59"/>
    <w:rsid w:val="0032724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Strong"/>
    <w:basedOn w:val="a0"/>
    <w:uiPriority w:val="99"/>
    <w:qFormat/>
    <w:rsid w:val="00327246"/>
    <w:rPr>
      <w:b/>
    </w:rPr>
  </w:style>
  <w:style w:type="character" w:styleId="a9">
    <w:name w:val="Hyperlink"/>
    <w:basedOn w:val="a0"/>
    <w:uiPriority w:val="99"/>
    <w:unhideWhenUsed/>
    <w:qFormat/>
    <w:rsid w:val="00327246"/>
    <w:rPr>
      <w:color w:val="0000FF" w:themeColor="hyperlink"/>
      <w:u w:val="single"/>
    </w:rPr>
  </w:style>
  <w:style w:type="character" w:customStyle="1" w:styleId="HeaderChar">
    <w:name w:val="Header Char"/>
    <w:basedOn w:val="a0"/>
    <w:uiPriority w:val="99"/>
    <w:semiHidden/>
    <w:qFormat/>
    <w:rsid w:val="00327246"/>
    <w:rPr>
      <w:rFonts w:ascii="Times New Roman" w:hAnsi="Times New Roman"/>
      <w:sz w:val="18"/>
      <w:szCs w:val="18"/>
    </w:rPr>
  </w:style>
  <w:style w:type="character" w:customStyle="1" w:styleId="Char2">
    <w:name w:val="页眉 Char"/>
    <w:link w:val="a6"/>
    <w:uiPriority w:val="99"/>
    <w:semiHidden/>
    <w:qFormat/>
    <w:locked/>
    <w:rsid w:val="00327246"/>
    <w:rPr>
      <w:sz w:val="18"/>
    </w:rPr>
  </w:style>
  <w:style w:type="character" w:customStyle="1" w:styleId="FooterChar">
    <w:name w:val="Footer Char"/>
    <w:basedOn w:val="a0"/>
    <w:uiPriority w:val="99"/>
    <w:semiHidden/>
    <w:qFormat/>
    <w:rsid w:val="00327246"/>
    <w:rPr>
      <w:rFonts w:ascii="Times New Roman" w:hAnsi="Times New Roman"/>
      <w:sz w:val="18"/>
      <w:szCs w:val="18"/>
    </w:rPr>
  </w:style>
  <w:style w:type="character" w:customStyle="1" w:styleId="Char1">
    <w:name w:val="页脚 Char"/>
    <w:link w:val="a5"/>
    <w:uiPriority w:val="99"/>
    <w:qFormat/>
    <w:locked/>
    <w:rsid w:val="00327246"/>
    <w:rPr>
      <w:sz w:val="18"/>
    </w:rPr>
  </w:style>
  <w:style w:type="character" w:customStyle="1" w:styleId="BodyTextChar">
    <w:name w:val="Body Text Char"/>
    <w:basedOn w:val="a0"/>
    <w:uiPriority w:val="99"/>
    <w:semiHidden/>
    <w:qFormat/>
    <w:rsid w:val="00327246"/>
    <w:rPr>
      <w:rFonts w:ascii="Times New Roman" w:hAnsi="Times New Roman"/>
      <w:szCs w:val="24"/>
    </w:rPr>
  </w:style>
  <w:style w:type="character" w:customStyle="1" w:styleId="Char">
    <w:name w:val="正文文本 Char"/>
    <w:link w:val="a3"/>
    <w:uiPriority w:val="99"/>
    <w:qFormat/>
    <w:locked/>
    <w:rsid w:val="00327246"/>
    <w:rPr>
      <w:rFonts w:ascii="仿宋_GB2312" w:eastAsia="仿宋_GB2312" w:hAnsi="Times New Roman"/>
      <w:sz w:val="24"/>
    </w:rPr>
  </w:style>
  <w:style w:type="paragraph" w:customStyle="1" w:styleId="Default">
    <w:name w:val="Default"/>
    <w:uiPriority w:val="99"/>
    <w:qFormat/>
    <w:rsid w:val="00327246"/>
    <w:pPr>
      <w:widowControl w:val="0"/>
      <w:autoSpaceDE w:val="0"/>
      <w:autoSpaceDN w:val="0"/>
      <w:adjustRightInd w:val="0"/>
    </w:pPr>
    <w:rPr>
      <w:rFonts w:ascii="仿宋" w:eastAsia="仿宋" w:hAnsi="Calibri" w:cs="仿宋"/>
      <w:color w:val="000000"/>
      <w:sz w:val="24"/>
      <w:szCs w:val="24"/>
    </w:rPr>
  </w:style>
  <w:style w:type="paragraph" w:styleId="aa">
    <w:name w:val="List Paragraph"/>
    <w:basedOn w:val="a"/>
    <w:uiPriority w:val="34"/>
    <w:qFormat/>
    <w:rsid w:val="00327246"/>
    <w:pPr>
      <w:ind w:firstLineChars="200" w:firstLine="420"/>
    </w:pPr>
  </w:style>
  <w:style w:type="character" w:customStyle="1" w:styleId="1Char">
    <w:name w:val="标题 1 Char"/>
    <w:basedOn w:val="a0"/>
    <w:link w:val="1"/>
    <w:uiPriority w:val="9"/>
    <w:qFormat/>
    <w:rsid w:val="00327246"/>
    <w:rPr>
      <w:rFonts w:ascii="Times New Roman" w:hAnsi="Times New Roman"/>
      <w:b/>
      <w:bCs/>
      <w:kern w:val="44"/>
      <w:sz w:val="44"/>
      <w:szCs w:val="44"/>
    </w:rPr>
  </w:style>
  <w:style w:type="character" w:customStyle="1" w:styleId="2Char">
    <w:name w:val="标题 2 Char"/>
    <w:basedOn w:val="a0"/>
    <w:link w:val="2"/>
    <w:uiPriority w:val="9"/>
    <w:qFormat/>
    <w:rsid w:val="00327246"/>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327246"/>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qFormat/>
    <w:rsid w:val="00327246"/>
    <w:rPr>
      <w:rFonts w:ascii="Times New Roman" w:hAnsi="Times New Roman"/>
      <w:kern w:val="2"/>
      <w:sz w:val="18"/>
      <w:szCs w:val="18"/>
    </w:rPr>
  </w:style>
  <w:style w:type="character" w:customStyle="1" w:styleId="font71">
    <w:name w:val="font71"/>
    <w:basedOn w:val="a0"/>
    <w:qFormat/>
    <w:rsid w:val="00327246"/>
    <w:rPr>
      <w:rFonts w:ascii="宋体" w:eastAsia="宋体" w:hAnsi="宋体" w:cs="宋体" w:hint="eastAsia"/>
      <w:color w:val="000000"/>
      <w:sz w:val="24"/>
      <w:szCs w:val="24"/>
      <w:u w:val="none"/>
    </w:rPr>
  </w:style>
  <w:style w:type="character" w:customStyle="1" w:styleId="font11">
    <w:name w:val="font11"/>
    <w:basedOn w:val="a0"/>
    <w:qFormat/>
    <w:rsid w:val="00327246"/>
    <w:rPr>
      <w:rFonts w:ascii="Times New Roman" w:hAnsi="Times New Roman" w:cs="Times New Roman" w:hint="default"/>
      <w:color w:val="000000"/>
      <w:sz w:val="24"/>
      <w:szCs w:val="24"/>
      <w:u w:val="none"/>
    </w:rPr>
  </w:style>
  <w:style w:type="character" w:customStyle="1" w:styleId="11">
    <w:name w:val="??????1"/>
    <w:qFormat/>
    <w:rsid w:val="0032724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esktop\&#37096;&#38376;&#20915;&#31639;&#20844;&#24320;\2020&#24180;&#30465;&#23494;&#38053;&#31649;&#29702;&#20013;&#24515;&#20915;&#31639;&#32534;&#21046;&#35828;&#26126;&#22270;&#349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enovo\Desktop\&#37096;&#38376;&#20915;&#31639;&#20844;&#24320;\2020&#24180;&#30465;&#23494;&#38053;&#31649;&#29702;&#20013;&#24515;&#20915;&#31639;&#32534;&#21046;&#35828;&#26126;&#22270;&#349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enovo\Desktop\&#37096;&#38376;&#20915;&#31639;&#20844;&#24320;\2020&#24180;&#30465;&#23494;&#38053;&#31649;&#29702;&#20013;&#24515;&#20915;&#31639;&#32534;&#21046;&#35828;&#26126;&#22270;&#3492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enovo\Desktop\&#37096;&#38376;&#20915;&#31639;&#20844;&#24320;\2020&#24180;&#30465;&#23494;&#38053;&#31649;&#29702;&#20013;&#24515;&#20915;&#31639;&#32534;&#21046;&#35828;&#26126;&#22270;&#3492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lenovo\Desktop\&#37096;&#38376;&#20915;&#31639;&#20844;&#24320;\2020&#24180;&#30465;&#23494;&#38053;&#31649;&#29702;&#20013;&#24515;&#20915;&#31639;&#32534;&#21046;&#35828;&#26126;&#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400"/>
              <a:t>20</a:t>
            </a:r>
            <a:r>
              <a:rPr lang="en-US" altLang="zh-CN" sz="1400"/>
              <a:t>20</a:t>
            </a:r>
            <a:r>
              <a:rPr sz="1400"/>
              <a:t>年收入决算结构图</a:t>
            </a:r>
          </a:p>
        </c:rich>
      </c:tx>
      <c:layout>
        <c:manualLayout>
          <c:xMode val="edge"/>
          <c:yMode val="edge"/>
          <c:x val="0.35878555577970656"/>
          <c:y val="4.9432442328817529E-2"/>
        </c:manualLayout>
      </c:layout>
      <c:spPr>
        <a:noFill/>
        <a:ln>
          <a:noFill/>
        </a:ln>
        <a:effectLst/>
      </c:spPr>
    </c:title>
    <c:plotArea>
      <c:layout>
        <c:manualLayout>
          <c:layoutTarget val="inner"/>
          <c:xMode val="edge"/>
          <c:yMode val="edge"/>
          <c:x val="0.23945935041355701"/>
          <c:y val="0.21396313926522759"/>
          <c:w val="0.54680250151301202"/>
          <c:h val="0.66166239472720556"/>
        </c:manualLayout>
      </c:layout>
      <c:pieChart>
        <c:varyColors val="1"/>
        <c:ser>
          <c:idx val="0"/>
          <c:order val="0"/>
          <c:dPt>
            <c:idx val="0"/>
            <c:spPr>
              <a:solidFill>
                <a:schemeClr val="accent1"/>
              </a:solidFill>
              <a:ln w="19050">
                <a:solidFill>
                  <a:schemeClr val="lt1"/>
                </a:solidFill>
              </a:ln>
              <a:effectLst/>
            </c:spPr>
          </c:dPt>
          <c:dLbls>
            <c:dLbl>
              <c:idx val="0"/>
              <c:layout>
                <c:manualLayout>
                  <c:x val="-9.9825010481944129E-2"/>
                  <c:y val="-0.23898078884925431"/>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1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图2!$A$2:$A$5</c:f>
              <c:strCache>
                <c:ptCount val="4"/>
                <c:pt idx="0">
                  <c:v>一般公共预算拨款收入</c:v>
                </c:pt>
                <c:pt idx="1">
                  <c:v>事业收入</c:v>
                </c:pt>
                <c:pt idx="2">
                  <c:v>其他收入</c:v>
                </c:pt>
                <c:pt idx="3">
                  <c:v>上年结转和结余</c:v>
                </c:pt>
              </c:strCache>
            </c:strRef>
          </c:cat>
          <c:val>
            <c:numRef>
              <c:f>图2!$B$2:$B$5</c:f>
              <c:numCache>
                <c:formatCode>General</c:formatCode>
                <c:ptCount val="4"/>
                <c:pt idx="0">
                  <c:v>386.31</c:v>
                </c:pt>
                <c:pt idx="1">
                  <c:v>0.2</c:v>
                </c:pt>
                <c:pt idx="2">
                  <c:v>121.28</c:v>
                </c:pt>
                <c:pt idx="3">
                  <c:v>39.190000000000012</c:v>
                </c:pt>
              </c:numCache>
            </c:numRef>
          </c:val>
        </c:ser>
        <c:dLbls>
          <c:showVal val="1"/>
        </c:dLbls>
        <c:firstSliceAng val="0"/>
      </c:pieChart>
      <c:spPr>
        <a:noFill/>
        <a:ln>
          <a:noFill/>
        </a:ln>
        <a:effectLst/>
      </c:spPr>
    </c:plotArea>
    <c:legend>
      <c:legendPos val="b"/>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a:t>
            </a:r>
            <a:r>
              <a:rPr lang="en-US" altLang="zh-CN"/>
              <a:t>20</a:t>
            </a:r>
            <a:r>
              <a:t>年支出决算结构图</a:t>
            </a:r>
          </a:p>
        </c:rich>
      </c:tx>
      <c:layout>
        <c:manualLayout>
          <c:xMode val="edge"/>
          <c:yMode val="edge"/>
          <c:x val="0.33815464028390374"/>
          <c:y val="5.4245283018867906E-2"/>
        </c:manualLayout>
      </c:layout>
      <c:spPr>
        <a:noFill/>
        <a:ln>
          <a:noFill/>
        </a:ln>
        <a:effectLst/>
      </c:spPr>
    </c:title>
    <c:plotArea>
      <c:layout>
        <c:manualLayout>
          <c:layoutTarget val="inner"/>
          <c:xMode val="edge"/>
          <c:yMode val="edge"/>
          <c:x val="0.24970426927626646"/>
          <c:y val="0.23431734317343259"/>
          <c:w val="0.49016023228304262"/>
          <c:h val="0.56063960639606636"/>
        </c:manualLayout>
      </c:layout>
      <c:pieChart>
        <c:varyColors val="1"/>
        <c:ser>
          <c:idx val="0"/>
          <c:order val="0"/>
          <c:dLbls>
            <c:dLbl>
              <c:idx val="0"/>
              <c:layout>
                <c:manualLayout>
                  <c:x val="-4.6933016992981712E-2"/>
                  <c:y val="-0.16760062972584369"/>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1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图3!$A$2</c:f>
              <c:strCache>
                <c:ptCount val="1"/>
                <c:pt idx="0">
                  <c:v>基本支出</c:v>
                </c:pt>
              </c:strCache>
            </c:strRef>
          </c:cat>
          <c:val>
            <c:numRef>
              <c:f>图3!$B$2</c:f>
              <c:numCache>
                <c:formatCode>General</c:formatCode>
                <c:ptCount val="1"/>
                <c:pt idx="0">
                  <c:v>386.31</c:v>
                </c:pt>
              </c:numCache>
            </c:numRef>
          </c:val>
        </c:ser>
        <c:dLbls>
          <c:showVal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spPr>
        <a:solidFill>
          <a:sysClr val="window" lastClr="FFFFFF"/>
        </a:solidFill>
        <a:ln>
          <a:noFill/>
        </a:ln>
        <a:effectLst/>
      </c:spPr>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100" baseline="0"/>
              <a:t>2019</a:t>
            </a:r>
            <a:r>
              <a:rPr altLang="en-US" sz="1100" baseline="0"/>
              <a:t>年与</a:t>
            </a:r>
            <a:r>
              <a:rPr lang="en-US" altLang="zh-CN" sz="1100" baseline="0"/>
              <a:t>2020</a:t>
            </a:r>
            <a:r>
              <a:rPr altLang="en-US" sz="1100" baseline="0"/>
              <a:t>年财政拨款收、支决算总计变动情况</a:t>
            </a:r>
          </a:p>
        </c:rich>
      </c:tx>
      <c:spPr>
        <a:noFill/>
        <a:ln>
          <a:noFill/>
        </a:ln>
        <a:effectLst/>
      </c:spPr>
    </c:title>
    <c:plotArea>
      <c:layout>
        <c:manualLayout>
          <c:layoutTarget val="inner"/>
          <c:xMode val="edge"/>
          <c:yMode val="edge"/>
          <c:x val="0.16520343733790943"/>
          <c:y val="0.11495770313744781"/>
          <c:w val="0.76195512308981672"/>
          <c:h val="0.63934173797230565"/>
        </c:manualLayout>
      </c:layout>
      <c:barChart>
        <c:barDir val="col"/>
        <c:grouping val="clustered"/>
        <c:ser>
          <c:idx val="0"/>
          <c:order val="0"/>
          <c:tx>
            <c:strRef>
              <c:f>图4!$A$2</c:f>
              <c:strCache>
                <c:ptCount val="1"/>
                <c:pt idx="0">
                  <c:v>2019</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图4!$A$5:$A$6</c:f>
              <c:strCache>
                <c:ptCount val="2"/>
                <c:pt idx="0">
                  <c:v>收入</c:v>
                </c:pt>
                <c:pt idx="1">
                  <c:v>支出</c:v>
                </c:pt>
              </c:strCache>
            </c:strRef>
          </c:cat>
          <c:val>
            <c:numRef>
              <c:f>图4!$B$2:$C$2</c:f>
              <c:numCache>
                <c:formatCode>General</c:formatCode>
                <c:ptCount val="2"/>
                <c:pt idx="0">
                  <c:v>331.69</c:v>
                </c:pt>
                <c:pt idx="1">
                  <c:v>331.69</c:v>
                </c:pt>
              </c:numCache>
            </c:numRef>
          </c:val>
        </c:ser>
        <c:ser>
          <c:idx val="1"/>
          <c:order val="1"/>
          <c:tx>
            <c:strRef>
              <c:f>图4!$A$3</c:f>
              <c:strCache>
                <c:ptCount val="1"/>
                <c:pt idx="0">
                  <c:v>2020</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图4!$A$5:$A$6</c:f>
              <c:strCache>
                <c:ptCount val="2"/>
                <c:pt idx="0">
                  <c:v>收入</c:v>
                </c:pt>
                <c:pt idx="1">
                  <c:v>支出</c:v>
                </c:pt>
              </c:strCache>
            </c:strRef>
          </c:cat>
          <c:val>
            <c:numRef>
              <c:f>图4!$B$3:$C$3</c:f>
              <c:numCache>
                <c:formatCode>General</c:formatCode>
                <c:ptCount val="2"/>
                <c:pt idx="0">
                  <c:v>388.09</c:v>
                </c:pt>
                <c:pt idx="1">
                  <c:v>386.31</c:v>
                </c:pt>
              </c:numCache>
            </c:numRef>
          </c:val>
        </c:ser>
        <c:dLbls>
          <c:showVal val="1"/>
        </c:dLbls>
        <c:gapWidth val="219"/>
        <c:overlap val="-27"/>
        <c:axId val="131964928"/>
        <c:axId val="131966464"/>
      </c:barChart>
      <c:catAx>
        <c:axId val="131964928"/>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crossAx val="131966464"/>
        <c:crosses val="autoZero"/>
        <c:auto val="1"/>
        <c:lblAlgn val="ctr"/>
        <c:lblOffset val="100"/>
      </c:catAx>
      <c:valAx>
        <c:axId val="131966464"/>
        <c:scaling>
          <c:orientation val="minMax"/>
          <c:max val="400"/>
          <c:min val="0"/>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crossAx val="131964928"/>
        <c:crosses val="autoZero"/>
        <c:crossBetween val="between"/>
        <c:majorUnit val="50"/>
      </c:valAx>
      <c:spPr>
        <a:noFill/>
        <a:ln>
          <a:noFill/>
        </a:ln>
        <a:effectLst/>
      </c:spPr>
    </c:plotArea>
    <c:legend>
      <c:legendPos val="b"/>
      <c:legendEntry>
        <c:idx val="1"/>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0"/>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38561250648366274"/>
          <c:y val="0.88410963735990078"/>
          <c:w val="0.29579805501187501"/>
          <c:h val="4.8889793585811234E-2"/>
        </c:manualLayout>
      </c:layout>
      <c:spPr>
        <a:noFill/>
        <a:ln>
          <a:noFill/>
        </a:ln>
        <a:effectLst/>
      </c:spPr>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sz="1800"/>
      </a:pPr>
      <a:endParaRPr lang="zh-CN"/>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sz="1400" baseline="0"/>
              <a:t>2019</a:t>
            </a:r>
            <a:r>
              <a:rPr altLang="en-US" sz="1400" baseline="0"/>
              <a:t>年与</a:t>
            </a:r>
            <a:r>
              <a:rPr lang="en-US" altLang="zh-CN" sz="1400" baseline="0"/>
              <a:t>2020</a:t>
            </a:r>
            <a:r>
              <a:rPr altLang="en-US" sz="1400" baseline="0"/>
              <a:t>年一般公共预算财政拨款支出决算变动情况</a:t>
            </a:r>
          </a:p>
        </c:rich>
      </c:tx>
      <c:spPr>
        <a:noFill/>
        <a:ln>
          <a:noFill/>
        </a:ln>
        <a:effectLst/>
      </c:spPr>
    </c:title>
    <c:plotArea>
      <c:layout>
        <c:manualLayout>
          <c:layoutTarget val="inner"/>
          <c:xMode val="edge"/>
          <c:yMode val="edge"/>
          <c:x val="0.18506864500514031"/>
          <c:y val="0.20008906337144527"/>
          <c:w val="0.69185800980672896"/>
          <c:h val="0.60948026846223557"/>
        </c:manualLayout>
      </c:layout>
      <c:barChart>
        <c:barDir val="col"/>
        <c:grouping val="clustered"/>
        <c:ser>
          <c:idx val="0"/>
          <c:order val="0"/>
          <c:tx>
            <c:strRef>
              <c:f>图5!$A$3</c:f>
              <c:strCache>
                <c:ptCount val="1"/>
                <c:pt idx="0">
                  <c:v>2019</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图5!$B$2</c:f>
              <c:strCache>
                <c:ptCount val="1"/>
                <c:pt idx="0">
                  <c:v>支出决算数</c:v>
                </c:pt>
              </c:strCache>
            </c:strRef>
          </c:cat>
          <c:val>
            <c:numRef>
              <c:f>图5!$B$3</c:f>
              <c:numCache>
                <c:formatCode>General</c:formatCode>
                <c:ptCount val="1"/>
                <c:pt idx="0">
                  <c:v>331.69</c:v>
                </c:pt>
              </c:numCache>
            </c:numRef>
          </c:val>
        </c:ser>
        <c:ser>
          <c:idx val="1"/>
          <c:order val="1"/>
          <c:tx>
            <c:strRef>
              <c:f>图5!$A$4</c:f>
              <c:strCache>
                <c:ptCount val="1"/>
                <c:pt idx="0">
                  <c:v>2020</c:v>
                </c:pt>
              </c:strCache>
            </c:strRef>
          </c:tx>
          <c:spPr>
            <a:solidFill>
              <a:schemeClr val="accent2"/>
            </a:solidFill>
            <a:ln>
              <a:noFill/>
            </a:ln>
            <a:effectLst/>
          </c:spP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图5!$B$2</c:f>
              <c:strCache>
                <c:ptCount val="1"/>
                <c:pt idx="0">
                  <c:v>支出决算数</c:v>
                </c:pt>
              </c:strCache>
            </c:strRef>
          </c:cat>
          <c:val>
            <c:numRef>
              <c:f>图5!$B$4</c:f>
              <c:numCache>
                <c:formatCode>General</c:formatCode>
                <c:ptCount val="1"/>
                <c:pt idx="0">
                  <c:v>386.31</c:v>
                </c:pt>
              </c:numCache>
            </c:numRef>
          </c:val>
        </c:ser>
        <c:dLbls>
          <c:showVal val="1"/>
        </c:dLbls>
        <c:gapWidth val="219"/>
        <c:overlap val="-27"/>
        <c:axId val="132301952"/>
        <c:axId val="132303488"/>
      </c:barChart>
      <c:catAx>
        <c:axId val="132301952"/>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zh-CN"/>
          </a:p>
        </c:txPr>
        <c:crossAx val="132303488"/>
        <c:crosses val="autoZero"/>
        <c:auto val="1"/>
        <c:lblAlgn val="ctr"/>
        <c:lblOffset val="100"/>
      </c:catAx>
      <c:valAx>
        <c:axId val="132303488"/>
        <c:scaling>
          <c:orientation val="minMax"/>
          <c:max val="400"/>
          <c:min val="0"/>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2301952"/>
        <c:crosses val="autoZero"/>
        <c:crossBetween val="between"/>
        <c:majorUnit val="50"/>
        <c:minorUnit val="4"/>
      </c:valAx>
      <c:spPr>
        <a:noFill/>
        <a:ln>
          <a:noFill/>
        </a:ln>
        <a:effectLst/>
      </c:spPr>
    </c:plotArea>
    <c:legend>
      <c:legendPos val="b"/>
      <c:legendEntry>
        <c:idx val="0"/>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38696655132641511"/>
          <c:y val="0.90308305059743299"/>
        </c:manualLayout>
      </c:layout>
      <c:spPr>
        <a:noFill/>
        <a:ln>
          <a:noFill/>
        </a:ln>
        <a:effectLst/>
      </c:spPr>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400" baseline="0"/>
              <a:t>20</a:t>
            </a:r>
            <a:r>
              <a:rPr lang="en-US" altLang="zh-CN" sz="1400" baseline="0"/>
              <a:t>20</a:t>
            </a:r>
            <a:r>
              <a:rPr sz="1400" baseline="0"/>
              <a:t>年一般公共预算财政拨款支出</a:t>
            </a:r>
            <a:endParaRPr lang="en-US" sz="1400" baseline="0"/>
          </a:p>
          <a:p>
            <a:pPr defTabSz="914400">
              <a:defRPr lang="zh-CN" sz="1400" b="0" i="0" u="none" strike="noStrike" kern="1200" spc="0" baseline="0">
                <a:solidFill>
                  <a:schemeClr val="tx1">
                    <a:lumMod val="65000"/>
                    <a:lumOff val="35000"/>
                  </a:schemeClr>
                </a:solidFill>
                <a:latin typeface="+mn-lt"/>
                <a:ea typeface="+mn-ea"/>
                <a:cs typeface="+mn-cs"/>
              </a:defRPr>
            </a:pPr>
            <a:r>
              <a:rPr sz="1400" baseline="0"/>
              <a:t>决算结构</a:t>
            </a:r>
          </a:p>
        </c:rich>
      </c:tx>
      <c:layout>
        <c:manualLayout>
          <c:xMode val="edge"/>
          <c:yMode val="edge"/>
          <c:x val="0.20308232107699434"/>
          <c:y val="1.0893652645614905E-2"/>
        </c:manualLayout>
      </c:layout>
      <c:spPr>
        <a:noFill/>
        <a:ln>
          <a:noFill/>
        </a:ln>
        <a:effectLst/>
      </c:spPr>
    </c:title>
    <c:plotArea>
      <c:layout/>
      <c:pieChart>
        <c:varyColors val="1"/>
        <c:ser>
          <c:idx val="0"/>
          <c:order val="0"/>
          <c:tx>
            <c:strRef>
              <c:f>图6!$B$1</c:f>
              <c:strCache>
                <c:ptCount val="1"/>
                <c:pt idx="0">
                  <c:v>2020年支出结构饼状图</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dLbl>
              <c:idx val="0"/>
              <c:layout>
                <c:manualLayout>
                  <c:x val="9.8159668918277571E-2"/>
                  <c:y val="-0.10500904324885216"/>
                </c:manualLayout>
              </c:layout>
              <c:dLblPos val="bestFit"/>
              <c:showVal val="1"/>
              <c:extLst>
                <c:ext xmlns:c15="http://schemas.microsoft.com/office/drawing/2012/chart" uri="{CE6537A1-D6FC-4f65-9D91-7224C49458BB}">
                  <c15:layout/>
                </c:ext>
              </c:extLst>
            </c:dLbl>
            <c:dLbl>
              <c:idx val="1"/>
              <c:layout>
                <c:manualLayout>
                  <c:x val="-3.1107547411316279E-2"/>
                  <c:y val="4.0275322017339375E-2"/>
                </c:manualLayout>
              </c:layout>
              <c:dLblPos val="bestFit"/>
              <c:showVal val="1"/>
              <c:extLst>
                <c:ext xmlns:c15="http://schemas.microsoft.com/office/drawing/2012/chart" uri="{CE6537A1-D6FC-4f65-9D91-7224C49458BB}">
                  <c15:layout/>
                </c:ext>
              </c:extLst>
            </c:dLbl>
            <c:dLbl>
              <c:idx val="2"/>
              <c:layout>
                <c:manualLayout>
                  <c:x val="-2.904390751669382E-2"/>
                  <c:y val="-3.3933082523196212E-2"/>
                </c:manualLayout>
              </c:layout>
              <c:dLblPos val="bestFit"/>
              <c:showVal val="1"/>
              <c:extLst>
                <c:ext xmlns:c15="http://schemas.microsoft.com/office/drawing/2012/chart" uri="{CE6537A1-D6FC-4f65-9D91-7224C49458BB}">
                  <c15:layout/>
                </c:ext>
              </c:extLst>
            </c:dLbl>
            <c:dLbl>
              <c:idx val="3"/>
              <c:layout>
                <c:manualLayout>
                  <c:x val="-3.5886610179263409E-2"/>
                  <c:y val="-1.9071435825439041E-2"/>
                </c:manualLayout>
              </c:layout>
              <c:dLblPos val="bestFit"/>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图6!$A$2:$A$6</c:f>
              <c:strCache>
                <c:ptCount val="5"/>
                <c:pt idx="0">
                  <c:v>一般公共服务支出</c:v>
                </c:pt>
                <c:pt idx="1">
                  <c:v>教育支出</c:v>
                </c:pt>
                <c:pt idx="2">
                  <c:v>社会保障和就业支出</c:v>
                </c:pt>
                <c:pt idx="3">
                  <c:v>卫生健康支出</c:v>
                </c:pt>
                <c:pt idx="4">
                  <c:v>住房保障支出</c:v>
                </c:pt>
              </c:strCache>
            </c:strRef>
          </c:cat>
          <c:val>
            <c:numRef>
              <c:f>图6!$B$2:$B$6</c:f>
              <c:numCache>
                <c:formatCode>General</c:formatCode>
                <c:ptCount val="5"/>
                <c:pt idx="0">
                  <c:v>59.18</c:v>
                </c:pt>
                <c:pt idx="1">
                  <c:v>214.62</c:v>
                </c:pt>
                <c:pt idx="2">
                  <c:v>62.2</c:v>
                </c:pt>
                <c:pt idx="3">
                  <c:v>25.95</c:v>
                </c:pt>
                <c:pt idx="4">
                  <c:v>24.36</c:v>
                </c:pt>
              </c:numCache>
            </c:numRef>
          </c:val>
        </c:ser>
        <c:dLbls>
          <c:showVal val="1"/>
        </c:dLbls>
        <c:firstSliceAng val="0"/>
      </c:pieChart>
      <c:spPr>
        <a:noFill/>
        <a:ln>
          <a:noFill/>
        </a:ln>
        <a:effectLst/>
      </c:spPr>
    </c:plotArea>
    <c:legend>
      <c:legendPos val="b"/>
      <c:legendEntry>
        <c:idx val="0"/>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Entry>
      <c:spPr>
        <a:noFill/>
        <a:ln>
          <a:noFill/>
        </a:ln>
        <a:effectLst/>
      </c:spPr>
      <c:txPr>
        <a:bodyPr rot="0" spcFirstLastPara="0" vertOverflow="ellipsis" vert="horz" wrap="square" anchor="ctr" anchorCtr="1"/>
        <a:lstStyle/>
        <a:p>
          <a:pPr>
            <a:defRPr lang="zh-CN" sz="14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sz="1400"/>
      </a:pPr>
      <a:endParaRPr lang="zh-CN"/>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0.74066</cdr:x>
      <cdr:y>0.1376</cdr:y>
    </cdr:from>
    <cdr:to>
      <cdr:x>0.98034</cdr:x>
      <cdr:y>0.19434</cdr:y>
    </cdr:to>
    <cdr:sp macro="" textlink="">
      <cdr:nvSpPr>
        <cdr:cNvPr id="2" name="矩形 1"/>
        <cdr:cNvSpPr/>
      </cdr:nvSpPr>
      <cdr:spPr>
        <a:xfrm xmlns:a="http://schemas.openxmlformats.org/drawingml/2006/main">
          <a:off x="3612515" y="608330"/>
          <a:ext cx="1169035" cy="250825"/>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zh-CN" altLang="en-US" sz="1000"/>
            <a:t>金额单位：万元</a:t>
          </a:r>
        </a:p>
      </cdr:txBody>
    </cdr:sp>
  </cdr:relSizeAnchor>
  <cdr:relSizeAnchor xmlns:cdr="http://schemas.openxmlformats.org/drawingml/2006/chartDrawing">
    <cdr:from>
      <cdr:x>0.7161</cdr:x>
      <cdr:y>0.89972</cdr:y>
    </cdr:from>
    <cdr:to>
      <cdr:x>0.95302</cdr:x>
      <cdr:y>0.96373</cdr:y>
    </cdr:to>
    <cdr:sp macro="" textlink="">
      <cdr:nvSpPr>
        <cdr:cNvPr id="3" name="矩形 2"/>
        <cdr:cNvSpPr/>
      </cdr:nvSpPr>
      <cdr:spPr>
        <a:xfrm xmlns:a="http://schemas.openxmlformats.org/drawingml/2006/main">
          <a:off x="3397250" y="3213100"/>
          <a:ext cx="1123950" cy="228600"/>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defPPr>
            <a:defRPr lang="zh-CN"/>
          </a:defPPr>
          <a:lvl1pPr marL="0" algn="l" defTabSz="914400" rtl="0" eaLnBrk="1" latinLnBrk="0" hangingPunct="1">
            <a:defRPr sz="1100">
              <a:latin typeface="+mn-lt"/>
              <a:ea typeface="+mn-ea"/>
              <a:cs typeface="+mn-cs"/>
            </a:defRPr>
          </a:lvl1pPr>
          <a:lvl2pPr marL="457200" algn="l" defTabSz="914400" rtl="0" eaLnBrk="1" latinLnBrk="0" hangingPunct="1">
            <a:defRPr sz="1100">
              <a:latin typeface="+mn-lt"/>
              <a:ea typeface="+mn-ea"/>
              <a:cs typeface="+mn-cs"/>
            </a:defRPr>
          </a:lvl2pPr>
          <a:lvl3pPr marL="914400" algn="l" defTabSz="914400" rtl="0" eaLnBrk="1" latinLnBrk="0" hangingPunct="1">
            <a:defRPr sz="1100">
              <a:latin typeface="+mn-lt"/>
              <a:ea typeface="+mn-ea"/>
              <a:cs typeface="+mn-cs"/>
            </a:defRPr>
          </a:lvl3pPr>
          <a:lvl4pPr marL="1371600" algn="l" defTabSz="914400" rtl="0" eaLnBrk="1" latinLnBrk="0" hangingPunct="1">
            <a:defRPr sz="1100">
              <a:latin typeface="+mn-lt"/>
              <a:ea typeface="+mn-ea"/>
              <a:cs typeface="+mn-cs"/>
            </a:defRPr>
          </a:lvl4pPr>
          <a:lvl5pPr marL="1828800" algn="l" defTabSz="914400" rtl="0" eaLnBrk="1" latinLnBrk="0" hangingPunct="1">
            <a:defRPr sz="1100">
              <a:latin typeface="+mn-lt"/>
              <a:ea typeface="+mn-ea"/>
              <a:cs typeface="+mn-cs"/>
            </a:defRPr>
          </a:lvl5pPr>
          <a:lvl6pPr marL="2286000" algn="l" defTabSz="914400" rtl="0" eaLnBrk="1" latinLnBrk="0" hangingPunct="1">
            <a:defRPr sz="1100">
              <a:latin typeface="+mn-lt"/>
              <a:ea typeface="+mn-ea"/>
              <a:cs typeface="+mn-cs"/>
            </a:defRPr>
          </a:lvl6pPr>
          <a:lvl7pPr marL="2743200" algn="l" defTabSz="914400" rtl="0" eaLnBrk="1" latinLnBrk="0" hangingPunct="1">
            <a:defRPr sz="1100">
              <a:latin typeface="+mn-lt"/>
              <a:ea typeface="+mn-ea"/>
              <a:cs typeface="+mn-cs"/>
            </a:defRPr>
          </a:lvl7pPr>
          <a:lvl8pPr marL="3200400" algn="l" defTabSz="914400" rtl="0" eaLnBrk="1" latinLnBrk="0" hangingPunct="1">
            <a:defRPr sz="1100">
              <a:latin typeface="+mn-lt"/>
              <a:ea typeface="+mn-ea"/>
              <a:cs typeface="+mn-cs"/>
            </a:defRPr>
          </a:lvl8pPr>
          <a:lvl9pPr marL="3657600" algn="l" defTabSz="914400" rtl="0" eaLnBrk="1" latinLnBrk="0" hangingPunct="1">
            <a:defRPr sz="1100">
              <a:latin typeface="+mn-lt"/>
              <a:ea typeface="+mn-ea"/>
              <a:cs typeface="+mn-cs"/>
            </a:defRPr>
          </a:lvl9pPr>
        </a:lstStyle>
        <a:p xmlns:a="http://schemas.openxmlformats.org/drawingml/2006/main">
          <a:endParaRPr lang="zh-CN" altLang="en-US"/>
        </a:p>
      </cdr:txBody>
    </cdr:sp>
  </cdr:relSizeAnchor>
</c:userShapes>
</file>

<file path=word/drawings/drawing2.xml><?xml version="1.0" encoding="utf-8"?>
<c:userShapes xmlns:c="http://schemas.openxmlformats.org/drawingml/2006/chart">
  <cdr:relSizeAnchor xmlns:cdr="http://schemas.openxmlformats.org/drawingml/2006/chartDrawing">
    <cdr:from>
      <cdr:x>0.75992</cdr:x>
      <cdr:y>0.08964</cdr:y>
    </cdr:from>
    <cdr:to>
      <cdr:x>0.99785</cdr:x>
      <cdr:y>0.16756</cdr:y>
    </cdr:to>
    <cdr:sp macro="" textlink="">
      <cdr:nvSpPr>
        <cdr:cNvPr id="2" name="矩形 1"/>
        <cdr:cNvSpPr/>
      </cdr:nvSpPr>
      <cdr:spPr>
        <a:xfrm xmlns:a="http://schemas.openxmlformats.org/drawingml/2006/main">
          <a:off x="3561696" y="351603"/>
          <a:ext cx="1115162" cy="305622"/>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zh-CN" altLang="en-US" sz="1000"/>
            <a:t>金额单位：万元</a:t>
          </a:r>
        </a:p>
      </cdr:txBody>
    </cdr:sp>
  </cdr:relSizeAnchor>
</c:userShapes>
</file>

<file path=word/drawings/drawing3.xml><?xml version="1.0" encoding="utf-8"?>
<c:userShapes xmlns:c="http://schemas.openxmlformats.org/drawingml/2006/chart">
  <cdr:relSizeAnchor xmlns:cdr="http://schemas.openxmlformats.org/drawingml/2006/chartDrawing">
    <cdr:from>
      <cdr:x>0.7161</cdr:x>
      <cdr:y>0.89972</cdr:y>
    </cdr:from>
    <cdr:to>
      <cdr:x>0.95302</cdr:x>
      <cdr:y>0.96373</cdr:y>
    </cdr:to>
    <cdr:sp macro="" textlink="">
      <cdr:nvSpPr>
        <cdr:cNvPr id="2" name="矩形 1"/>
        <cdr:cNvSpPr/>
      </cdr:nvSpPr>
      <cdr:spPr>
        <a:xfrm xmlns:a="http://schemas.openxmlformats.org/drawingml/2006/main">
          <a:off x="2975236" y="4084904"/>
          <a:ext cx="984350" cy="290618"/>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endParaRPr lang="zh-CN" altLang="en-US"/>
        </a:p>
      </cdr:txBody>
    </cdr:sp>
  </cdr:relSizeAnchor>
</c:userShapes>
</file>

<file path=word/drawings/drawing4.xml><?xml version="1.0" encoding="utf-8"?>
<c:userShapes xmlns:c="http://schemas.openxmlformats.org/drawingml/2006/chart">
  <cdr:relSizeAnchor xmlns:cdr="http://schemas.openxmlformats.org/drawingml/2006/chartDrawing">
    <cdr:from>
      <cdr:x>0.72425</cdr:x>
      <cdr:y>0.08279</cdr:y>
    </cdr:from>
    <cdr:to>
      <cdr:x>0.99268</cdr:x>
      <cdr:y>0.13368</cdr:y>
    </cdr:to>
    <cdr:sp macro="" textlink="">
      <cdr:nvSpPr>
        <cdr:cNvPr id="2" name="矩形 1"/>
        <cdr:cNvSpPr/>
      </cdr:nvSpPr>
      <cdr:spPr>
        <a:xfrm xmlns:a="http://schemas.openxmlformats.org/drawingml/2006/main">
          <a:off x="2493563" y="348920"/>
          <a:ext cx="924178" cy="214477"/>
        </a:xfrm>
        <a:prstGeom xmlns:a="http://schemas.openxmlformats.org/drawingml/2006/main" prst="rect">
          <a:avLst/>
        </a:prstGeom>
      </cdr:spPr>
      <cdr:txBody>
        <a:bodyPr xmlns:a="http://schemas.openxmlformats.org/drawingml/2006/main" vertOverflow="clip" horzOverflow="clip" vert="horz" wrap="square" lIns="45720" tIns="45720" rIns="45720" bIns="45720" rtlCol="0" anchor="t" anchorCtr="0">
          <a:normAutofit/>
        </a:bodyPr>
        <a:lstStyle xmlns:a="http://schemas.openxmlformats.org/drawingml/2006/main"/>
        <a:p xmlns:a="http://schemas.openxmlformats.org/drawingml/2006/main">
          <a:r>
            <a:rPr lang="zh-CN" altLang="en-US" sz="800" baseline="0"/>
            <a:t>金额单位：万元</a:t>
          </a:r>
        </a:p>
      </cdr:txBody>
    </cdr:sp>
  </cdr:relSizeAnchor>
</c:userShapes>
</file>

<file path=word/drawings/drawing5.xml><?xml version="1.0" encoding="utf-8"?>
<c:userShapes xmlns:c="http://schemas.openxmlformats.org/drawingml/2006/chart">
  <cdr:relSizeAnchor xmlns:cdr="http://schemas.openxmlformats.org/drawingml/2006/chartDrawing">
    <cdr:from>
      <cdr:x>0.76569</cdr:x>
      <cdr:y>0.14691</cdr:y>
    </cdr:from>
    <cdr:to>
      <cdr:x>1</cdr:x>
      <cdr:y>0.19671</cdr:y>
    </cdr:to>
    <cdr:sp macro="" textlink="">
      <cdr:nvSpPr>
        <cdr:cNvPr id="2" name="矩形 1"/>
        <cdr:cNvSpPr/>
      </cdr:nvSpPr>
      <cdr:spPr>
        <a:xfrm xmlns:a="http://schemas.openxmlformats.org/drawingml/2006/main">
          <a:off x="3066056" y="715618"/>
          <a:ext cx="938253" cy="242570"/>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lvl1pPr marL="0" indent="0">
            <a:defRPr sz="1100">
              <a:latin typeface="Calibri" panose="020F0502020204030204"/>
            </a:defRPr>
          </a:lvl1pPr>
          <a:lvl2pPr marL="457200" indent="0">
            <a:defRPr sz="1100">
              <a:latin typeface="Calibri" panose="020F0502020204030204"/>
            </a:defRPr>
          </a:lvl2pPr>
          <a:lvl3pPr marL="914400" indent="0">
            <a:defRPr sz="1100">
              <a:latin typeface="Calibri" panose="020F0502020204030204"/>
            </a:defRPr>
          </a:lvl3pPr>
          <a:lvl4pPr marL="1371600" indent="0">
            <a:defRPr sz="1100">
              <a:latin typeface="Calibri" panose="020F0502020204030204"/>
            </a:defRPr>
          </a:lvl4pPr>
          <a:lvl5pPr marL="1828800" indent="0">
            <a:defRPr sz="1100">
              <a:latin typeface="Calibri" panose="020F0502020204030204"/>
            </a:defRPr>
          </a:lvl5pPr>
          <a:lvl6pPr marL="2286000" indent="0">
            <a:defRPr sz="1100">
              <a:latin typeface="Calibri" panose="020F0502020204030204"/>
            </a:defRPr>
          </a:lvl6pPr>
          <a:lvl7pPr marL="2743200" indent="0">
            <a:defRPr sz="1100">
              <a:latin typeface="Calibri" panose="020F0502020204030204"/>
            </a:defRPr>
          </a:lvl7pPr>
          <a:lvl8pPr marL="3200400" indent="0">
            <a:defRPr sz="1100">
              <a:latin typeface="Calibri" panose="020F0502020204030204"/>
            </a:defRPr>
          </a:lvl8pPr>
          <a:lvl9pPr marL="3657600" indent="0">
            <a:defRPr sz="1100">
              <a:latin typeface="Calibri" panose="020F0502020204030204"/>
            </a:defRPr>
          </a:lvl9pPr>
        </a:lstStyle>
        <a:p xmlns:a="http://schemas.openxmlformats.org/drawingml/2006/main">
          <a:r>
            <a:rPr lang="zh-CN" altLang="en-US" sz="800" baseline="0"/>
            <a:t>金额单位：万元</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9"/>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A39B13-9B89-4114-8BE3-5344B93C7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848</Words>
  <Characters>4840</Characters>
  <Application>Microsoft Office Word</Application>
  <DocSecurity>0</DocSecurity>
  <Lines>40</Lines>
  <Paragraphs>11</Paragraphs>
  <ScaleCrop>false</ScaleCrop>
  <Company>四川省财政厅</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张彬茜</dc:creator>
  <cp:lastModifiedBy>lenovo</cp:lastModifiedBy>
  <cp:revision>3</cp:revision>
  <cp:lastPrinted>2021-09-02T01:48:00Z</cp:lastPrinted>
  <dcterms:created xsi:type="dcterms:W3CDTF">2022-11-14T00:20:00Z</dcterms:created>
  <dcterms:modified xsi:type="dcterms:W3CDTF">2022-11-14T00:30:00Z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291572335_embed</vt:lpwstr>
  </property>
  <property fmtid="{D5CDD505-2E9C-101B-9397-08002B2CF9AE}" pid="4" name="ICV">
    <vt:lpwstr>EE322517613D40818D0E44D8ED58DBF2</vt:lpwstr>
  </property>
</Properties>
</file>