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bookmarkStart w:id="0" w:name="_Toc15306267"/>
    </w:p>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p>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p>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p>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bookmarkStart w:id="1" w:name="_Toc15377425"/>
      <w:bookmarkStart w:id="2" w:name="_Toc15396475"/>
      <w:bookmarkStart w:id="3" w:name="_Toc15378441"/>
      <w:bookmarkStart w:id="4" w:name="_Toc15377193"/>
      <w:bookmarkStart w:id="5" w:name="_Toc15396597"/>
      <w:bookmarkStart w:id="6" w:name="_Toc24726"/>
      <w:bookmarkStart w:id="7" w:name="_Toc20864"/>
      <w:bookmarkStart w:id="8" w:name="_Toc8641"/>
      <w:bookmarkStart w:id="9" w:name="_Toc23939"/>
      <w:bookmarkStart w:id="10" w:name="_Toc7868"/>
      <w:bookmarkStart w:id="11" w:name="_Toc29150"/>
      <w:bookmarkStart w:id="12" w:name="_Toc21322"/>
      <w:r>
        <w:rPr>
          <w:rFonts w:hint="eastAsia" w:ascii="方正小标宋简体" w:hAnsi="方正小标宋简体" w:eastAsia="方正小标宋简体" w:cs="方正小标宋简体"/>
          <w:b/>
          <w:bCs/>
          <w:color w:val="000000"/>
          <w:sz w:val="72"/>
          <w:szCs w:val="72"/>
        </w:rPr>
        <w:t>20</w:t>
      </w:r>
      <w:r>
        <w:rPr>
          <w:rFonts w:hint="eastAsia" w:ascii="方正小标宋简体" w:hAnsi="方正小标宋简体" w:eastAsia="方正小标宋简体" w:cs="方正小标宋简体"/>
          <w:b/>
          <w:bCs/>
          <w:color w:val="000000"/>
          <w:sz w:val="72"/>
          <w:szCs w:val="72"/>
          <w:lang w:val="en-US" w:eastAsia="zh-CN"/>
        </w:rPr>
        <w:t>20</w:t>
      </w:r>
      <w:r>
        <w:rPr>
          <w:rFonts w:hint="eastAsia" w:ascii="方正小标宋简体" w:hAnsi="方正小标宋简体" w:eastAsia="方正小标宋简体" w:cs="方正小标宋简体"/>
          <w:b/>
          <w:bCs/>
          <w:color w:val="000000"/>
          <w:sz w:val="72"/>
          <w:szCs w:val="72"/>
        </w:rPr>
        <w:t>年度</w:t>
      </w:r>
      <w:bookmarkEnd w:id="1"/>
      <w:bookmarkEnd w:id="2"/>
      <w:bookmarkEnd w:id="3"/>
      <w:bookmarkEnd w:id="4"/>
      <w:bookmarkEnd w:id="5"/>
      <w:bookmarkStart w:id="13" w:name="_Toc15396598"/>
      <w:bookmarkStart w:id="14" w:name="_Toc15377426"/>
      <w:bookmarkStart w:id="15" w:name="_Toc15377194"/>
      <w:bookmarkStart w:id="16" w:name="_Toc15396476"/>
      <w:bookmarkStart w:id="17" w:name="_Toc15378442"/>
      <w:r>
        <w:rPr>
          <w:rFonts w:hint="eastAsia" w:ascii="方正小标宋简体" w:hAnsi="方正小标宋简体" w:eastAsia="方正小标宋简体" w:cs="方正小标宋简体"/>
          <w:b/>
          <w:bCs/>
          <w:color w:val="000000"/>
          <w:sz w:val="72"/>
          <w:szCs w:val="72"/>
        </w:rPr>
        <w:t>四川省</w:t>
      </w:r>
      <w:bookmarkEnd w:id="0"/>
      <w:bookmarkEnd w:id="6"/>
      <w:bookmarkEnd w:id="7"/>
      <w:bookmarkEnd w:id="8"/>
      <w:bookmarkEnd w:id="9"/>
      <w:bookmarkStart w:id="18" w:name="_Toc11522"/>
      <w:bookmarkStart w:id="19" w:name="_Toc5019"/>
      <w:bookmarkStart w:id="20" w:name="_Toc15306268"/>
      <w:bookmarkStart w:id="21" w:name="_Toc20047"/>
      <w:bookmarkStart w:id="22" w:name="_Toc5414"/>
      <w:r>
        <w:rPr>
          <w:rFonts w:hint="eastAsia" w:ascii="方正小标宋简体" w:hAnsi="方正小标宋简体" w:eastAsia="方正小标宋简体" w:cs="方正小标宋简体"/>
          <w:b/>
          <w:bCs/>
          <w:color w:val="000000"/>
          <w:sz w:val="72"/>
          <w:szCs w:val="72"/>
          <w:lang w:eastAsia="zh-CN"/>
        </w:rPr>
        <w:t>密钥管理中心单位</w:t>
      </w:r>
      <w:r>
        <w:rPr>
          <w:rFonts w:hint="eastAsia" w:ascii="方正小标宋简体" w:hAnsi="方正小标宋简体" w:eastAsia="方正小标宋简体" w:cs="方正小标宋简体"/>
          <w:b/>
          <w:bCs/>
          <w:color w:val="000000"/>
          <w:sz w:val="72"/>
          <w:szCs w:val="72"/>
        </w:rPr>
        <w:t>决算</w:t>
      </w:r>
      <w:bookmarkEnd w:id="10"/>
      <w:bookmarkEnd w:id="11"/>
      <w:bookmarkEnd w:id="12"/>
      <w:bookmarkEnd w:id="13"/>
      <w:bookmarkEnd w:id="14"/>
      <w:bookmarkEnd w:id="15"/>
      <w:bookmarkEnd w:id="16"/>
      <w:bookmarkEnd w:id="17"/>
      <w:bookmarkEnd w:id="18"/>
      <w:bookmarkEnd w:id="19"/>
      <w:bookmarkEnd w:id="20"/>
      <w:bookmarkEnd w:id="21"/>
      <w:bookmarkEnd w:id="22"/>
    </w:p>
    <w:p>
      <w:pPr>
        <w:pageBreakBefore w:val="0"/>
        <w:widowControl/>
        <w:kinsoku/>
        <w:wordWrap/>
        <w:overflowPunct/>
        <w:topLinePunct w:val="0"/>
        <w:bidi w:val="0"/>
        <w:adjustRightInd w:val="0"/>
        <w:snapToGrid w:val="0"/>
        <w:spacing w:line="360" w:lineRule="auto"/>
        <w:jc w:val="center"/>
        <w:rPr>
          <w:rFonts w:hint="default" w:ascii="Times New Roman" w:hAnsi="Times New Roman" w:eastAsia="黑体" w:cs="Times New Roman"/>
          <w:b/>
          <w:bCs/>
          <w:color w:val="000000"/>
          <w:sz w:val="48"/>
          <w:szCs w:val="48"/>
        </w:rPr>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p>
    <w:p>
      <w:pPr>
        <w:pageBreakBefore w:val="0"/>
        <w:widowControl/>
        <w:kinsoku/>
        <w:wordWrap/>
        <w:overflowPunct/>
        <w:topLinePunct w:val="0"/>
        <w:bidi w:val="0"/>
        <w:adjustRightInd w:val="0"/>
        <w:snapToGrid w:val="0"/>
        <w:spacing w:line="360" w:lineRule="auto"/>
        <w:jc w:val="center"/>
        <w:rPr>
          <w:rFonts w:hint="default" w:ascii="Times New Roman" w:hAnsi="Times New Roman" w:eastAsia="黑体" w:cs="Times New Roman"/>
          <w:b/>
          <w:bCs/>
          <w:color w:val="000000"/>
          <w:sz w:val="48"/>
          <w:szCs w:val="48"/>
        </w:rPr>
      </w:pPr>
      <w:r>
        <w:rPr>
          <w:rFonts w:hint="default" w:ascii="Times New Roman" w:hAnsi="Times New Roman" w:eastAsia="黑体" w:cs="Times New Roman"/>
          <w:b/>
          <w:bCs/>
          <w:color w:val="000000"/>
          <w:sz w:val="48"/>
          <w:szCs w:val="48"/>
        </w:rPr>
        <w:t>目录</w:t>
      </w:r>
    </w:p>
    <w:p>
      <w:pPr>
        <w:pStyle w:val="9"/>
        <w:pageBreakBefore w:val="0"/>
        <w:widowControl/>
        <w:tabs>
          <w:tab w:val="right" w:leader="dot" w:pos="8306"/>
          <w:tab w:val="clear" w:pos="8296"/>
        </w:tabs>
        <w:kinsoku/>
        <w:wordWrap/>
        <w:overflowPunct/>
        <w:topLinePunct w:val="0"/>
        <w:bidi w:val="0"/>
        <w:adjustRightInd w:val="0"/>
        <w:snapToGrid w:val="0"/>
        <w:spacing w:line="360" w:lineRule="auto"/>
        <w:jc w:val="center"/>
        <w:rPr>
          <w:rFonts w:hint="eastAsia" w:ascii="黑体" w:hAnsi="黑体" w:eastAsia="黑体" w:cs="黑体"/>
          <w:b/>
          <w:bCs/>
          <w:kern w:val="2"/>
          <w:sz w:val="28"/>
          <w:szCs w:val="28"/>
          <w:lang w:val="en-US" w:eastAsia="zh-CN" w:bidi="ar-SA"/>
        </w:rPr>
      </w:pPr>
      <w:r>
        <w:rPr>
          <w:rFonts w:hint="eastAsia" w:ascii="黑体" w:hAnsi="黑体" w:eastAsia="黑体" w:cs="黑体"/>
          <w:b/>
          <w:bCs/>
        </w:rPr>
        <w:t>公开时间：20</w:t>
      </w:r>
      <w:r>
        <w:rPr>
          <w:rFonts w:hint="eastAsia" w:ascii="黑体" w:hAnsi="黑体" w:eastAsia="黑体" w:cs="黑体"/>
          <w:b/>
          <w:bCs/>
          <w:lang w:val="en-US" w:eastAsia="zh-CN"/>
        </w:rPr>
        <w:t>21</w:t>
      </w:r>
      <w:r>
        <w:rPr>
          <w:rFonts w:hint="eastAsia" w:ascii="黑体" w:hAnsi="黑体" w:eastAsia="黑体" w:cs="黑体"/>
          <w:b/>
          <w:bCs/>
        </w:rPr>
        <w:t>年</w:t>
      </w:r>
      <w:r>
        <w:rPr>
          <w:rFonts w:hint="eastAsia" w:ascii="黑体" w:hAnsi="黑体" w:eastAsia="黑体" w:cs="黑体"/>
          <w:b/>
          <w:bCs/>
          <w:lang w:val="en-US" w:eastAsia="zh-CN"/>
        </w:rPr>
        <w:t>9</w:t>
      </w:r>
      <w:r>
        <w:rPr>
          <w:rFonts w:hint="eastAsia" w:ascii="黑体" w:hAnsi="黑体" w:eastAsia="黑体" w:cs="黑体"/>
          <w:b/>
          <w:bCs/>
        </w:rPr>
        <w:t>月</w:t>
      </w:r>
      <w:r>
        <w:rPr>
          <w:rFonts w:hint="eastAsia" w:ascii="黑体" w:hAnsi="黑体" w:eastAsia="黑体" w:cs="黑体"/>
          <w:b/>
          <w:bCs/>
          <w:lang w:val="en-US" w:eastAsia="zh-CN"/>
        </w:rPr>
        <w:t>10</w:t>
      </w:r>
      <w:r>
        <w:rPr>
          <w:rFonts w:hint="eastAsia" w:ascii="黑体" w:hAnsi="黑体" w:eastAsia="黑体" w:cs="黑体"/>
          <w:b/>
          <w:bCs/>
        </w:rPr>
        <w:t>日</w:t>
      </w:r>
      <w:bookmarkStart w:id="23" w:name="_Toc15377196"/>
      <w:r>
        <w:rPr>
          <w:rFonts w:hint="eastAsia" w:ascii="黑体" w:hAnsi="黑体" w:eastAsia="黑体" w:cs="黑体"/>
          <w:b/>
          <w:bCs/>
        </w:rPr>
        <w:fldChar w:fldCharType="begin"/>
      </w:r>
      <w:r>
        <w:rPr>
          <w:rFonts w:hint="eastAsia" w:ascii="黑体" w:hAnsi="黑体" w:eastAsia="黑体" w:cs="黑体"/>
          <w:b/>
          <w:bCs/>
        </w:rPr>
        <w:instrText xml:space="preserve"> TOC \o "1-2" \h \z \u </w:instrText>
      </w:r>
      <w:r>
        <w:rPr>
          <w:rFonts w:hint="eastAsia" w:ascii="黑体" w:hAnsi="黑体" w:eastAsia="黑体" w:cs="黑体"/>
          <w:b/>
          <w:bCs/>
        </w:rPr>
        <w:fldChar w:fldCharType="separate"/>
      </w:r>
    </w:p>
    <w:p>
      <w:pPr>
        <w:pStyle w:val="9"/>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_Toc1283 </w:instrText>
      </w:r>
      <w:r>
        <w:rPr>
          <w:rFonts w:hint="eastAsia" w:ascii="黑体" w:hAnsi="黑体" w:eastAsia="黑体" w:cs="黑体"/>
          <w:bCs/>
        </w:rPr>
        <w:fldChar w:fldCharType="separate"/>
      </w:r>
      <w:r>
        <w:rPr>
          <w:rFonts w:hint="default" w:ascii="Times New Roman" w:hAnsi="Times New Roman" w:eastAsia="黑体" w:cs="Times New Roman"/>
          <w:bCs/>
        </w:rPr>
        <w:t xml:space="preserve">第一部分 </w:t>
      </w:r>
      <w:r>
        <w:rPr>
          <w:rFonts w:hint="eastAsia" w:eastAsia="黑体" w:cs="Times New Roman"/>
          <w:bCs/>
          <w:lang w:eastAsia="zh-CN"/>
        </w:rPr>
        <w:t>单位</w:t>
      </w:r>
      <w:r>
        <w:rPr>
          <w:rFonts w:hint="default" w:ascii="Times New Roman" w:hAnsi="Times New Roman" w:eastAsia="黑体" w:cs="Times New Roman"/>
          <w:bCs/>
        </w:rPr>
        <w:t>概况</w:t>
      </w:r>
      <w:r>
        <w:tab/>
      </w:r>
      <w:r>
        <w:fldChar w:fldCharType="begin"/>
      </w:r>
      <w:r>
        <w:instrText xml:space="preserve"> PAGEREF _Toc1283 \h </w:instrText>
      </w:r>
      <w:r>
        <w:fldChar w:fldCharType="separate"/>
      </w:r>
      <w:r>
        <w:t>1</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_Toc18949 </w:instrText>
      </w:r>
      <w:r>
        <w:rPr>
          <w:rFonts w:hint="eastAsia" w:ascii="黑体" w:hAnsi="黑体" w:eastAsia="黑体" w:cs="黑体"/>
          <w:bCs/>
        </w:rPr>
        <w:fldChar w:fldCharType="separate"/>
      </w:r>
      <w:r>
        <w:rPr>
          <w:rFonts w:hint="default" w:ascii="Times New Roman" w:hAnsi="Times New Roman" w:eastAsia="黑体" w:cs="Times New Roman"/>
          <w:bCs/>
        </w:rPr>
        <w:t>一、</w:t>
      </w:r>
      <w:r>
        <w:rPr>
          <w:rFonts w:hint="eastAsia" w:ascii="Times New Roman" w:hAnsi="Times New Roman" w:eastAsia="黑体" w:cs="Times New Roman"/>
          <w:bCs/>
          <w:lang w:eastAsia="zh-CN"/>
        </w:rPr>
        <w:t>职能简介</w:t>
      </w:r>
      <w:r>
        <w:tab/>
      </w:r>
      <w:r>
        <w:fldChar w:fldCharType="begin"/>
      </w:r>
      <w:r>
        <w:instrText xml:space="preserve"> PAGEREF _Toc18949 \h </w:instrText>
      </w:r>
      <w:r>
        <w:fldChar w:fldCharType="separate"/>
      </w:r>
      <w:r>
        <w:t>1</w:t>
      </w:r>
      <w:r>
        <w:fldChar w:fldCharType="end"/>
      </w:r>
      <w:r>
        <w:rPr>
          <w:rFonts w:hint="eastAsia" w:ascii="黑体" w:hAnsi="黑体" w:eastAsia="黑体" w:cs="黑体"/>
          <w:bCs/>
        </w:rPr>
        <w:fldChar w:fldCharType="end"/>
      </w:r>
    </w:p>
    <w:p>
      <w:pPr>
        <w:pStyle w:val="10"/>
        <w:tabs>
          <w:tab w:val="right" w:leader="dot" w:pos="8306"/>
          <w:tab w:val="clear" w:pos="8296"/>
        </w:tabs>
        <w:rPr>
          <w:rFonts w:hint="eastAsia" w:ascii="黑体" w:hAnsi="黑体" w:eastAsia="黑体" w:cs="黑体"/>
          <w:bCs/>
        </w:rPr>
      </w:pPr>
      <w:r>
        <w:rPr>
          <w:rFonts w:hint="eastAsia" w:ascii="黑体" w:hAnsi="黑体" w:eastAsia="黑体" w:cs="黑体"/>
          <w:bCs/>
        </w:rPr>
        <w:fldChar w:fldCharType="begin"/>
      </w:r>
      <w:r>
        <w:rPr>
          <w:rFonts w:hint="eastAsia" w:ascii="黑体" w:hAnsi="黑体" w:eastAsia="黑体" w:cs="黑体"/>
          <w:bCs/>
        </w:rPr>
        <w:instrText xml:space="preserve"> HYPERLINK \l _Toc15336 </w:instrText>
      </w:r>
      <w:r>
        <w:rPr>
          <w:rFonts w:hint="eastAsia" w:ascii="黑体" w:hAnsi="黑体" w:eastAsia="黑体" w:cs="黑体"/>
          <w:bCs/>
        </w:rPr>
        <w:fldChar w:fldCharType="separate"/>
      </w:r>
      <w:r>
        <w:rPr>
          <w:rFonts w:hint="eastAsia" w:ascii="黑体" w:hAnsi="黑体" w:eastAsia="黑体" w:cs="黑体"/>
          <w:lang w:eastAsia="zh-CN"/>
        </w:rPr>
        <w:t>二、</w:t>
      </w:r>
      <w:r>
        <w:rPr>
          <w:rFonts w:hint="eastAsia" w:ascii="黑体" w:hAnsi="黑体" w:eastAsia="黑体" w:cs="黑体"/>
        </w:rPr>
        <w:t>20</w:t>
      </w:r>
      <w:r>
        <w:rPr>
          <w:rFonts w:hint="eastAsia" w:ascii="黑体" w:hAnsi="黑体" w:eastAsia="黑体" w:cs="黑体"/>
          <w:lang w:val="en-US" w:eastAsia="zh-CN"/>
        </w:rPr>
        <w:t>20</w:t>
      </w:r>
      <w:r>
        <w:rPr>
          <w:rFonts w:hint="eastAsia" w:ascii="黑体" w:hAnsi="黑体" w:eastAsia="黑体" w:cs="黑体"/>
        </w:rPr>
        <w:t>年重点工作完成情况</w:t>
      </w:r>
      <w:r>
        <w:tab/>
      </w:r>
      <w:r>
        <w:fldChar w:fldCharType="begin"/>
      </w:r>
      <w:r>
        <w:instrText xml:space="preserve"> PAGEREF _Toc15336 \h </w:instrText>
      </w:r>
      <w:r>
        <w:fldChar w:fldCharType="separate"/>
      </w:r>
      <w:r>
        <w:t>1</w:t>
      </w:r>
      <w:r>
        <w:fldChar w:fldCharType="end"/>
      </w:r>
      <w:r>
        <w:rPr>
          <w:rFonts w:hint="eastAsia" w:ascii="黑体" w:hAnsi="黑体" w:eastAsia="黑体" w:cs="黑体"/>
          <w:bCs/>
        </w:rPr>
        <w:fldChar w:fldCharType="end"/>
      </w:r>
    </w:p>
    <w:p>
      <w:pPr>
        <w:pStyle w:val="10"/>
        <w:tabs>
          <w:tab w:val="right" w:leader="dot" w:pos="8306"/>
          <w:tab w:val="clear" w:pos="8296"/>
        </w:tabs>
      </w:pPr>
      <w:r>
        <w:fldChar w:fldCharType="begin"/>
      </w:r>
      <w:r>
        <w:instrText xml:space="preserve"> HYPERLINK \l "_Toc15336" </w:instrText>
      </w:r>
      <w:r>
        <w:fldChar w:fldCharType="separate"/>
      </w:r>
      <w:r>
        <w:rPr>
          <w:rFonts w:hint="eastAsia" w:ascii="黑体" w:hAnsi="黑体" w:eastAsia="黑体" w:cs="黑体"/>
        </w:rPr>
        <w:t>三、机构设置情况</w:t>
      </w:r>
      <w:r>
        <w:tab/>
      </w:r>
      <w:r>
        <w:fldChar w:fldCharType="begin"/>
      </w:r>
      <w:r>
        <w:instrText xml:space="preserve"> PAGEREF _Toc15336 \h </w:instrText>
      </w:r>
      <w:r>
        <w:fldChar w:fldCharType="separate"/>
      </w:r>
      <w:r>
        <w:t>1</w:t>
      </w:r>
      <w:r>
        <w:fldChar w:fldCharType="end"/>
      </w:r>
      <w:r>
        <w:fldChar w:fldCharType="end"/>
      </w:r>
    </w:p>
    <w:p>
      <w:pPr>
        <w:pStyle w:val="9"/>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_Toc30005 </w:instrText>
      </w:r>
      <w:r>
        <w:rPr>
          <w:rFonts w:hint="eastAsia" w:ascii="黑体" w:hAnsi="黑体" w:eastAsia="黑体" w:cs="黑体"/>
          <w:bCs/>
        </w:rPr>
        <w:fldChar w:fldCharType="separate"/>
      </w:r>
      <w:r>
        <w:rPr>
          <w:rFonts w:hint="default" w:ascii="Times New Roman" w:hAnsi="Times New Roman" w:eastAsia="黑体" w:cs="Times New Roman"/>
          <w:bCs/>
        </w:rPr>
        <w:t xml:space="preserve">第二部分 </w:t>
      </w:r>
      <w:r>
        <w:rPr>
          <w:rFonts w:hint="eastAsia" w:ascii="黑体" w:hAnsi="黑体" w:eastAsia="黑体" w:cs="黑体"/>
          <w:bCs/>
        </w:rPr>
        <w:t>20</w:t>
      </w:r>
      <w:r>
        <w:rPr>
          <w:rFonts w:hint="eastAsia" w:ascii="黑体" w:hAnsi="黑体" w:eastAsia="黑体" w:cs="黑体"/>
          <w:bCs/>
          <w:lang w:val="en-US" w:eastAsia="zh-CN"/>
        </w:rPr>
        <w:t>20</w:t>
      </w:r>
      <w:r>
        <w:rPr>
          <w:rFonts w:hint="default" w:ascii="Times New Roman" w:hAnsi="Times New Roman" w:eastAsia="黑体" w:cs="Times New Roman"/>
          <w:bCs/>
        </w:rPr>
        <w:t>年度</w:t>
      </w:r>
      <w:r>
        <w:rPr>
          <w:rFonts w:hint="eastAsia" w:eastAsia="黑体" w:cs="Times New Roman"/>
          <w:bCs/>
          <w:lang w:eastAsia="zh-CN"/>
        </w:rPr>
        <w:t>单位</w:t>
      </w:r>
      <w:r>
        <w:rPr>
          <w:rFonts w:hint="default" w:ascii="Times New Roman" w:hAnsi="Times New Roman" w:eastAsia="黑体" w:cs="Times New Roman"/>
          <w:bCs/>
        </w:rPr>
        <w:t>决算情况说明</w:t>
      </w:r>
      <w:r>
        <w:tab/>
      </w:r>
      <w:r>
        <w:fldChar w:fldCharType="begin"/>
      </w:r>
      <w:r>
        <w:instrText xml:space="preserve"> PAGEREF _Toc30005 \h </w:instrText>
      </w:r>
      <w:r>
        <w:fldChar w:fldCharType="separate"/>
      </w:r>
      <w:r>
        <w:t>2</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_Toc26460 </w:instrText>
      </w:r>
      <w:r>
        <w:rPr>
          <w:rFonts w:hint="eastAsia" w:ascii="黑体" w:hAnsi="黑体" w:eastAsia="黑体" w:cs="黑体"/>
          <w:bCs/>
        </w:rPr>
        <w:fldChar w:fldCharType="separate"/>
      </w:r>
      <w:r>
        <w:rPr>
          <w:rFonts w:hint="default" w:ascii="Times New Roman" w:hAnsi="Times New Roman" w:eastAsia="黑体" w:cs="Times New Roman"/>
          <w:bCs/>
        </w:rPr>
        <w:t xml:space="preserve">一、 </w:t>
      </w:r>
      <w:r>
        <w:rPr>
          <w:rFonts w:hint="default" w:ascii="Times New Roman" w:hAnsi="Times New Roman" w:eastAsia="黑体" w:cs="Times New Roman"/>
          <w:bCs/>
          <w:szCs w:val="32"/>
        </w:rPr>
        <w:t>收</w:t>
      </w:r>
      <w:r>
        <w:rPr>
          <w:rFonts w:hint="default" w:ascii="Times New Roman" w:hAnsi="Times New Roman" w:eastAsia="黑体" w:cs="Times New Roman"/>
          <w:bCs/>
        </w:rPr>
        <w:t>入支出决算总体情况说明</w:t>
      </w:r>
      <w:r>
        <w:tab/>
      </w:r>
      <w:r>
        <w:fldChar w:fldCharType="begin"/>
      </w:r>
      <w:r>
        <w:instrText xml:space="preserve"> PAGEREF _Toc26460 \h </w:instrText>
      </w:r>
      <w:r>
        <w:fldChar w:fldCharType="separate"/>
      </w:r>
      <w:r>
        <w:t>2</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_Toc5614 </w:instrText>
      </w:r>
      <w:r>
        <w:rPr>
          <w:rFonts w:hint="eastAsia" w:ascii="黑体" w:hAnsi="黑体" w:eastAsia="黑体" w:cs="黑体"/>
          <w:bCs/>
        </w:rPr>
        <w:fldChar w:fldCharType="separate"/>
      </w:r>
      <w:r>
        <w:rPr>
          <w:rFonts w:hint="default" w:ascii="Times New Roman" w:hAnsi="Times New Roman" w:eastAsia="黑体" w:cs="Times New Roman"/>
          <w:bCs/>
        </w:rPr>
        <w:t xml:space="preserve">二、 </w:t>
      </w:r>
      <w:r>
        <w:rPr>
          <w:rFonts w:hint="default" w:ascii="Times New Roman" w:hAnsi="Times New Roman" w:eastAsia="黑体" w:cs="Times New Roman"/>
          <w:bCs/>
          <w:szCs w:val="32"/>
        </w:rPr>
        <w:t>收</w:t>
      </w:r>
      <w:r>
        <w:rPr>
          <w:rFonts w:hint="default" w:ascii="Times New Roman" w:hAnsi="Times New Roman" w:eastAsia="黑体" w:cs="Times New Roman"/>
          <w:bCs/>
        </w:rPr>
        <w:t>入决算情况说明</w:t>
      </w:r>
      <w:r>
        <w:tab/>
      </w:r>
      <w:r>
        <w:fldChar w:fldCharType="begin"/>
      </w:r>
      <w:r>
        <w:instrText xml:space="preserve"> PAGEREF _Toc5614 \h </w:instrText>
      </w:r>
      <w:r>
        <w:fldChar w:fldCharType="separate"/>
      </w:r>
      <w:r>
        <w:t>2</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_Toc7573 </w:instrText>
      </w:r>
      <w:r>
        <w:rPr>
          <w:rFonts w:hint="eastAsia" w:ascii="黑体" w:hAnsi="黑体" w:eastAsia="黑体" w:cs="黑体"/>
          <w:bCs/>
        </w:rPr>
        <w:fldChar w:fldCharType="separate"/>
      </w:r>
      <w:r>
        <w:rPr>
          <w:rFonts w:hint="default" w:ascii="Times New Roman" w:hAnsi="Times New Roman" w:eastAsia="黑体" w:cs="Times New Roman"/>
          <w:bCs/>
        </w:rPr>
        <w:t xml:space="preserve">三、 </w:t>
      </w:r>
      <w:r>
        <w:rPr>
          <w:rFonts w:hint="default" w:ascii="Times New Roman" w:hAnsi="Times New Roman" w:eastAsia="黑体" w:cs="Times New Roman"/>
          <w:bCs/>
          <w:szCs w:val="32"/>
        </w:rPr>
        <w:t>支</w:t>
      </w:r>
      <w:r>
        <w:rPr>
          <w:rFonts w:hint="default" w:ascii="Times New Roman" w:hAnsi="Times New Roman" w:eastAsia="黑体" w:cs="Times New Roman"/>
          <w:bCs/>
        </w:rPr>
        <w:t>出决算情况说明</w:t>
      </w:r>
      <w:r>
        <w:tab/>
      </w:r>
      <w:r>
        <w:fldChar w:fldCharType="begin"/>
      </w:r>
      <w:r>
        <w:instrText xml:space="preserve"> PAGEREF _Toc7573 \h </w:instrText>
      </w:r>
      <w:r>
        <w:fldChar w:fldCharType="separate"/>
      </w:r>
      <w:r>
        <w:t>3</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_Toc9526 </w:instrText>
      </w:r>
      <w:r>
        <w:rPr>
          <w:rFonts w:hint="eastAsia" w:ascii="黑体" w:hAnsi="黑体" w:eastAsia="黑体" w:cs="黑体"/>
          <w:bCs/>
        </w:rPr>
        <w:fldChar w:fldCharType="separate"/>
      </w:r>
      <w:r>
        <w:rPr>
          <w:rFonts w:hint="default" w:ascii="Times New Roman" w:hAnsi="Times New Roman" w:eastAsia="黑体" w:cs="Times New Roman"/>
          <w:bCs/>
          <w:szCs w:val="32"/>
        </w:rPr>
        <w:t>四、财</w:t>
      </w:r>
      <w:r>
        <w:rPr>
          <w:rFonts w:hint="default" w:ascii="Times New Roman" w:hAnsi="Times New Roman" w:eastAsia="黑体" w:cs="Times New Roman"/>
          <w:bCs/>
        </w:rPr>
        <w:t>政拨款收入支出决算总体情况说明</w:t>
      </w:r>
      <w:r>
        <w:tab/>
      </w:r>
      <w:r>
        <w:fldChar w:fldCharType="begin"/>
      </w:r>
      <w:r>
        <w:instrText xml:space="preserve"> PAGEREF _Toc9526 \h </w:instrText>
      </w:r>
      <w:r>
        <w:fldChar w:fldCharType="separate"/>
      </w:r>
      <w:r>
        <w:t>4</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_Toc26758 </w:instrText>
      </w:r>
      <w:r>
        <w:rPr>
          <w:rFonts w:hint="eastAsia" w:ascii="黑体" w:hAnsi="黑体" w:eastAsia="黑体" w:cs="黑体"/>
          <w:bCs/>
        </w:rPr>
        <w:fldChar w:fldCharType="separate"/>
      </w:r>
      <w:r>
        <w:rPr>
          <w:rFonts w:hint="default" w:ascii="Times New Roman" w:hAnsi="Times New Roman" w:eastAsia="黑体" w:cs="Times New Roman"/>
          <w:bCs/>
          <w:szCs w:val="32"/>
        </w:rPr>
        <w:t>五、一</w:t>
      </w:r>
      <w:r>
        <w:rPr>
          <w:rFonts w:hint="default" w:ascii="Times New Roman" w:hAnsi="Times New Roman" w:eastAsia="黑体" w:cs="Times New Roman"/>
          <w:bCs/>
        </w:rPr>
        <w:t>般公共预算财政拨款支出决算情况说明</w:t>
      </w:r>
      <w:r>
        <w:tab/>
      </w:r>
      <w:r>
        <w:fldChar w:fldCharType="begin"/>
      </w:r>
      <w:r>
        <w:instrText xml:space="preserve"> PAGEREF _Toc26758 \h </w:instrText>
      </w:r>
      <w:r>
        <w:fldChar w:fldCharType="separate"/>
      </w:r>
      <w:r>
        <w:t>4</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_Toc11823 </w:instrText>
      </w:r>
      <w:r>
        <w:rPr>
          <w:rFonts w:hint="eastAsia" w:ascii="黑体" w:hAnsi="黑体" w:eastAsia="黑体" w:cs="黑体"/>
          <w:bCs/>
        </w:rPr>
        <w:fldChar w:fldCharType="separate"/>
      </w:r>
      <w:r>
        <w:rPr>
          <w:rFonts w:hint="default" w:ascii="Times New Roman" w:hAnsi="Times New Roman" w:eastAsia="黑体" w:cs="Times New Roman"/>
          <w:bCs/>
          <w:szCs w:val="32"/>
        </w:rPr>
        <w:t>六、一</w:t>
      </w:r>
      <w:r>
        <w:rPr>
          <w:rFonts w:hint="default" w:ascii="Times New Roman" w:hAnsi="Times New Roman" w:eastAsia="黑体" w:cs="Times New Roman"/>
          <w:bCs/>
        </w:rPr>
        <w:t>般公共预算财政拨款基本支出决算情况说明</w:t>
      </w:r>
      <w:r>
        <w:tab/>
      </w:r>
      <w:r>
        <w:fldChar w:fldCharType="begin"/>
      </w:r>
      <w:r>
        <w:instrText xml:space="preserve"> PAGEREF _Toc11823 \h </w:instrText>
      </w:r>
      <w:r>
        <w:fldChar w:fldCharType="separate"/>
      </w:r>
      <w:r>
        <w:t>6</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_Toc5076 </w:instrText>
      </w:r>
      <w:r>
        <w:rPr>
          <w:rFonts w:hint="eastAsia" w:ascii="黑体" w:hAnsi="黑体" w:eastAsia="黑体" w:cs="黑体"/>
          <w:bCs/>
        </w:rPr>
        <w:fldChar w:fldCharType="separate"/>
      </w:r>
      <w:r>
        <w:rPr>
          <w:rFonts w:hint="default" w:ascii="Times New Roman" w:hAnsi="Times New Roman" w:eastAsia="黑体" w:cs="Times New Roman"/>
          <w:bCs/>
          <w:szCs w:val="32"/>
        </w:rPr>
        <w:t>七、</w:t>
      </w:r>
      <w:r>
        <w:rPr>
          <w:rFonts w:hint="default" w:ascii="Times New Roman" w:hAnsi="Times New Roman" w:eastAsia="黑体" w:cs="Times New Roman"/>
          <w:bCs/>
        </w:rPr>
        <w:t>“三公”经费财政拨款支出决算情况说明</w:t>
      </w:r>
      <w:r>
        <w:tab/>
      </w:r>
      <w:r>
        <w:fldChar w:fldCharType="begin"/>
      </w:r>
      <w:r>
        <w:instrText xml:space="preserve"> PAGEREF _Toc5076 \h </w:instrText>
      </w:r>
      <w:r>
        <w:fldChar w:fldCharType="separate"/>
      </w:r>
      <w:r>
        <w:t>7</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_Toc20148 </w:instrText>
      </w:r>
      <w:r>
        <w:rPr>
          <w:rFonts w:hint="eastAsia" w:ascii="黑体" w:hAnsi="黑体" w:eastAsia="黑体" w:cs="黑体"/>
          <w:bCs/>
        </w:rPr>
        <w:fldChar w:fldCharType="separate"/>
      </w:r>
      <w:r>
        <w:rPr>
          <w:rFonts w:hint="default" w:ascii="Times New Roman" w:hAnsi="Times New Roman" w:eastAsia="黑体" w:cs="Times New Roman"/>
          <w:bCs/>
          <w:szCs w:val="32"/>
        </w:rPr>
        <w:t>八、</w:t>
      </w:r>
      <w:r>
        <w:rPr>
          <w:rFonts w:hint="default" w:ascii="Times New Roman" w:hAnsi="Times New Roman" w:eastAsia="黑体" w:cs="Times New Roman"/>
          <w:bCs/>
        </w:rPr>
        <w:t>政府性基金预算支出决算情况说明</w:t>
      </w:r>
      <w:r>
        <w:tab/>
      </w:r>
      <w:r>
        <w:fldChar w:fldCharType="begin"/>
      </w:r>
      <w:r>
        <w:instrText xml:space="preserve"> PAGEREF _Toc20148 \h </w:instrText>
      </w:r>
      <w:r>
        <w:fldChar w:fldCharType="separate"/>
      </w:r>
      <w:r>
        <w:t>7</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_Toc27543 </w:instrText>
      </w:r>
      <w:r>
        <w:rPr>
          <w:rFonts w:hint="eastAsia" w:ascii="黑体" w:hAnsi="黑体" w:eastAsia="黑体" w:cs="黑体"/>
          <w:bCs/>
        </w:rPr>
        <w:fldChar w:fldCharType="separate"/>
      </w:r>
      <w:r>
        <w:rPr>
          <w:rFonts w:hint="eastAsia" w:ascii="Times New Roman" w:hAnsi="Times New Roman" w:eastAsia="黑体" w:cs="Times New Roman"/>
          <w:bCs/>
        </w:rPr>
        <w:t xml:space="preserve">九、 </w:t>
      </w:r>
      <w:r>
        <w:rPr>
          <w:rFonts w:hint="default" w:ascii="Times New Roman" w:hAnsi="Times New Roman" w:eastAsia="黑体" w:cs="Times New Roman"/>
          <w:bCs/>
        </w:rPr>
        <w:t>国有资本经营预算支出决算情况说明</w:t>
      </w:r>
      <w:r>
        <w:tab/>
      </w:r>
      <w:r>
        <w:fldChar w:fldCharType="begin"/>
      </w:r>
      <w:r>
        <w:instrText xml:space="preserve"> PAGEREF _Toc27543 \h </w:instrText>
      </w:r>
      <w:r>
        <w:fldChar w:fldCharType="separate"/>
      </w:r>
      <w:r>
        <w:t>7</w:t>
      </w:r>
      <w:r>
        <w:fldChar w:fldCharType="end"/>
      </w:r>
      <w:r>
        <w:rPr>
          <w:rFonts w:hint="eastAsia" w:ascii="黑体" w:hAnsi="黑体" w:eastAsia="黑体" w:cs="黑体"/>
          <w:bCs/>
        </w:rPr>
        <w:fldChar w:fldCharType="end"/>
      </w:r>
    </w:p>
    <w:p>
      <w:pPr>
        <w:pStyle w:val="10"/>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_Toc14745 </w:instrText>
      </w:r>
      <w:r>
        <w:rPr>
          <w:rFonts w:hint="eastAsia" w:ascii="黑体" w:hAnsi="黑体" w:eastAsia="黑体" w:cs="黑体"/>
          <w:bCs/>
        </w:rPr>
        <w:fldChar w:fldCharType="separate"/>
      </w:r>
      <w:r>
        <w:rPr>
          <w:rFonts w:hint="default" w:ascii="Times New Roman" w:hAnsi="Times New Roman" w:eastAsia="黑体" w:cs="Times New Roman"/>
          <w:bCs/>
        </w:rPr>
        <w:t xml:space="preserve">十、 </w:t>
      </w:r>
      <w:r>
        <w:rPr>
          <w:rFonts w:hint="eastAsia" w:ascii="黑体" w:hAnsi="黑体" w:eastAsia="黑体"/>
          <w:bCs w:val="0"/>
        </w:rPr>
        <w:t>其他重要事项的情况</w:t>
      </w:r>
      <w:r>
        <w:rPr>
          <w:rFonts w:hint="default" w:ascii="Times New Roman" w:hAnsi="Times New Roman" w:eastAsia="黑体" w:cs="Times New Roman"/>
          <w:bCs/>
        </w:rPr>
        <w:t>说明</w:t>
      </w:r>
      <w:r>
        <w:tab/>
      </w:r>
      <w:r>
        <w:fldChar w:fldCharType="begin"/>
      </w:r>
      <w:r>
        <w:instrText xml:space="preserve"> PAGEREF _Toc14745 \h </w:instrText>
      </w:r>
      <w:r>
        <w:fldChar w:fldCharType="separate"/>
      </w:r>
      <w:r>
        <w:t>7</w:t>
      </w:r>
      <w:r>
        <w:fldChar w:fldCharType="end"/>
      </w:r>
      <w:r>
        <w:rPr>
          <w:rFonts w:hint="eastAsia" w:ascii="黑体" w:hAnsi="黑体" w:eastAsia="黑体" w:cs="黑体"/>
          <w:bCs/>
        </w:rPr>
        <w:fldChar w:fldCharType="end"/>
      </w:r>
    </w:p>
    <w:p>
      <w:pPr>
        <w:pStyle w:val="9"/>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_Toc31233 </w:instrText>
      </w:r>
      <w:r>
        <w:rPr>
          <w:rFonts w:hint="eastAsia" w:ascii="黑体" w:hAnsi="黑体" w:eastAsia="黑体" w:cs="黑体"/>
          <w:bCs/>
        </w:rPr>
        <w:fldChar w:fldCharType="separate"/>
      </w:r>
      <w:r>
        <w:rPr>
          <w:rFonts w:hint="eastAsia" w:ascii="黑体" w:hAnsi="黑体" w:eastAsia="黑体" w:cs="黑体"/>
          <w:bCs/>
          <w:szCs w:val="44"/>
        </w:rPr>
        <w:t>第三部分 名</w:t>
      </w:r>
      <w:r>
        <w:rPr>
          <w:rFonts w:hint="eastAsia" w:ascii="黑体" w:hAnsi="黑体" w:eastAsia="黑体" w:cs="黑体"/>
          <w:bCs/>
        </w:rPr>
        <w:t>词解释</w:t>
      </w:r>
      <w:r>
        <w:tab/>
      </w:r>
      <w:r>
        <w:fldChar w:fldCharType="begin"/>
      </w:r>
      <w:r>
        <w:instrText xml:space="preserve"> PAGEREF _Toc31233 \h </w:instrText>
      </w:r>
      <w:r>
        <w:fldChar w:fldCharType="separate"/>
      </w:r>
      <w:r>
        <w:t>9</w:t>
      </w:r>
      <w:r>
        <w:fldChar w:fldCharType="end"/>
      </w:r>
      <w:r>
        <w:rPr>
          <w:rFonts w:hint="eastAsia" w:ascii="黑体" w:hAnsi="黑体" w:eastAsia="黑体" w:cs="黑体"/>
          <w:bCs/>
        </w:rPr>
        <w:fldChar w:fldCharType="end"/>
      </w:r>
    </w:p>
    <w:p>
      <w:pPr>
        <w:pStyle w:val="9"/>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_Toc12336 </w:instrText>
      </w:r>
      <w:r>
        <w:rPr>
          <w:rFonts w:hint="eastAsia" w:ascii="黑体" w:hAnsi="黑体" w:eastAsia="黑体" w:cs="黑体"/>
          <w:bCs/>
        </w:rPr>
        <w:fldChar w:fldCharType="separate"/>
      </w:r>
      <w:r>
        <w:rPr>
          <w:rFonts w:hint="eastAsia" w:ascii="Times New Roman" w:hAnsi="Times New Roman" w:eastAsia="黑体" w:cs="Times New Roman"/>
          <w:bCs/>
        </w:rPr>
        <w:t xml:space="preserve">第四部分 </w:t>
      </w:r>
      <w:r>
        <w:rPr>
          <w:rFonts w:hint="eastAsia" w:eastAsia="黑体" w:cs="Times New Roman"/>
          <w:bCs/>
          <w:lang w:eastAsia="zh-CN"/>
        </w:rPr>
        <w:t>附件</w:t>
      </w:r>
      <w:r>
        <w:tab/>
      </w:r>
      <w:r>
        <w:fldChar w:fldCharType="begin"/>
      </w:r>
      <w:r>
        <w:instrText xml:space="preserve"> PAGEREF _Toc12336 \h </w:instrText>
      </w:r>
      <w:r>
        <w:fldChar w:fldCharType="separate"/>
      </w:r>
      <w:r>
        <w:t>11</w:t>
      </w:r>
      <w:r>
        <w:fldChar w:fldCharType="end"/>
      </w:r>
      <w:r>
        <w:rPr>
          <w:rFonts w:hint="eastAsia" w:ascii="黑体" w:hAnsi="黑体" w:eastAsia="黑体" w:cs="黑体"/>
          <w:bCs/>
        </w:rPr>
        <w:fldChar w:fldCharType="end"/>
      </w:r>
    </w:p>
    <w:p>
      <w:pPr>
        <w:pStyle w:val="9"/>
        <w:tabs>
          <w:tab w:val="right" w:leader="dot" w:pos="8306"/>
          <w:tab w:val="clear" w:pos="8296"/>
        </w:tabs>
      </w:pPr>
      <w:r>
        <w:rPr>
          <w:rFonts w:hint="eastAsia" w:ascii="黑体" w:hAnsi="黑体" w:eastAsia="黑体" w:cs="黑体"/>
          <w:bCs/>
        </w:rPr>
        <w:fldChar w:fldCharType="begin"/>
      </w:r>
      <w:r>
        <w:rPr>
          <w:rFonts w:hint="eastAsia" w:ascii="黑体" w:hAnsi="黑体" w:eastAsia="黑体" w:cs="黑体"/>
          <w:bCs/>
        </w:rPr>
        <w:instrText xml:space="preserve"> HYPERLINK \l _Toc865 </w:instrText>
      </w:r>
      <w:r>
        <w:rPr>
          <w:rFonts w:hint="eastAsia" w:ascii="黑体" w:hAnsi="黑体" w:eastAsia="黑体" w:cs="黑体"/>
          <w:bCs/>
        </w:rPr>
        <w:fldChar w:fldCharType="separate"/>
      </w:r>
      <w:r>
        <w:rPr>
          <w:rFonts w:hint="default" w:ascii="Times New Roman" w:hAnsi="Times New Roman" w:eastAsia="黑体" w:cs="Times New Roman"/>
          <w:bCs/>
          <w:szCs w:val="44"/>
        </w:rPr>
        <w:t>第</w:t>
      </w:r>
      <w:r>
        <w:rPr>
          <w:rFonts w:hint="default" w:ascii="Times New Roman" w:hAnsi="Times New Roman" w:eastAsia="黑体" w:cs="Times New Roman"/>
          <w:bCs/>
        </w:rPr>
        <w:t>五部分 附表</w:t>
      </w:r>
      <w:r>
        <w:tab/>
      </w:r>
      <w:r>
        <w:fldChar w:fldCharType="begin"/>
      </w:r>
      <w:r>
        <w:instrText xml:space="preserve"> PAGEREF _Toc865 \h </w:instrText>
      </w:r>
      <w:r>
        <w:fldChar w:fldCharType="separate"/>
      </w:r>
      <w:r>
        <w:t>12</w:t>
      </w:r>
      <w:r>
        <w:fldChar w:fldCharType="end"/>
      </w:r>
      <w:r>
        <w:rPr>
          <w:rFonts w:hint="eastAsia" w:ascii="黑体" w:hAnsi="黑体" w:eastAsia="黑体" w:cs="黑体"/>
          <w:bCs/>
        </w:rPr>
        <w:fldChar w:fldCharType="end"/>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_Toc21702 </w:instrText>
      </w:r>
      <w:r>
        <w:rPr>
          <w:rFonts w:hint="eastAsia" w:ascii="黑体" w:hAnsi="黑体" w:eastAsia="黑体" w:cs="黑体"/>
          <w:bCs/>
        </w:rPr>
        <w:fldChar w:fldCharType="separate"/>
      </w:r>
      <w:r>
        <w:rPr>
          <w:rFonts w:hint="eastAsia" w:ascii="黑体" w:hAnsi="黑体" w:eastAsia="黑体" w:cs="黑体"/>
          <w:bCs/>
        </w:rPr>
        <w:t>一、收入支出决算总表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bCs/>
        </w:rPr>
        <w:fldChar w:fldCharType="end"/>
      </w:r>
      <w:r>
        <w:rPr>
          <w:rFonts w:hint="eastAsia" w:ascii="黑体" w:hAnsi="黑体" w:eastAsia="黑体" w:cs="黑体"/>
          <w:bCs/>
          <w:lang w:val="en-US" w:eastAsia="zh-CN"/>
        </w:rPr>
        <w:t>3</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_Toc15133 </w:instrText>
      </w:r>
      <w:r>
        <w:rPr>
          <w:rFonts w:hint="eastAsia" w:ascii="黑体" w:hAnsi="黑体" w:eastAsia="黑体" w:cs="黑体"/>
          <w:bCs/>
        </w:rPr>
        <w:fldChar w:fldCharType="separate"/>
      </w:r>
      <w:r>
        <w:rPr>
          <w:rFonts w:hint="eastAsia" w:ascii="黑体" w:hAnsi="黑体" w:eastAsia="黑体" w:cs="黑体"/>
          <w:bCs/>
        </w:rPr>
        <w:t>二、收入</w:t>
      </w:r>
      <w:r>
        <w:rPr>
          <w:rFonts w:hint="eastAsia" w:ascii="黑体" w:hAnsi="黑体" w:eastAsia="黑体" w:cs="黑体"/>
          <w:bCs/>
          <w:lang w:eastAsia="zh-CN"/>
        </w:rPr>
        <w:t>决算</w:t>
      </w:r>
      <w:r>
        <w:rPr>
          <w:rFonts w:hint="eastAsia" w:ascii="黑体" w:hAnsi="黑体" w:eastAsia="黑体" w:cs="黑体"/>
          <w:bCs/>
        </w:rPr>
        <w:t>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bCs/>
        </w:rPr>
        <w:fldChar w:fldCharType="end"/>
      </w:r>
      <w:r>
        <w:rPr>
          <w:rFonts w:hint="eastAsia" w:ascii="黑体" w:hAnsi="黑体" w:eastAsia="黑体" w:cs="黑体"/>
          <w:bCs/>
          <w:lang w:val="en-US" w:eastAsia="zh-CN"/>
        </w:rPr>
        <w:t>4</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_Toc1587 </w:instrText>
      </w:r>
      <w:r>
        <w:rPr>
          <w:rFonts w:hint="eastAsia" w:ascii="黑体" w:hAnsi="黑体" w:eastAsia="黑体" w:cs="黑体"/>
          <w:bCs/>
        </w:rPr>
        <w:fldChar w:fldCharType="separate"/>
      </w:r>
      <w:r>
        <w:rPr>
          <w:rFonts w:hint="eastAsia" w:ascii="黑体" w:hAnsi="黑体" w:eastAsia="黑体" w:cs="黑体"/>
          <w:bCs/>
        </w:rPr>
        <w:t>三、支出</w:t>
      </w:r>
      <w:r>
        <w:rPr>
          <w:rFonts w:hint="eastAsia" w:ascii="黑体" w:hAnsi="黑体" w:eastAsia="黑体" w:cs="黑体"/>
          <w:bCs/>
          <w:lang w:eastAsia="zh-CN"/>
        </w:rPr>
        <w:t>决算</w:t>
      </w:r>
      <w:r>
        <w:rPr>
          <w:rFonts w:hint="eastAsia" w:ascii="黑体" w:hAnsi="黑体" w:eastAsia="黑体" w:cs="黑体"/>
          <w:bCs/>
        </w:rPr>
        <w:t>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bCs/>
        </w:rPr>
        <w:fldChar w:fldCharType="end"/>
      </w:r>
      <w:r>
        <w:rPr>
          <w:rFonts w:hint="eastAsia" w:ascii="黑体" w:hAnsi="黑体" w:eastAsia="黑体" w:cs="黑体"/>
          <w:bCs/>
          <w:lang w:val="en-US" w:eastAsia="zh-CN"/>
        </w:rPr>
        <w:t>5</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_Toc16790 </w:instrText>
      </w:r>
      <w:r>
        <w:rPr>
          <w:rFonts w:hint="eastAsia" w:ascii="黑体" w:hAnsi="黑体" w:eastAsia="黑体" w:cs="黑体"/>
          <w:bCs/>
        </w:rPr>
        <w:fldChar w:fldCharType="separate"/>
      </w:r>
      <w:r>
        <w:rPr>
          <w:rFonts w:hint="eastAsia" w:ascii="黑体" w:hAnsi="黑体" w:eastAsia="黑体" w:cs="黑体"/>
          <w:bCs/>
        </w:rPr>
        <w:t>四、财政拨款收入支出决算总表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bCs/>
        </w:rPr>
        <w:fldChar w:fldCharType="end"/>
      </w:r>
      <w:r>
        <w:rPr>
          <w:rFonts w:hint="eastAsia" w:ascii="黑体" w:hAnsi="黑体" w:eastAsia="黑体" w:cs="黑体"/>
          <w:bCs/>
          <w:lang w:val="en-US" w:eastAsia="zh-CN"/>
        </w:rPr>
        <w:t>6</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_Toc13485 </w:instrText>
      </w:r>
      <w:r>
        <w:rPr>
          <w:rFonts w:hint="eastAsia" w:ascii="黑体" w:hAnsi="黑体" w:eastAsia="黑体" w:cs="黑体"/>
          <w:bCs/>
        </w:rPr>
        <w:fldChar w:fldCharType="separate"/>
      </w:r>
      <w:r>
        <w:rPr>
          <w:rFonts w:hint="eastAsia" w:ascii="黑体" w:hAnsi="黑体" w:eastAsia="黑体" w:cs="黑体"/>
          <w:bCs/>
        </w:rPr>
        <w:t>五、财政拨款支出决算明细表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bCs/>
        </w:rPr>
        <w:fldChar w:fldCharType="end"/>
      </w:r>
      <w:r>
        <w:rPr>
          <w:rFonts w:hint="eastAsia" w:ascii="黑体" w:hAnsi="黑体" w:eastAsia="黑体" w:cs="黑体"/>
          <w:bCs/>
          <w:lang w:val="en-US" w:eastAsia="zh-CN"/>
        </w:rPr>
        <w:t>7</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_Toc14869 </w:instrText>
      </w:r>
      <w:r>
        <w:rPr>
          <w:rFonts w:hint="eastAsia" w:ascii="黑体" w:hAnsi="黑体" w:eastAsia="黑体" w:cs="黑体"/>
          <w:bCs/>
        </w:rPr>
        <w:fldChar w:fldCharType="separate"/>
      </w:r>
      <w:r>
        <w:rPr>
          <w:rFonts w:hint="eastAsia" w:ascii="黑体" w:hAnsi="黑体" w:eastAsia="黑体" w:cs="黑体"/>
          <w:bCs/>
        </w:rPr>
        <w:t>六、一般公共预算财政拨款支出决算表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bCs/>
        </w:rPr>
        <w:fldChar w:fldCharType="end"/>
      </w:r>
      <w:r>
        <w:rPr>
          <w:rFonts w:hint="eastAsia" w:ascii="黑体" w:hAnsi="黑体" w:eastAsia="黑体" w:cs="黑体"/>
          <w:bCs/>
          <w:lang w:val="en-US" w:eastAsia="zh-CN"/>
        </w:rPr>
        <w:t>9</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_Toc25220 </w:instrText>
      </w:r>
      <w:r>
        <w:rPr>
          <w:rFonts w:hint="eastAsia" w:ascii="黑体" w:hAnsi="黑体" w:eastAsia="黑体" w:cs="黑体"/>
          <w:bCs/>
        </w:rPr>
        <w:fldChar w:fldCharType="separate"/>
      </w:r>
      <w:r>
        <w:rPr>
          <w:rFonts w:hint="eastAsia" w:ascii="黑体" w:hAnsi="黑体" w:eastAsia="黑体" w:cs="黑体"/>
          <w:bCs/>
        </w:rPr>
        <w:t>七、一般公共预算财政拨款支出决算明细表</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bCs/>
        </w:rPr>
        <w:fldChar w:fldCharType="end"/>
      </w:r>
      <w:r>
        <w:rPr>
          <w:rFonts w:hint="eastAsia" w:ascii="黑体" w:hAnsi="黑体" w:eastAsia="黑体" w:cs="黑体"/>
          <w:bCs/>
          <w:lang w:val="en-US" w:eastAsia="zh-CN"/>
        </w:rPr>
        <w:t>0</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_Toc304 </w:instrText>
      </w:r>
      <w:r>
        <w:rPr>
          <w:rFonts w:hint="eastAsia" w:ascii="黑体" w:hAnsi="黑体" w:eastAsia="黑体" w:cs="黑体"/>
          <w:bCs/>
        </w:rPr>
        <w:fldChar w:fldCharType="separate"/>
      </w:r>
      <w:r>
        <w:rPr>
          <w:rFonts w:hint="eastAsia" w:ascii="黑体" w:hAnsi="黑体" w:eastAsia="黑体" w:cs="黑体"/>
          <w:bCs/>
        </w:rPr>
        <w:t>八、一般公共预算财政拨款基本支出决算表</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bCs/>
        </w:rPr>
        <w:fldChar w:fldCharType="end"/>
      </w:r>
      <w:r>
        <w:rPr>
          <w:rFonts w:hint="eastAsia" w:ascii="黑体" w:hAnsi="黑体" w:eastAsia="黑体" w:cs="黑体"/>
          <w:bCs/>
          <w:lang w:val="en-US" w:eastAsia="zh-CN"/>
        </w:rPr>
        <w:t>4</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_Toc22387 </w:instrText>
      </w:r>
      <w:r>
        <w:rPr>
          <w:rFonts w:hint="eastAsia" w:ascii="黑体" w:hAnsi="黑体" w:eastAsia="黑体" w:cs="黑体"/>
          <w:bCs/>
        </w:rPr>
        <w:fldChar w:fldCharType="separate"/>
      </w:r>
      <w:r>
        <w:rPr>
          <w:rFonts w:hint="eastAsia" w:ascii="黑体" w:hAnsi="黑体" w:eastAsia="黑体" w:cs="黑体"/>
          <w:bCs/>
        </w:rPr>
        <w:t>九、一般公共预算财政拨款项目支出决算表</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bCs/>
        </w:rPr>
        <w:fldChar w:fldCharType="end"/>
      </w:r>
      <w:r>
        <w:rPr>
          <w:rFonts w:hint="eastAsia" w:ascii="黑体" w:hAnsi="黑体" w:eastAsia="黑体" w:cs="黑体"/>
          <w:bCs/>
          <w:lang w:val="en-US" w:eastAsia="zh-CN"/>
        </w:rPr>
        <w:t>5</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_Toc3911 </w:instrText>
      </w:r>
      <w:r>
        <w:rPr>
          <w:rFonts w:hint="eastAsia" w:ascii="黑体" w:hAnsi="黑体" w:eastAsia="黑体" w:cs="黑体"/>
          <w:bCs/>
        </w:rPr>
        <w:fldChar w:fldCharType="separate"/>
      </w:r>
      <w:r>
        <w:rPr>
          <w:rFonts w:hint="eastAsia" w:ascii="黑体" w:hAnsi="黑体" w:eastAsia="黑体" w:cs="黑体"/>
          <w:bCs/>
        </w:rPr>
        <w:t>十、一般公共预算财政拨款“三公”经费支出决算表</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bCs/>
        </w:rPr>
        <w:fldChar w:fldCharType="end"/>
      </w:r>
      <w:r>
        <w:rPr>
          <w:rFonts w:hint="eastAsia" w:ascii="黑体" w:hAnsi="黑体" w:eastAsia="黑体" w:cs="黑体"/>
          <w:bCs/>
          <w:lang w:val="en-US" w:eastAsia="zh-CN"/>
        </w:rPr>
        <w:t>6</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_Toc927 </w:instrText>
      </w:r>
      <w:r>
        <w:rPr>
          <w:rFonts w:hint="eastAsia" w:ascii="黑体" w:hAnsi="黑体" w:eastAsia="黑体" w:cs="黑体"/>
          <w:bCs/>
        </w:rPr>
        <w:fldChar w:fldCharType="separate"/>
      </w:r>
      <w:r>
        <w:rPr>
          <w:rFonts w:hint="eastAsia" w:ascii="黑体" w:hAnsi="黑体" w:eastAsia="黑体" w:cs="黑体"/>
          <w:bCs/>
        </w:rPr>
        <w:t>十一、政府性基金预算财政拨款收入支出决算表</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bCs/>
        </w:rPr>
        <w:fldChar w:fldCharType="end"/>
      </w:r>
      <w:r>
        <w:rPr>
          <w:rFonts w:hint="eastAsia" w:ascii="黑体" w:hAnsi="黑体" w:eastAsia="黑体" w:cs="黑体"/>
          <w:bCs/>
          <w:lang w:val="en-US" w:eastAsia="zh-CN"/>
        </w:rPr>
        <w:t>7</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_Toc12303 </w:instrText>
      </w:r>
      <w:r>
        <w:rPr>
          <w:rFonts w:hint="eastAsia" w:ascii="黑体" w:hAnsi="黑体" w:eastAsia="黑体" w:cs="黑体"/>
          <w:bCs/>
        </w:rPr>
        <w:fldChar w:fldCharType="separate"/>
      </w:r>
      <w:r>
        <w:rPr>
          <w:rFonts w:hint="eastAsia" w:ascii="黑体" w:hAnsi="黑体" w:eastAsia="黑体" w:cs="黑体"/>
          <w:bCs/>
        </w:rPr>
        <w:t>十二、政府性基金预算财政拨款“三公”经费支出决算表</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bCs/>
        </w:rPr>
        <w:fldChar w:fldCharType="end"/>
      </w:r>
      <w:r>
        <w:rPr>
          <w:rFonts w:hint="eastAsia" w:ascii="黑体" w:hAnsi="黑体" w:eastAsia="黑体" w:cs="黑体"/>
          <w:bCs/>
          <w:lang w:val="en-US" w:eastAsia="zh-CN"/>
        </w:rPr>
        <w:t>8</w:t>
      </w:r>
    </w:p>
    <w:p>
      <w:pPr>
        <w:pStyle w:val="10"/>
        <w:tabs>
          <w:tab w:val="right" w:leader="dot" w:pos="8306"/>
          <w:tab w:val="clear" w:pos="8296"/>
        </w:tabs>
        <w:rPr>
          <w:rFonts w:hint="eastAsia" w:ascii="黑体" w:hAnsi="黑体" w:eastAsia="黑体" w:cs="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_Toc14213 </w:instrText>
      </w:r>
      <w:r>
        <w:rPr>
          <w:rFonts w:hint="eastAsia" w:ascii="黑体" w:hAnsi="黑体" w:eastAsia="黑体" w:cs="黑体"/>
          <w:bCs/>
        </w:rPr>
        <w:fldChar w:fldCharType="separate"/>
      </w:r>
      <w:r>
        <w:rPr>
          <w:rFonts w:hint="eastAsia" w:ascii="黑体" w:hAnsi="黑体" w:eastAsia="黑体" w:cs="黑体"/>
          <w:bCs/>
        </w:rPr>
        <w:t>十三、</w:t>
      </w:r>
      <w:r>
        <w:rPr>
          <w:rFonts w:hint="eastAsia" w:ascii="黑体" w:hAnsi="黑体" w:eastAsia="黑体" w:cs="黑体"/>
          <w:bCs w:val="0"/>
        </w:rPr>
        <w:t>国有资本经营预算</w:t>
      </w:r>
      <w:r>
        <w:rPr>
          <w:rFonts w:hint="eastAsia" w:ascii="黑体" w:hAnsi="黑体" w:eastAsia="黑体" w:cs="黑体"/>
          <w:bCs w:val="0"/>
          <w:lang w:eastAsia="zh-CN"/>
        </w:rPr>
        <w:t>财政拨款收入</w:t>
      </w:r>
      <w:r>
        <w:rPr>
          <w:rFonts w:hint="eastAsia" w:ascii="黑体" w:hAnsi="黑体" w:eastAsia="黑体" w:cs="黑体"/>
          <w:bCs w:val="0"/>
        </w:rPr>
        <w:t>支出决算表</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bCs/>
        </w:rPr>
        <w:fldChar w:fldCharType="end"/>
      </w:r>
      <w:r>
        <w:rPr>
          <w:rFonts w:hint="eastAsia" w:ascii="黑体" w:hAnsi="黑体" w:eastAsia="黑体" w:cs="黑体"/>
          <w:bCs/>
          <w:lang w:val="en-US" w:eastAsia="zh-CN"/>
        </w:rPr>
        <w:t>9</w:t>
      </w:r>
    </w:p>
    <w:p>
      <w:pPr>
        <w:pStyle w:val="10"/>
        <w:tabs>
          <w:tab w:val="right" w:leader="dot" w:pos="8306"/>
          <w:tab w:val="clear" w:pos="8296"/>
        </w:tabs>
        <w:rPr>
          <w:rFonts w:hint="eastAsia" w:eastAsia="黑体"/>
          <w:lang w:val="en-US" w:eastAsia="zh-CN"/>
        </w:rPr>
      </w:pPr>
      <w:r>
        <w:rPr>
          <w:rFonts w:hint="eastAsia" w:ascii="黑体" w:hAnsi="黑体" w:eastAsia="黑体" w:cs="黑体"/>
          <w:bCs/>
        </w:rPr>
        <w:fldChar w:fldCharType="begin"/>
      </w:r>
      <w:r>
        <w:rPr>
          <w:rFonts w:hint="eastAsia" w:ascii="黑体" w:hAnsi="黑体" w:eastAsia="黑体" w:cs="黑体"/>
          <w:bCs/>
        </w:rPr>
        <w:instrText xml:space="preserve"> HYPERLINK \l _Toc16194 </w:instrText>
      </w:r>
      <w:r>
        <w:rPr>
          <w:rFonts w:hint="eastAsia" w:ascii="黑体" w:hAnsi="黑体" w:eastAsia="黑体" w:cs="黑体"/>
          <w:bCs/>
        </w:rPr>
        <w:fldChar w:fldCharType="separate"/>
      </w:r>
      <w:r>
        <w:rPr>
          <w:rFonts w:hint="eastAsia" w:ascii="黑体" w:hAnsi="黑体" w:eastAsia="黑体" w:cs="黑体"/>
          <w:bCs/>
        </w:rPr>
        <w:t>十</w:t>
      </w:r>
      <w:r>
        <w:rPr>
          <w:rFonts w:hint="eastAsia" w:ascii="黑体" w:hAnsi="黑体" w:eastAsia="黑体" w:cs="黑体"/>
          <w:bCs/>
          <w:lang w:eastAsia="zh-CN"/>
        </w:rPr>
        <w:t>四</w:t>
      </w:r>
      <w:r>
        <w:rPr>
          <w:rFonts w:hint="eastAsia" w:ascii="黑体" w:hAnsi="黑体" w:eastAsia="黑体" w:cs="黑体"/>
          <w:bCs/>
        </w:rPr>
        <w:t>、</w:t>
      </w:r>
      <w:r>
        <w:rPr>
          <w:rFonts w:hint="eastAsia" w:ascii="黑体" w:hAnsi="黑体" w:eastAsia="黑体" w:cs="黑体"/>
          <w:bCs/>
          <w:lang w:eastAsia="zh-CN"/>
        </w:rPr>
        <w:t>国有资本经营预算财政拨款支出决算表</w:t>
      </w:r>
      <w:r>
        <w:rPr>
          <w:rFonts w:hint="eastAsia" w:ascii="黑体" w:hAnsi="黑体" w:eastAsia="黑体" w:cs="黑体"/>
        </w:rPr>
        <w:tab/>
      </w:r>
      <w:r>
        <w:rPr>
          <w:rFonts w:hint="eastAsia" w:ascii="黑体" w:hAnsi="黑体" w:eastAsia="黑体" w:cs="黑体"/>
          <w:lang w:val="en-US" w:eastAsia="zh-CN"/>
        </w:rPr>
        <w:t>3</w:t>
      </w:r>
      <w:r>
        <w:rPr>
          <w:rFonts w:hint="eastAsia" w:ascii="黑体" w:hAnsi="黑体" w:eastAsia="黑体" w:cs="黑体"/>
          <w:bCs/>
        </w:rPr>
        <w:fldChar w:fldCharType="end"/>
      </w:r>
      <w:r>
        <w:rPr>
          <w:rFonts w:hint="eastAsia" w:ascii="黑体" w:hAnsi="黑体" w:eastAsia="黑体" w:cs="黑体"/>
          <w:bCs/>
          <w:lang w:val="en-US" w:eastAsia="zh-CN"/>
        </w:rPr>
        <w:t>0</w:t>
      </w:r>
    </w:p>
    <w:p>
      <w:pPr>
        <w:pStyle w:val="9"/>
        <w:pageBreakBefore w:val="0"/>
        <w:widowControl/>
        <w:tabs>
          <w:tab w:val="right" w:leader="dot" w:pos="8306"/>
          <w:tab w:val="clear" w:pos="8296"/>
        </w:tabs>
        <w:kinsoku/>
        <w:wordWrap/>
        <w:overflowPunct/>
        <w:topLinePunct w:val="0"/>
        <w:bidi w:val="0"/>
        <w:adjustRightInd w:val="0"/>
        <w:snapToGrid w:val="0"/>
        <w:spacing w:line="360" w:lineRule="auto"/>
        <w:jc w:val="center"/>
        <w:rPr>
          <w:rFonts w:hint="default" w:ascii="Times New Roman" w:hAnsi="Times New Roman" w:eastAsia="黑体" w:cs="Times New Roman"/>
          <w:b/>
          <w:bCs/>
        </w:rPr>
        <w:sectPr>
          <w:footerReference r:id="rId6" w:type="first"/>
          <w:footerReference r:id="rId5" w:type="default"/>
          <w:pgSz w:w="11906" w:h="16838"/>
          <w:pgMar w:top="1440" w:right="1800" w:bottom="1440" w:left="1800" w:header="851" w:footer="992" w:gutter="0"/>
          <w:pgNumType w:start="1"/>
          <w:cols w:space="425" w:num="1"/>
          <w:docGrid w:type="lines" w:linePitch="312" w:charSpace="0"/>
        </w:sectPr>
      </w:pPr>
      <w:r>
        <w:rPr>
          <w:rFonts w:hint="eastAsia" w:ascii="黑体" w:hAnsi="黑体" w:eastAsia="黑体" w:cs="黑体"/>
          <w:b/>
          <w:bCs/>
        </w:rPr>
        <w:fldChar w:fldCharType="end"/>
      </w:r>
    </w:p>
    <w:p>
      <w:pPr>
        <w:pStyle w:val="2"/>
        <w:pageBreakBefore w:val="0"/>
        <w:widowControl w:val="0"/>
        <w:kinsoku/>
        <w:wordWrap/>
        <w:overflowPunct/>
        <w:topLinePunct w:val="0"/>
        <w:autoSpaceDE/>
        <w:autoSpaceDN/>
        <w:bidi w:val="0"/>
        <w:adjustRightInd w:val="0"/>
        <w:snapToGrid w:val="0"/>
        <w:spacing w:after="0" w:afterAutospacing="0" w:line="600" w:lineRule="exact"/>
        <w:jc w:val="center"/>
        <w:textAlignment w:val="auto"/>
        <w:rPr>
          <w:rFonts w:hint="default" w:ascii="Times New Roman" w:hAnsi="Times New Roman" w:eastAsia="黑体" w:cs="Times New Roman"/>
          <w:b/>
          <w:bCs/>
          <w:color w:val="000000"/>
          <w:sz w:val="32"/>
          <w:szCs w:val="32"/>
        </w:rPr>
      </w:pPr>
      <w:bookmarkStart w:id="24" w:name="_Toc1283"/>
      <w:bookmarkStart w:id="25" w:name="_Toc14371"/>
      <w:r>
        <w:rPr>
          <w:rFonts w:hint="default" w:ascii="Times New Roman" w:hAnsi="Times New Roman" w:eastAsia="黑体" w:cs="Times New Roman"/>
          <w:b/>
          <w:bCs/>
        </w:rPr>
        <w:t xml:space="preserve">第一部分 </w:t>
      </w:r>
      <w:r>
        <w:rPr>
          <w:rFonts w:hint="eastAsia" w:eastAsia="黑体" w:cs="Times New Roman"/>
          <w:b/>
          <w:bCs/>
          <w:lang w:eastAsia="zh-CN"/>
        </w:rPr>
        <w:t>单位</w:t>
      </w:r>
      <w:r>
        <w:rPr>
          <w:rStyle w:val="23"/>
          <w:rFonts w:hint="default" w:ascii="Times New Roman" w:hAnsi="Times New Roman" w:eastAsia="黑体" w:cs="Times New Roman"/>
          <w:b/>
          <w:bCs/>
        </w:rPr>
        <w:t>概况</w:t>
      </w:r>
      <w:bookmarkEnd w:id="23"/>
      <w:bookmarkEnd w:id="24"/>
      <w:bookmarkEnd w:id="25"/>
    </w:p>
    <w:p>
      <w:pPr>
        <w:pStyle w:val="3"/>
        <w:pageBreakBefore w:val="0"/>
        <w:widowControl w:val="0"/>
        <w:kinsoku/>
        <w:wordWrap/>
        <w:overflowPunct/>
        <w:topLinePunct w:val="0"/>
        <w:autoSpaceDE/>
        <w:autoSpaceDN/>
        <w:bidi w:val="0"/>
        <w:adjustRightInd w:val="0"/>
        <w:snapToGrid w:val="0"/>
        <w:spacing w:before="0" w:beforeAutospacing="0" w:after="0" w:afterAutospacing="0" w:line="600" w:lineRule="exact"/>
        <w:ind w:firstLine="643" w:firstLineChars="200"/>
        <w:textAlignment w:val="auto"/>
        <w:rPr>
          <w:rStyle w:val="24"/>
          <w:rFonts w:hint="eastAsia" w:ascii="Times New Roman" w:hAnsi="Times New Roman" w:eastAsia="黑体" w:cs="Times New Roman"/>
          <w:b/>
          <w:bCs/>
          <w:lang w:eastAsia="zh-CN"/>
        </w:rPr>
      </w:pPr>
      <w:bookmarkStart w:id="26" w:name="_Toc15377197"/>
      <w:bookmarkStart w:id="27" w:name="_Toc21807"/>
      <w:bookmarkStart w:id="28" w:name="_Toc18949"/>
      <w:r>
        <w:rPr>
          <w:rFonts w:hint="default" w:ascii="Times New Roman" w:hAnsi="Times New Roman" w:eastAsia="黑体" w:cs="Times New Roman"/>
          <w:b/>
          <w:bCs/>
          <w:color w:val="000000"/>
        </w:rPr>
        <w:t>一、</w:t>
      </w:r>
      <w:bookmarkEnd w:id="26"/>
      <w:bookmarkEnd w:id="27"/>
      <w:bookmarkStart w:id="29" w:name="_Toc15377198"/>
      <w:bookmarkStart w:id="30" w:name="_Toc15378445"/>
      <w:r>
        <w:rPr>
          <w:rFonts w:hint="eastAsia" w:ascii="Times New Roman" w:hAnsi="Times New Roman" w:eastAsia="黑体" w:cs="Times New Roman"/>
          <w:b/>
          <w:bCs/>
          <w:color w:val="000000"/>
          <w:lang w:eastAsia="zh-CN"/>
        </w:rPr>
        <w:t>职能简介</w:t>
      </w:r>
      <w:bookmarkEnd w:id="28"/>
    </w:p>
    <w:bookmarkEnd w:id="29"/>
    <w:bookmarkEnd w:id="30"/>
    <w:p>
      <w:pPr>
        <w:pStyle w:val="4"/>
        <w:keepNext w:val="0"/>
        <w:keepLines w:val="0"/>
        <w:pageBreakBefore w:val="0"/>
        <w:widowControl w:val="0"/>
        <w:kinsoku/>
        <w:wordWrap/>
        <w:overflowPunct/>
        <w:topLinePunct w:val="0"/>
        <w:autoSpaceDE/>
        <w:autoSpaceDN/>
        <w:bidi w:val="0"/>
        <w:adjustRightInd w:val="0"/>
        <w:snapToGrid w:val="0"/>
        <w:spacing w:beforeLines="0" w:beforeAutospacing="0" w:afterAutospacing="0" w:line="600" w:lineRule="exact"/>
        <w:ind w:firstLine="675" w:firstLineChars="210"/>
        <w:textAlignment w:val="auto"/>
        <w:rPr>
          <w:rFonts w:hint="default"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负责全省信息化建设中密钥管理基础设施的规划、建设及相关工作；负责全省电子政务、电子商务的密钥生产、分配、传递、存储、使用、更新、销毁等工作及全省网络安全技术设施中各类密钥（密码）管理的有关工作；负责全省电子政务、电子商务信息化网络密码设备、密钥的配发、监控工作。</w:t>
      </w:r>
    </w:p>
    <w:p>
      <w:pPr>
        <w:pStyle w:val="3"/>
        <w:bidi w:val="0"/>
        <w:spacing w:before="0" w:beforeAutospacing="0" w:after="0" w:afterAutospacing="0"/>
        <w:ind w:firstLine="643" w:firstLineChars="200"/>
        <w:rPr>
          <w:rFonts w:hint="eastAsia" w:ascii="黑体" w:hAnsi="黑体" w:eastAsia="黑体" w:cs="黑体"/>
        </w:rPr>
      </w:pPr>
      <w:bookmarkStart w:id="31" w:name="_Toc15377199"/>
      <w:bookmarkStart w:id="32" w:name="_Toc15378446"/>
      <w:bookmarkStart w:id="33" w:name="_Toc15336"/>
      <w:r>
        <w:rPr>
          <w:rFonts w:hint="eastAsia" w:ascii="黑体" w:hAnsi="黑体" w:eastAsia="黑体" w:cs="黑体"/>
          <w:lang w:eastAsia="zh-CN"/>
        </w:rPr>
        <w:t>二、</w:t>
      </w:r>
      <w:r>
        <w:rPr>
          <w:rFonts w:hint="eastAsia" w:ascii="黑体" w:hAnsi="黑体" w:eastAsia="黑体" w:cs="黑体"/>
        </w:rPr>
        <w:t>20</w:t>
      </w:r>
      <w:r>
        <w:rPr>
          <w:rFonts w:hint="eastAsia" w:ascii="黑体" w:hAnsi="黑体" w:eastAsia="黑体" w:cs="黑体"/>
          <w:lang w:val="en-US" w:eastAsia="zh-CN"/>
        </w:rPr>
        <w:t>20</w:t>
      </w:r>
      <w:r>
        <w:rPr>
          <w:rFonts w:hint="eastAsia" w:ascii="黑体" w:hAnsi="黑体" w:eastAsia="黑体" w:cs="黑体"/>
        </w:rPr>
        <w:t>年重点工作完成情况</w:t>
      </w:r>
      <w:bookmarkEnd w:id="31"/>
      <w:bookmarkEnd w:id="32"/>
      <w:bookmarkEnd w:id="33"/>
    </w:p>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exact"/>
        <w:ind w:firstLine="643" w:firstLineChars="20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重点完成了2020年全省电子政务内网的密钥生产、分配、传递、存储、使用、更新等有关工作，其他具体工作开展情况因涉密，不予公开。</w:t>
      </w:r>
      <w:bookmarkStart w:id="34" w:name="_Toc15377204"/>
      <w:bookmarkStart w:id="35" w:name="_Toc27188"/>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eastAsia" w:ascii="黑体" w:hAnsi="黑体" w:eastAsia="黑体" w:cs="黑体"/>
          <w:b/>
          <w:bCs/>
          <w:kern w:val="2"/>
          <w:sz w:val="32"/>
          <w:szCs w:val="32"/>
          <w:lang w:val="en-US" w:eastAsia="zh-CN" w:bidi="ar-SA"/>
        </w:rPr>
      </w:pPr>
      <w:r>
        <w:rPr>
          <w:rFonts w:hint="eastAsia" w:ascii="黑体" w:hAnsi="黑体" w:eastAsia="黑体" w:cs="黑体"/>
          <w:b/>
          <w:bCs/>
          <w:kern w:val="2"/>
          <w:sz w:val="32"/>
          <w:szCs w:val="32"/>
          <w:lang w:val="en-US" w:eastAsia="zh-CN" w:bidi="ar-SA"/>
        </w:rPr>
        <w:t>三、机构设置情况</w:t>
      </w:r>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四川省密钥管理中心无内设机构。</w:t>
      </w:r>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eastAsia" w:ascii="仿宋" w:hAnsi="仿宋" w:eastAsia="仿宋" w:cs="仿宋"/>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eastAsia" w:ascii="仿宋" w:hAnsi="仿宋" w:eastAsia="仿宋" w:cs="仿宋"/>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eastAsia" w:ascii="仿宋" w:hAnsi="仿宋" w:eastAsia="仿宋" w:cs="仿宋"/>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eastAsia" w:ascii="仿宋" w:hAnsi="仿宋" w:eastAsia="仿宋" w:cs="仿宋"/>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eastAsia" w:ascii="仿宋" w:hAnsi="仿宋" w:eastAsia="仿宋" w:cs="仿宋"/>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default" w:ascii="仿宋" w:hAnsi="仿宋" w:eastAsia="仿宋" w:cs="仿宋"/>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default" w:ascii="仿宋" w:hAnsi="仿宋" w:eastAsia="仿宋" w:cs="仿宋"/>
          <w:b/>
          <w:bCs/>
          <w:kern w:val="2"/>
          <w:sz w:val="32"/>
          <w:szCs w:val="32"/>
          <w:lang w:val="en-US" w:eastAsia="zh-CN" w:bidi="ar-SA"/>
        </w:rPr>
      </w:pPr>
      <w:bookmarkStart w:id="109" w:name="_GoBack"/>
      <w:bookmarkEnd w:id="109"/>
    </w:p>
    <w:p>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643" w:firstLineChars="200"/>
        <w:textAlignment w:val="auto"/>
        <w:rPr>
          <w:rFonts w:hint="default" w:ascii="仿宋" w:hAnsi="仿宋" w:eastAsia="仿宋" w:cs="仿宋"/>
          <w:b/>
          <w:bCs/>
          <w:kern w:val="2"/>
          <w:sz w:val="32"/>
          <w:szCs w:val="32"/>
          <w:lang w:val="en-US" w:eastAsia="zh-CN" w:bidi="ar-SA"/>
        </w:rPr>
      </w:pPr>
    </w:p>
    <w:p>
      <w:pPr>
        <w:pStyle w:val="2"/>
        <w:pageBreakBefore w:val="0"/>
        <w:widowControl w:val="0"/>
        <w:kinsoku/>
        <w:wordWrap/>
        <w:overflowPunct/>
        <w:topLinePunct w:val="0"/>
        <w:autoSpaceDE/>
        <w:autoSpaceDN/>
        <w:bidi w:val="0"/>
        <w:adjustRightInd w:val="0"/>
        <w:snapToGrid w:val="0"/>
        <w:spacing w:after="0" w:afterAutospacing="0" w:line="600" w:lineRule="exact"/>
        <w:ind w:right="440"/>
        <w:jc w:val="center"/>
        <w:textAlignment w:val="auto"/>
        <w:rPr>
          <w:rFonts w:hint="default" w:ascii="Times New Roman" w:hAnsi="Times New Roman" w:cs="Times New Roman"/>
          <w:b/>
          <w:bCs/>
        </w:rPr>
      </w:pPr>
      <w:bookmarkStart w:id="36" w:name="_Toc30005"/>
      <w:r>
        <w:rPr>
          <w:rFonts w:hint="default" w:ascii="Times New Roman" w:hAnsi="Times New Roman" w:eastAsia="黑体" w:cs="Times New Roman"/>
          <w:b/>
          <w:bCs/>
          <w:color w:val="000000"/>
        </w:rPr>
        <w:t xml:space="preserve">第二部分 </w:t>
      </w:r>
      <w:r>
        <w:rPr>
          <w:rStyle w:val="23"/>
          <w:rFonts w:hint="eastAsia" w:ascii="黑体" w:hAnsi="黑体" w:eastAsia="黑体" w:cs="黑体"/>
          <w:b/>
          <w:bCs/>
        </w:rPr>
        <w:t>20</w:t>
      </w:r>
      <w:r>
        <w:rPr>
          <w:rStyle w:val="23"/>
          <w:rFonts w:hint="eastAsia" w:ascii="黑体" w:hAnsi="黑体" w:eastAsia="黑体" w:cs="黑体"/>
          <w:b/>
          <w:bCs/>
          <w:lang w:val="en-US" w:eastAsia="zh-CN"/>
        </w:rPr>
        <w:t>20</w:t>
      </w:r>
      <w:r>
        <w:rPr>
          <w:rStyle w:val="23"/>
          <w:rFonts w:hint="default" w:ascii="Times New Roman" w:hAnsi="Times New Roman" w:eastAsia="黑体" w:cs="Times New Roman"/>
          <w:b/>
          <w:bCs/>
        </w:rPr>
        <w:t>年度</w:t>
      </w:r>
      <w:r>
        <w:rPr>
          <w:rStyle w:val="23"/>
          <w:rFonts w:hint="eastAsia" w:eastAsia="黑体" w:cs="Times New Roman"/>
          <w:b/>
          <w:bCs/>
          <w:lang w:eastAsia="zh-CN"/>
        </w:rPr>
        <w:t>单位</w:t>
      </w:r>
      <w:r>
        <w:rPr>
          <w:rStyle w:val="23"/>
          <w:rFonts w:hint="default" w:ascii="Times New Roman" w:hAnsi="Times New Roman" w:eastAsia="黑体" w:cs="Times New Roman"/>
          <w:b/>
          <w:bCs/>
        </w:rPr>
        <w:t>决算情况说明</w:t>
      </w:r>
      <w:bookmarkEnd w:id="34"/>
      <w:bookmarkEnd w:id="35"/>
      <w:bookmarkEnd w:id="36"/>
    </w:p>
    <w:p>
      <w:pPr>
        <w:pStyle w:val="22"/>
        <w:pageBreakBefore w:val="0"/>
        <w:widowControl w:val="0"/>
        <w:numPr>
          <w:ilvl w:val="0"/>
          <w:numId w:val="1"/>
        </w:numPr>
        <w:kinsoku/>
        <w:wordWrap/>
        <w:overflowPunct/>
        <w:topLinePunct w:val="0"/>
        <w:autoSpaceDE/>
        <w:autoSpaceDN/>
        <w:bidi w:val="0"/>
        <w:adjustRightInd w:val="0"/>
        <w:snapToGrid w:val="0"/>
        <w:spacing w:beforeAutospacing="0" w:line="600" w:lineRule="exact"/>
        <w:ind w:firstLineChars="0"/>
        <w:textAlignment w:val="auto"/>
        <w:outlineLvl w:val="1"/>
        <w:rPr>
          <w:rStyle w:val="24"/>
          <w:rFonts w:hint="default" w:ascii="Times New Roman" w:hAnsi="Times New Roman" w:eastAsia="黑体" w:cs="Times New Roman"/>
          <w:b/>
          <w:bCs/>
        </w:rPr>
      </w:pPr>
      <w:bookmarkStart w:id="37" w:name="_Toc26460"/>
      <w:bookmarkStart w:id="38" w:name="_Toc15377205"/>
      <w:bookmarkStart w:id="39" w:name="_Toc7800"/>
      <w:r>
        <w:rPr>
          <w:rFonts w:hint="default" w:ascii="Times New Roman" w:hAnsi="Times New Roman" w:eastAsia="黑体" w:cs="Times New Roman"/>
          <w:b/>
          <w:bCs/>
          <w:color w:val="000000"/>
          <w:sz w:val="32"/>
          <w:szCs w:val="32"/>
        </w:rPr>
        <w:t>收</w:t>
      </w:r>
      <w:r>
        <w:rPr>
          <w:rStyle w:val="24"/>
          <w:rFonts w:hint="default" w:ascii="Times New Roman" w:hAnsi="Times New Roman" w:eastAsia="黑体" w:cs="Times New Roman"/>
          <w:b/>
          <w:bCs/>
        </w:rPr>
        <w:t>入支出决算总体情况说明</w:t>
      </w:r>
      <w:bookmarkEnd w:id="37"/>
      <w:bookmarkEnd w:id="38"/>
      <w:bookmarkEnd w:id="39"/>
    </w:p>
    <w:p>
      <w:pPr>
        <w:pageBreakBefore w:val="0"/>
        <w:widowControl w:val="0"/>
        <w:kinsoku/>
        <w:wordWrap/>
        <w:overflowPunct/>
        <w:topLinePunct w:val="0"/>
        <w:autoSpaceDE/>
        <w:autoSpaceDN/>
        <w:bidi w:val="0"/>
        <w:adjustRightInd w:val="0"/>
        <w:snapToGrid w:val="0"/>
        <w:spacing w:after="211" w:afterLines="67" w:afterAutospacing="0" w:line="600" w:lineRule="exact"/>
        <w:ind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2020年度收、支总计为101.42万元，与2019年相比，收、支总计各增加11.83万元，增长13.20%。主要变动原因是</w:t>
      </w:r>
      <w:r>
        <w:rPr>
          <w:rFonts w:hint="eastAsia" w:ascii="仿宋" w:hAnsi="仿宋" w:eastAsia="仿宋" w:cs="仿宋"/>
          <w:b/>
          <w:bCs/>
          <w:color w:val="auto"/>
          <w:sz w:val="32"/>
          <w:szCs w:val="32"/>
          <w:lang w:val="en-US" w:eastAsia="zh-CN"/>
        </w:rPr>
        <w:t>2020年省密钥管理中心增加一位在职人员</w:t>
      </w:r>
      <w:r>
        <w:rPr>
          <w:rFonts w:hint="eastAsia" w:ascii="仿宋" w:hAnsi="仿宋" w:eastAsia="仿宋" w:cs="仿宋"/>
          <w:b/>
          <w:bCs/>
          <w:sz w:val="32"/>
          <w:szCs w:val="32"/>
          <w:lang w:val="en-US" w:eastAsia="zh-CN"/>
        </w:rPr>
        <w:t>。</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547110" cy="2924175"/>
            <wp:effectExtent l="0" t="0" r="1524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1"/>
                    <a:stretch>
                      <a:fillRect/>
                    </a:stretch>
                  </pic:blipFill>
                  <pic:spPr>
                    <a:xfrm>
                      <a:off x="0" y="0"/>
                      <a:ext cx="3547110" cy="2924175"/>
                    </a:xfrm>
                    <a:prstGeom prst="rect">
                      <a:avLst/>
                    </a:prstGeom>
                    <a:noFill/>
                    <a:ln w="9525">
                      <a:noFill/>
                    </a:ln>
                  </pic:spPr>
                </pic:pic>
              </a:graphicData>
            </a:graphic>
          </wp:inline>
        </w:drawing>
      </w:r>
    </w:p>
    <w:p>
      <w:pPr>
        <w:keepNext w:val="0"/>
        <w:keepLines w:val="0"/>
        <w:widowControl/>
        <w:suppressLineNumbers w:val="0"/>
        <w:jc w:val="center"/>
        <w:rPr>
          <w:rFonts w:hint="default" w:ascii="宋体" w:hAnsi="宋体" w:eastAsia="宋体" w:cs="宋体"/>
          <w:kern w:val="0"/>
          <w:sz w:val="24"/>
          <w:szCs w:val="24"/>
          <w:lang w:val="en-US" w:eastAsia="zh-CN" w:bidi="ar"/>
        </w:rPr>
      </w:pPr>
    </w:p>
    <w:p>
      <w:pPr>
        <w:pStyle w:val="22"/>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firstLineChars="0"/>
        <w:textAlignment w:val="auto"/>
        <w:outlineLvl w:val="1"/>
        <w:rPr>
          <w:rStyle w:val="24"/>
          <w:rFonts w:hint="default" w:ascii="Times New Roman" w:hAnsi="Times New Roman" w:eastAsia="黑体" w:cs="Times New Roman"/>
          <w:b/>
          <w:bCs/>
        </w:rPr>
      </w:pPr>
      <w:bookmarkStart w:id="40" w:name="_Toc5614"/>
      <w:bookmarkStart w:id="41" w:name="_Toc28389"/>
      <w:bookmarkStart w:id="42" w:name="_Toc15377206"/>
      <w:r>
        <w:rPr>
          <w:rFonts w:hint="default" w:ascii="Times New Roman" w:hAnsi="Times New Roman" w:eastAsia="黑体" w:cs="Times New Roman"/>
          <w:b/>
          <w:bCs/>
          <w:color w:val="000000"/>
          <w:sz w:val="32"/>
          <w:szCs w:val="32"/>
        </w:rPr>
        <w:t>收</w:t>
      </w:r>
      <w:r>
        <w:rPr>
          <w:rStyle w:val="24"/>
          <w:rFonts w:hint="default" w:ascii="Times New Roman" w:hAnsi="Times New Roman" w:eastAsia="黑体" w:cs="Times New Roman"/>
          <w:b/>
          <w:bCs/>
        </w:rPr>
        <w:t>入决算情况说明</w:t>
      </w:r>
      <w:bookmarkEnd w:id="40"/>
      <w:bookmarkEnd w:id="41"/>
      <w:bookmarkEnd w:id="42"/>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2020年本年收入合计</w:t>
      </w:r>
      <w:r>
        <w:rPr>
          <w:rFonts w:hint="eastAsia" w:ascii="仿宋" w:hAnsi="仿宋" w:eastAsia="仿宋" w:cs="仿宋"/>
          <w:b/>
          <w:bCs/>
          <w:sz w:val="32"/>
          <w:szCs w:val="32"/>
          <w:lang w:val="en-US" w:eastAsia="zh-CN"/>
        </w:rPr>
        <w:t>101.42</w:t>
      </w:r>
      <w:r>
        <w:rPr>
          <w:rFonts w:hint="eastAsia" w:ascii="仿宋" w:hAnsi="仿宋" w:eastAsia="仿宋" w:cs="仿宋"/>
          <w:b/>
          <w:bCs/>
          <w:color w:val="auto"/>
          <w:sz w:val="32"/>
          <w:szCs w:val="32"/>
          <w:lang w:val="en-US" w:eastAsia="zh-CN"/>
        </w:rPr>
        <w:t>万元，其中：一般公共预算拨款收入101.42万元，占100%；政府性基金预算财政拨款收入、上级补助收入、事业收入、经营收入、附属单位上缴收入、其他收入均为零。</w:t>
      </w:r>
    </w:p>
    <w:p>
      <w:pPr>
        <w:keepNext w:val="0"/>
        <w:keepLines w:val="0"/>
        <w:widowControl/>
        <w:suppressLineNumbers w:val="0"/>
        <w:jc w:val="center"/>
        <w:rPr>
          <w:rFonts w:hint="eastAsia" w:eastAsia="宋体"/>
          <w:lang w:eastAsia="zh-CN"/>
        </w:rPr>
      </w:pPr>
      <w:r>
        <w:rPr>
          <w:rFonts w:hint="eastAsia" w:eastAsia="宋体"/>
          <w:lang w:eastAsia="zh-CN"/>
        </w:rPr>
        <w:drawing>
          <wp:inline distT="0" distB="0" distL="114300" distR="114300">
            <wp:extent cx="3527425" cy="3200400"/>
            <wp:effectExtent l="0" t="0" r="15875" b="0"/>
            <wp:docPr id="19" name="图片 19" descr="@8W3H5WSW%45V4R7TU54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W3H5WSW%45V4R7TU544)N"/>
                    <pic:cNvPicPr>
                      <a:picLocks noChangeAspect="1"/>
                    </pic:cNvPicPr>
                  </pic:nvPicPr>
                  <pic:blipFill>
                    <a:blip r:embed="rId12"/>
                    <a:stretch>
                      <a:fillRect/>
                    </a:stretch>
                  </pic:blipFill>
                  <pic:spPr>
                    <a:xfrm>
                      <a:off x="0" y="0"/>
                      <a:ext cx="3527425" cy="3200400"/>
                    </a:xfrm>
                    <a:prstGeom prst="rect">
                      <a:avLst/>
                    </a:prstGeom>
                  </pic:spPr>
                </pic:pic>
              </a:graphicData>
            </a:graphic>
          </wp:inline>
        </w:drawing>
      </w:r>
    </w:p>
    <w:p>
      <w:pPr>
        <w:keepNext w:val="0"/>
        <w:keepLines w:val="0"/>
        <w:widowControl/>
        <w:suppressLineNumbers w:val="0"/>
        <w:jc w:val="center"/>
        <w:rPr>
          <w:rFonts w:hint="default" w:eastAsia="宋体"/>
          <w:lang w:val="en-US" w:eastAsia="zh-CN"/>
        </w:rPr>
      </w:pPr>
    </w:p>
    <w:p>
      <w:pPr>
        <w:pStyle w:val="22"/>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firstLineChars="0"/>
        <w:textAlignment w:val="auto"/>
        <w:outlineLvl w:val="1"/>
        <w:rPr>
          <w:rStyle w:val="24"/>
          <w:rFonts w:hint="default" w:ascii="Times New Roman" w:hAnsi="Times New Roman" w:eastAsia="黑体" w:cs="Times New Roman"/>
          <w:b/>
          <w:bCs/>
        </w:rPr>
      </w:pPr>
      <w:bookmarkStart w:id="43" w:name="_Toc5664"/>
      <w:bookmarkStart w:id="44" w:name="_Toc15377207"/>
      <w:bookmarkStart w:id="45" w:name="_Toc7573"/>
      <w:r>
        <w:rPr>
          <w:rFonts w:hint="default" w:ascii="Times New Roman" w:hAnsi="Times New Roman" w:eastAsia="黑体" w:cs="Times New Roman"/>
          <w:b/>
          <w:bCs/>
          <w:color w:val="000000"/>
          <w:sz w:val="32"/>
          <w:szCs w:val="32"/>
        </w:rPr>
        <w:t>支</w:t>
      </w:r>
      <w:r>
        <w:rPr>
          <w:rStyle w:val="24"/>
          <w:rFonts w:hint="default" w:ascii="Times New Roman" w:hAnsi="Times New Roman" w:eastAsia="黑体" w:cs="Times New Roman"/>
          <w:b/>
          <w:bCs/>
        </w:rPr>
        <w:t>出决算情况说明</w:t>
      </w:r>
      <w:bookmarkEnd w:id="43"/>
      <w:bookmarkEnd w:id="44"/>
      <w:bookmarkEnd w:id="45"/>
    </w:p>
    <w:p>
      <w:pPr>
        <w:keepNext w:val="0"/>
        <w:keepLines w:val="0"/>
        <w:pageBreakBefore w:val="0"/>
        <w:widowControl w:val="0"/>
        <w:kinsoku/>
        <w:wordWrap/>
        <w:overflowPunct/>
        <w:topLinePunct w:val="0"/>
        <w:autoSpaceDE/>
        <w:autoSpaceDN/>
        <w:bidi w:val="0"/>
        <w:adjustRightInd w:val="0"/>
        <w:snapToGrid w:val="0"/>
        <w:spacing w:after="315" w:afterLines="100" w:afterAutospacing="0" w:line="600" w:lineRule="exact"/>
        <w:ind w:firstLine="640"/>
        <w:textAlignment w:val="auto"/>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2020年本年支出合计</w:t>
      </w:r>
      <w:r>
        <w:rPr>
          <w:rFonts w:hint="eastAsia" w:ascii="仿宋" w:hAnsi="仿宋" w:eastAsia="仿宋" w:cs="仿宋"/>
          <w:b/>
          <w:bCs/>
          <w:sz w:val="32"/>
          <w:szCs w:val="32"/>
          <w:lang w:val="en-US" w:eastAsia="zh-CN"/>
        </w:rPr>
        <w:t>101.42</w:t>
      </w:r>
      <w:r>
        <w:rPr>
          <w:rFonts w:hint="eastAsia" w:ascii="仿宋" w:hAnsi="仿宋" w:eastAsia="仿宋" w:cs="仿宋"/>
          <w:b/>
          <w:bCs/>
          <w:color w:val="auto"/>
          <w:sz w:val="32"/>
          <w:szCs w:val="32"/>
          <w:lang w:val="en-US" w:eastAsia="zh-CN"/>
        </w:rPr>
        <w:t>万元，其中：基本支出101.42万元，占100%；项目支出、上缴上级支出、经营支出、对附属单位补助支出均为零。</w:t>
      </w:r>
    </w:p>
    <w:p>
      <w:pPr>
        <w:keepNext w:val="0"/>
        <w:keepLines w:val="0"/>
        <w:widowControl/>
        <w:suppressLineNumbers w:val="0"/>
        <w:jc w:val="center"/>
        <w:rPr>
          <w:rFonts w:ascii="宋体" w:hAnsi="宋体" w:eastAsia="宋体" w:cs="宋体"/>
          <w:kern w:val="0"/>
          <w:sz w:val="24"/>
          <w:szCs w:val="24"/>
          <w:lang w:val="en-US" w:eastAsia="zh-CN" w:bidi="ar"/>
        </w:rPr>
      </w:pPr>
      <w:bookmarkStart w:id="46" w:name="_Toc30299"/>
      <w:bookmarkStart w:id="47" w:name="_Toc15377208"/>
      <w:r>
        <w:rPr>
          <w:rFonts w:ascii="宋体" w:hAnsi="宋体" w:eastAsia="宋体" w:cs="宋体"/>
          <w:kern w:val="0"/>
          <w:sz w:val="24"/>
          <w:szCs w:val="24"/>
          <w:lang w:val="en-US" w:eastAsia="zh-CN" w:bidi="ar"/>
        </w:rPr>
        <w:drawing>
          <wp:inline distT="0" distB="0" distL="114300" distR="114300">
            <wp:extent cx="3572510" cy="3094355"/>
            <wp:effectExtent l="0" t="0" r="8890" b="10795"/>
            <wp:docPr id="2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56"/>
                    <pic:cNvPicPr>
                      <a:picLocks noChangeAspect="1"/>
                    </pic:cNvPicPr>
                  </pic:nvPicPr>
                  <pic:blipFill>
                    <a:blip r:embed="rId13"/>
                    <a:stretch>
                      <a:fillRect/>
                    </a:stretch>
                  </pic:blipFill>
                  <pic:spPr>
                    <a:xfrm>
                      <a:off x="0" y="0"/>
                      <a:ext cx="3572510" cy="3094355"/>
                    </a:xfrm>
                    <a:prstGeom prst="rect">
                      <a:avLst/>
                    </a:prstGeom>
                    <a:noFill/>
                    <a:ln w="9525">
                      <a:noFill/>
                    </a:ln>
                  </pic:spPr>
                </pic:pic>
              </a:graphicData>
            </a:graphic>
          </wp:inline>
        </w:drawing>
      </w:r>
    </w:p>
    <w:p>
      <w:pPr>
        <w:keepNext w:val="0"/>
        <w:keepLines w:val="0"/>
        <w:widowControl/>
        <w:suppressLineNumbers w:val="0"/>
        <w:jc w:val="center"/>
        <w:rPr>
          <w:rFonts w:hint="default"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outlineLvl w:val="1"/>
        <w:rPr>
          <w:rStyle w:val="24"/>
          <w:rFonts w:hint="default" w:ascii="Times New Roman" w:hAnsi="Times New Roman" w:eastAsia="黑体" w:cs="Times New Roman"/>
          <w:b/>
          <w:bCs/>
        </w:rPr>
      </w:pPr>
      <w:bookmarkStart w:id="48" w:name="_Toc9526"/>
      <w:r>
        <w:rPr>
          <w:rFonts w:hint="default" w:ascii="Times New Roman" w:hAnsi="Times New Roman" w:eastAsia="黑体" w:cs="Times New Roman"/>
          <w:b/>
          <w:bCs/>
          <w:color w:val="000000"/>
          <w:sz w:val="32"/>
          <w:szCs w:val="32"/>
        </w:rPr>
        <w:t>四、财</w:t>
      </w:r>
      <w:r>
        <w:rPr>
          <w:rStyle w:val="24"/>
          <w:rFonts w:hint="default" w:ascii="Times New Roman" w:hAnsi="Times New Roman" w:eastAsia="黑体" w:cs="Times New Roman"/>
          <w:b/>
          <w:bCs/>
        </w:rPr>
        <w:t>政拨款收入支出决算总体情况说明</w:t>
      </w:r>
      <w:bookmarkEnd w:id="46"/>
      <w:bookmarkEnd w:id="47"/>
      <w:bookmarkEnd w:id="48"/>
    </w:p>
    <w:p>
      <w:pPr>
        <w:keepNext w:val="0"/>
        <w:keepLines w:val="0"/>
        <w:pageBreakBefore w:val="0"/>
        <w:widowControl w:val="0"/>
        <w:kinsoku/>
        <w:wordWrap/>
        <w:overflowPunct/>
        <w:topLinePunct w:val="0"/>
        <w:autoSpaceDE/>
        <w:autoSpaceDN/>
        <w:bidi w:val="0"/>
        <w:adjustRightInd w:val="0"/>
        <w:snapToGrid w:val="0"/>
        <w:spacing w:after="315" w:afterLines="100" w:afterAutospacing="0" w:line="600" w:lineRule="exact"/>
        <w:ind w:firstLine="64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2020年财政拨款收、支总计101.42万元。与2019年相比，财政拨款收、支总计各增加11.83万元，增长13.20%。</w:t>
      </w:r>
      <w:r>
        <w:rPr>
          <w:rFonts w:hint="eastAsia" w:ascii="仿宋" w:hAnsi="仿宋" w:eastAsia="仿宋" w:cs="仿宋"/>
          <w:b/>
          <w:bCs/>
          <w:sz w:val="32"/>
          <w:szCs w:val="32"/>
          <w:lang w:val="en-US" w:eastAsia="zh-CN"/>
        </w:rPr>
        <w:t>主要变动原因是</w:t>
      </w:r>
      <w:r>
        <w:rPr>
          <w:rFonts w:hint="eastAsia" w:ascii="仿宋" w:hAnsi="仿宋" w:eastAsia="仿宋" w:cs="仿宋"/>
          <w:b/>
          <w:bCs/>
          <w:color w:val="auto"/>
          <w:sz w:val="32"/>
          <w:szCs w:val="32"/>
          <w:lang w:val="en-US" w:eastAsia="zh-CN"/>
        </w:rPr>
        <w:t>2020年省密钥管理中心增加一位在职人员。</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509645" cy="2771775"/>
            <wp:effectExtent l="0" t="0" r="14605" b="9525"/>
            <wp:docPr id="2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56"/>
                    <pic:cNvPicPr>
                      <a:picLocks noChangeAspect="1"/>
                    </pic:cNvPicPr>
                  </pic:nvPicPr>
                  <pic:blipFill>
                    <a:blip r:embed="rId14"/>
                    <a:stretch>
                      <a:fillRect/>
                    </a:stretch>
                  </pic:blipFill>
                  <pic:spPr>
                    <a:xfrm>
                      <a:off x="0" y="0"/>
                      <a:ext cx="3509645" cy="2771775"/>
                    </a:xfrm>
                    <a:prstGeom prst="rect">
                      <a:avLst/>
                    </a:prstGeom>
                    <a:noFill/>
                    <a:ln w="9525">
                      <a:noFill/>
                    </a:ln>
                  </pic:spPr>
                </pic:pic>
              </a:graphicData>
            </a:graphic>
          </wp:inline>
        </w:drawing>
      </w:r>
    </w:p>
    <w:p>
      <w:pPr>
        <w:keepNext w:val="0"/>
        <w:keepLines w:val="0"/>
        <w:widowControl/>
        <w:suppressLineNumbers w:val="0"/>
        <w:jc w:val="center"/>
        <w:rPr>
          <w:rFonts w:hint="default"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outlineLvl w:val="1"/>
        <w:rPr>
          <w:rStyle w:val="24"/>
          <w:rFonts w:hint="default" w:ascii="Times New Roman" w:hAnsi="Times New Roman" w:eastAsia="黑体" w:cs="Times New Roman"/>
          <w:b/>
          <w:bCs/>
        </w:rPr>
      </w:pPr>
      <w:bookmarkStart w:id="49" w:name="_Toc15377209"/>
      <w:bookmarkStart w:id="50" w:name="_Toc26758"/>
      <w:bookmarkStart w:id="51" w:name="_Toc13717"/>
      <w:r>
        <w:rPr>
          <w:rFonts w:hint="default" w:ascii="Times New Roman" w:hAnsi="Times New Roman" w:eastAsia="黑体" w:cs="Times New Roman"/>
          <w:b/>
          <w:bCs/>
          <w:color w:val="000000"/>
          <w:sz w:val="32"/>
          <w:szCs w:val="32"/>
        </w:rPr>
        <w:t>五、一</w:t>
      </w:r>
      <w:r>
        <w:rPr>
          <w:rStyle w:val="24"/>
          <w:rFonts w:hint="default" w:ascii="Times New Roman" w:hAnsi="Times New Roman" w:eastAsia="黑体" w:cs="Times New Roman"/>
          <w:b/>
          <w:bCs/>
        </w:rPr>
        <w:t>般公共预算财政拨款支出决算情况说明</w:t>
      </w:r>
      <w:bookmarkEnd w:id="49"/>
      <w:bookmarkEnd w:id="50"/>
      <w:bookmarkEnd w:id="51"/>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outlineLvl w:val="2"/>
        <w:rPr>
          <w:rFonts w:hint="eastAsia" w:ascii="楷体" w:hAnsi="楷体" w:eastAsia="楷体" w:cs="楷体"/>
          <w:b/>
          <w:bCs/>
          <w:color w:val="000000"/>
          <w:sz w:val="32"/>
          <w:szCs w:val="32"/>
        </w:rPr>
      </w:pPr>
      <w:bookmarkStart w:id="52" w:name="_Toc15377210"/>
      <w:r>
        <w:rPr>
          <w:rFonts w:hint="eastAsia" w:ascii="楷体" w:hAnsi="楷体" w:eastAsia="楷体" w:cs="楷体"/>
          <w:b/>
          <w:bCs/>
          <w:color w:val="000000"/>
          <w:sz w:val="32"/>
          <w:szCs w:val="32"/>
        </w:rPr>
        <w:t>（一）一般公共预算财政拨款支出决算总体情况</w:t>
      </w:r>
      <w:bookmarkEnd w:id="52"/>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2020年一般公共预算财政拨款支出101.42万元，占本年支出合计的100%。与2019年相比，一般公共预算财政拨款增加11.83万元，增长13.20%。</w:t>
      </w:r>
      <w:r>
        <w:rPr>
          <w:rFonts w:hint="eastAsia" w:ascii="仿宋" w:hAnsi="仿宋" w:eastAsia="仿宋" w:cs="仿宋"/>
          <w:b/>
          <w:bCs/>
          <w:sz w:val="32"/>
          <w:szCs w:val="32"/>
          <w:lang w:val="en-US" w:eastAsia="zh-CN"/>
        </w:rPr>
        <w:t>主要变动原因是</w:t>
      </w:r>
      <w:r>
        <w:rPr>
          <w:rFonts w:hint="eastAsia" w:ascii="仿宋" w:hAnsi="仿宋" w:eastAsia="仿宋" w:cs="仿宋"/>
          <w:b/>
          <w:bCs/>
          <w:color w:val="auto"/>
          <w:sz w:val="32"/>
          <w:szCs w:val="32"/>
          <w:lang w:val="en-US" w:eastAsia="zh-CN"/>
        </w:rPr>
        <w:t>2020年省密钥管理中心增加一位在职人员。</w:t>
      </w:r>
    </w:p>
    <w:p>
      <w:pPr>
        <w:pageBreakBefore w:val="0"/>
        <w:kinsoku/>
        <w:wordWrap/>
        <w:overflowPunct/>
        <w:topLinePunct w:val="0"/>
        <w:bidi w:val="0"/>
        <w:adjustRightInd w:val="0"/>
        <w:snapToGrid w:val="0"/>
        <w:spacing w:line="360" w:lineRule="auto"/>
        <w:jc w:val="center"/>
        <w:rPr>
          <w:rFonts w:hint="default"/>
        </w:rPr>
      </w:pPr>
      <w:bookmarkStart w:id="53" w:name="_Toc15377211"/>
      <w:r>
        <w:drawing>
          <wp:inline distT="0" distB="0" distL="114300" distR="114300">
            <wp:extent cx="3471545" cy="3142615"/>
            <wp:effectExtent l="0" t="0" r="14605" b="63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5"/>
                    <a:stretch>
                      <a:fillRect/>
                    </a:stretch>
                  </pic:blipFill>
                  <pic:spPr>
                    <a:xfrm>
                      <a:off x="0" y="0"/>
                      <a:ext cx="3471545" cy="3142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outlineLvl w:val="2"/>
        <w:rPr>
          <w:rFonts w:hint="eastAsia" w:ascii="楷体" w:hAnsi="楷体" w:eastAsia="楷体" w:cs="楷体"/>
          <w:b/>
          <w:bCs/>
          <w:color w:val="000000"/>
          <w:sz w:val="32"/>
          <w:szCs w:val="32"/>
        </w:rPr>
      </w:pPr>
      <w:r>
        <w:rPr>
          <w:rFonts w:hint="eastAsia" w:ascii="楷体" w:hAnsi="楷体" w:eastAsia="楷体" w:cs="楷体"/>
          <w:b/>
          <w:bCs/>
          <w:color w:val="000000"/>
          <w:sz w:val="32"/>
          <w:szCs w:val="32"/>
        </w:rPr>
        <w:t>（二）一般公共预算财政拨款支出决算结构情况</w:t>
      </w:r>
      <w:bookmarkEnd w:id="53"/>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color w:val="000000"/>
          <w:sz w:val="32"/>
          <w:szCs w:val="32"/>
          <w:lang w:val="en-US"/>
        </w:rPr>
      </w:pPr>
      <w:r>
        <w:rPr>
          <w:rFonts w:hint="eastAsia" w:ascii="仿宋" w:hAnsi="仿宋" w:eastAsia="仿宋" w:cs="仿宋"/>
          <w:b/>
          <w:bCs/>
          <w:color w:val="auto"/>
          <w:sz w:val="32"/>
          <w:szCs w:val="32"/>
          <w:lang w:val="en-US" w:eastAsia="zh-CN"/>
        </w:rPr>
        <w:t>2020年一般公共预算财政拨款支出101.42万元，主要用于以下方面：一般公共服务（类）支出85.17万元，占83.98%；社会保障和就业（类）支出6.90万元，占6.80%；</w:t>
      </w:r>
      <w:r>
        <w:rPr>
          <w:rFonts w:hint="eastAsia" w:ascii="仿宋" w:hAnsi="仿宋" w:eastAsia="仿宋" w:cs="仿宋"/>
          <w:b/>
          <w:bCs/>
          <w:color w:val="auto"/>
          <w:kern w:val="2"/>
          <w:sz w:val="32"/>
          <w:szCs w:val="32"/>
          <w:lang w:val="en-US" w:eastAsia="zh-CN" w:bidi="ar-SA"/>
        </w:rPr>
        <w:t>卫生健康（类）</w:t>
      </w:r>
      <w:r>
        <w:rPr>
          <w:rFonts w:hint="eastAsia" w:ascii="仿宋" w:hAnsi="仿宋" w:eastAsia="仿宋" w:cs="仿宋"/>
          <w:b/>
          <w:bCs/>
          <w:color w:val="auto"/>
          <w:sz w:val="32"/>
          <w:szCs w:val="32"/>
          <w:lang w:val="en-US" w:eastAsia="zh-CN"/>
        </w:rPr>
        <w:t>支出4.43万元，占4.37%；住房保障（类）支出4.92万元，占4.85%。</w:t>
      </w:r>
    </w:p>
    <w:p>
      <w:pPr>
        <w:keepNext w:val="0"/>
        <w:keepLines w:val="0"/>
        <w:widowControl/>
        <w:suppressLineNumbers w:val="0"/>
        <w:jc w:val="center"/>
        <w:rPr>
          <w:rFonts w:hint="default" w:ascii="Times New Roman" w:hAnsi="Times New Roman" w:eastAsia="仿宋" w:cs="Times New Roman"/>
          <w:b/>
          <w:bCs/>
          <w:color w:val="000000"/>
          <w:sz w:val="32"/>
          <w:szCs w:val="32"/>
          <w:lang w:eastAsia="zh-CN"/>
        </w:rPr>
      </w:pPr>
      <w:r>
        <w:rPr>
          <w:rFonts w:ascii="宋体" w:hAnsi="宋体" w:eastAsia="宋体" w:cs="宋体"/>
          <w:kern w:val="0"/>
          <w:sz w:val="24"/>
          <w:szCs w:val="24"/>
          <w:lang w:val="en-US" w:eastAsia="zh-CN" w:bidi="ar"/>
        </w:rPr>
        <w:drawing>
          <wp:inline distT="0" distB="0" distL="114300" distR="114300">
            <wp:extent cx="3423920" cy="3187065"/>
            <wp:effectExtent l="0" t="0" r="5080" b="13335"/>
            <wp:docPr id="2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IMG_256"/>
                    <pic:cNvPicPr>
                      <a:picLocks noChangeAspect="1"/>
                    </pic:cNvPicPr>
                  </pic:nvPicPr>
                  <pic:blipFill>
                    <a:blip r:embed="rId16"/>
                    <a:stretch>
                      <a:fillRect/>
                    </a:stretch>
                  </pic:blipFill>
                  <pic:spPr>
                    <a:xfrm>
                      <a:off x="0" y="0"/>
                      <a:ext cx="3423920" cy="3187065"/>
                    </a:xfrm>
                    <a:prstGeom prst="rect">
                      <a:avLst/>
                    </a:prstGeom>
                    <a:noFill/>
                    <a:ln w="9525">
                      <a:noFill/>
                    </a:ln>
                  </pic:spPr>
                </pic:pic>
              </a:graphicData>
            </a:graphic>
          </wp:inline>
        </w:drawing>
      </w:r>
    </w:p>
    <w:p>
      <w:pPr>
        <w:pageBreakBefore w:val="0"/>
        <w:kinsoku/>
        <w:wordWrap/>
        <w:overflowPunct/>
        <w:topLinePunct w:val="0"/>
        <w:bidi w:val="0"/>
        <w:adjustRightInd w:val="0"/>
        <w:snapToGrid w:val="0"/>
        <w:spacing w:line="360" w:lineRule="auto"/>
        <w:ind w:firstLine="643" w:firstLineChars="200"/>
        <w:outlineLvl w:val="2"/>
        <w:rPr>
          <w:rFonts w:hint="eastAsia" w:ascii="楷体" w:hAnsi="楷体" w:eastAsia="楷体" w:cs="楷体"/>
          <w:b/>
          <w:bCs/>
          <w:color w:val="000000"/>
          <w:sz w:val="32"/>
          <w:szCs w:val="32"/>
        </w:rPr>
      </w:pPr>
      <w:bookmarkStart w:id="54" w:name="_Toc15377212"/>
      <w:r>
        <w:rPr>
          <w:rFonts w:hint="eastAsia" w:ascii="楷体" w:hAnsi="楷体" w:eastAsia="楷体" w:cs="楷体"/>
          <w:b/>
          <w:bCs/>
          <w:color w:val="000000"/>
          <w:sz w:val="32"/>
          <w:szCs w:val="32"/>
        </w:rPr>
        <w:t>（三）一般公共预算财政拨款支出决算具体情况</w:t>
      </w:r>
      <w:bookmarkEnd w:id="54"/>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bookmarkStart w:id="55" w:name="_Toc15378460"/>
      <w:bookmarkStart w:id="56" w:name="_Toc15377213"/>
      <w:bookmarkStart w:id="57" w:name="_Toc15377444"/>
      <w:r>
        <w:rPr>
          <w:rFonts w:hint="eastAsia" w:ascii="仿宋" w:hAnsi="仿宋" w:eastAsia="仿宋" w:cs="仿宋"/>
          <w:b/>
          <w:bCs/>
          <w:color w:val="auto"/>
          <w:sz w:val="32"/>
          <w:szCs w:val="32"/>
          <w:lang w:val="en-US" w:eastAsia="zh-CN"/>
        </w:rPr>
        <w:t>2020年一般公共预算支出决算数为101.42万元，完成预算90.91%。其中：</w:t>
      </w:r>
      <w:bookmarkEnd w:id="55"/>
      <w:bookmarkEnd w:id="56"/>
      <w:bookmarkEnd w:id="57"/>
    </w:p>
    <w:p>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一般公共服务支出（类）党委办公厅（室）及相关机构事务（款）行政运行（项）:支出决算为85.17万元，完成预算92.97%。决算数小于预算数的主要原因是经费计算口径不同所致。</w:t>
      </w:r>
    </w:p>
    <w:p>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社会保障和就业支出（类）行政事业单位养老支出（款）机关事业单位基本养老保险缴费支出（项）:支出决算为6.90万元，完成预算90.20%。决算数小于预算数的主要原因是经费计算口径不同所致。</w:t>
      </w:r>
    </w:p>
    <w:p>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kern w:val="2"/>
          <w:sz w:val="32"/>
          <w:szCs w:val="32"/>
          <w:lang w:val="en-US" w:eastAsia="zh-CN" w:bidi="ar-SA"/>
        </w:rPr>
        <w:t>卫生健康</w:t>
      </w:r>
      <w:r>
        <w:rPr>
          <w:rFonts w:hint="eastAsia" w:ascii="仿宋" w:hAnsi="仿宋" w:eastAsia="仿宋" w:cs="仿宋"/>
          <w:b/>
          <w:bCs/>
          <w:color w:val="auto"/>
          <w:sz w:val="32"/>
          <w:szCs w:val="32"/>
          <w:lang w:val="en-US" w:eastAsia="zh-CN"/>
        </w:rPr>
        <w:t>支出（类）行政事业单位医疗（款）行政单位医疗（项）:支出决算为3.69万元，完成预算100%。</w:t>
      </w:r>
    </w:p>
    <w:p>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kern w:val="2"/>
          <w:sz w:val="32"/>
          <w:szCs w:val="32"/>
          <w:lang w:val="en-US" w:eastAsia="zh-CN" w:bidi="ar-SA"/>
        </w:rPr>
        <w:t>卫生健康</w:t>
      </w:r>
      <w:r>
        <w:rPr>
          <w:rFonts w:hint="eastAsia" w:ascii="仿宋" w:hAnsi="仿宋" w:eastAsia="仿宋" w:cs="仿宋"/>
          <w:b/>
          <w:bCs/>
          <w:color w:val="auto"/>
          <w:sz w:val="32"/>
          <w:szCs w:val="32"/>
          <w:lang w:val="en-US" w:eastAsia="zh-CN"/>
        </w:rPr>
        <w:t>支出（类）行政事业单位医疗（款）公务员医疗补助（项）:支出决算为0.74万元，完成预算100%。</w:t>
      </w:r>
    </w:p>
    <w:p>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住房保障支出（类）住房改革支出（款）住房公积金（项）:支出决算为4.92万元，完成预算100%。</w:t>
      </w:r>
    </w:p>
    <w:p>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auto"/>
          <w:sz w:val="32"/>
          <w:szCs w:val="32"/>
          <w:lang w:val="en-US" w:eastAsia="zh-CN"/>
        </w:rPr>
        <w:t>住房保障支出（类）住房改革支出（款）购房补贴（项）:支出决算为0万元，完成预算0%。决算数小于预算数的主要原因是购房补贴审批流程未完成。</w:t>
      </w:r>
    </w:p>
    <w:p>
      <w:pPr>
        <w:keepNext w:val="0"/>
        <w:keepLines w:val="0"/>
        <w:pageBreakBefore w:val="0"/>
        <w:widowControl w:val="0"/>
        <w:tabs>
          <w:tab w:val="right" w:pos="8306"/>
        </w:tabs>
        <w:kinsoku/>
        <w:wordWrap/>
        <w:overflowPunct/>
        <w:topLinePunct w:val="0"/>
        <w:autoSpaceDE/>
        <w:autoSpaceDN/>
        <w:bidi w:val="0"/>
        <w:adjustRightInd w:val="0"/>
        <w:snapToGrid w:val="0"/>
        <w:spacing w:line="600" w:lineRule="exact"/>
        <w:ind w:firstLine="640"/>
        <w:textAlignment w:val="auto"/>
        <w:outlineLvl w:val="1"/>
        <w:rPr>
          <w:rStyle w:val="24"/>
          <w:rFonts w:hint="default" w:ascii="Times New Roman" w:hAnsi="Times New Roman" w:cs="Times New Roman"/>
          <w:b/>
          <w:bCs/>
        </w:rPr>
      </w:pPr>
      <w:bookmarkStart w:id="58" w:name="_Toc29464"/>
      <w:bookmarkStart w:id="59" w:name="_Toc11823"/>
      <w:bookmarkStart w:id="60" w:name="_Toc15377214"/>
      <w:r>
        <w:rPr>
          <w:rFonts w:hint="default" w:ascii="Times New Roman" w:hAnsi="Times New Roman" w:eastAsia="黑体" w:cs="Times New Roman"/>
          <w:b/>
          <w:bCs/>
          <w:color w:val="000000"/>
          <w:sz w:val="32"/>
          <w:szCs w:val="32"/>
        </w:rPr>
        <w:t>六、一</w:t>
      </w:r>
      <w:r>
        <w:rPr>
          <w:rStyle w:val="24"/>
          <w:rFonts w:hint="default" w:ascii="Times New Roman" w:hAnsi="Times New Roman" w:eastAsia="黑体" w:cs="Times New Roman"/>
          <w:b/>
          <w:bCs/>
        </w:rPr>
        <w:t>般公共预算财政拨款基本支出决算情况说明</w:t>
      </w:r>
      <w:bookmarkEnd w:id="58"/>
      <w:bookmarkEnd w:id="59"/>
      <w:bookmarkEnd w:id="60"/>
      <w:r>
        <w:rPr>
          <w:rStyle w:val="24"/>
          <w:rFonts w:hint="default" w:ascii="Times New Roman" w:hAnsi="Times New Roman" w:eastAsia="黑体" w:cs="Times New Roman"/>
          <w:b/>
          <w:bCs/>
        </w:rPr>
        <w:tab/>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2020年一般公共预算财政拨款基本支出101.42万元，其中：</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人员经费84.44万元，包括：基本工资、津贴补贴、奖金、机关事业单位基本养老保险缴费、职工基本医疗保险缴费、公务员医疗补助缴费、住房公积金、其他工资福利支出。</w:t>
      </w:r>
      <w:r>
        <w:rPr>
          <w:rFonts w:hint="eastAsia" w:ascii="仿宋" w:hAnsi="仿宋" w:eastAsia="仿宋" w:cs="仿宋"/>
          <w:b/>
          <w:bCs/>
          <w:color w:val="auto"/>
          <w:sz w:val="32"/>
          <w:szCs w:val="32"/>
          <w:lang w:val="en-US" w:eastAsia="zh-CN"/>
        </w:rPr>
        <w:br w:type="textWrapping"/>
      </w:r>
      <w:r>
        <w:rPr>
          <w:rFonts w:hint="eastAsia" w:ascii="仿宋" w:hAnsi="仿宋" w:eastAsia="仿宋" w:cs="仿宋"/>
          <w:b/>
          <w:bCs/>
          <w:color w:val="auto"/>
          <w:sz w:val="32"/>
          <w:szCs w:val="32"/>
          <w:lang w:val="en-US" w:eastAsia="zh-CN"/>
        </w:rPr>
        <w:t xml:space="preserve">    2. 公用经费16.98万元，主要包括：办公费、水费、电费、邮电费、工会经费、福利费、其他交通费。</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outlineLvl w:val="1"/>
        <w:rPr>
          <w:rStyle w:val="24"/>
          <w:rFonts w:hint="default" w:ascii="Times New Roman" w:hAnsi="Times New Roman" w:eastAsia="黑体" w:cs="Times New Roman"/>
          <w:b/>
          <w:bCs/>
        </w:rPr>
      </w:pPr>
      <w:bookmarkStart w:id="61" w:name="_Toc5076"/>
      <w:bookmarkStart w:id="62" w:name="_Toc14376"/>
      <w:bookmarkStart w:id="63" w:name="_Toc15377215"/>
      <w:r>
        <w:rPr>
          <w:rFonts w:hint="default" w:ascii="Times New Roman" w:hAnsi="Times New Roman" w:eastAsia="黑体" w:cs="Times New Roman"/>
          <w:b/>
          <w:bCs/>
          <w:color w:val="000000"/>
          <w:sz w:val="32"/>
          <w:szCs w:val="32"/>
        </w:rPr>
        <w:t>七、</w:t>
      </w:r>
      <w:r>
        <w:rPr>
          <w:rStyle w:val="24"/>
          <w:rFonts w:hint="default" w:ascii="Times New Roman" w:hAnsi="Times New Roman" w:eastAsia="黑体" w:cs="Times New Roman"/>
          <w:b/>
          <w:bCs/>
        </w:rPr>
        <w:t>“三公”经费财政拨款支出决算情况说明</w:t>
      </w:r>
      <w:bookmarkEnd w:id="61"/>
      <w:bookmarkEnd w:id="62"/>
      <w:bookmarkEnd w:id="63"/>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outlineLvl w:val="2"/>
        <w:rPr>
          <w:rFonts w:hint="eastAsia" w:ascii="楷体" w:hAnsi="楷体" w:eastAsia="楷体" w:cs="楷体"/>
          <w:b/>
          <w:bCs/>
          <w:color w:val="000000"/>
          <w:sz w:val="32"/>
          <w:szCs w:val="32"/>
        </w:rPr>
      </w:pPr>
      <w:bookmarkStart w:id="64" w:name="_Toc15377216"/>
      <w:r>
        <w:rPr>
          <w:rFonts w:hint="eastAsia" w:ascii="楷体" w:hAnsi="楷体" w:eastAsia="楷体" w:cs="楷体"/>
          <w:b/>
          <w:bCs/>
          <w:color w:val="000000"/>
          <w:sz w:val="32"/>
          <w:szCs w:val="32"/>
        </w:rPr>
        <w:t>（一）“三公”经费财政拨款支出决算总体情况说明</w:t>
      </w:r>
      <w:bookmarkEnd w:id="64"/>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sz w:val="32"/>
          <w:szCs w:val="32"/>
        </w:rPr>
        <w:t>2020年“三公”经费财政拨款支出决算为0万元。</w:t>
      </w:r>
      <w:r>
        <w:rPr>
          <w:rFonts w:hint="eastAsia" w:ascii="仿宋" w:hAnsi="仿宋" w:eastAsia="仿宋" w:cs="仿宋"/>
          <w:b/>
          <w:bCs/>
          <w:sz w:val="32"/>
          <w:szCs w:val="32"/>
          <w:lang w:eastAsia="zh-CN"/>
        </w:rPr>
        <w:t>与上年相比无变化，主要原因是本单位未安排“三公”经费预算。</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outlineLvl w:val="2"/>
        <w:rPr>
          <w:rFonts w:hint="eastAsia" w:ascii="楷体" w:hAnsi="楷体" w:eastAsia="楷体" w:cs="楷体"/>
          <w:b/>
          <w:bCs/>
          <w:color w:val="000000"/>
          <w:sz w:val="32"/>
          <w:szCs w:val="32"/>
        </w:rPr>
      </w:pPr>
      <w:bookmarkStart w:id="65" w:name="_Toc15377217"/>
      <w:r>
        <w:rPr>
          <w:rFonts w:hint="eastAsia" w:ascii="楷体" w:hAnsi="楷体" w:eastAsia="楷体" w:cs="楷体"/>
          <w:b/>
          <w:bCs/>
          <w:color w:val="000000"/>
          <w:sz w:val="32"/>
          <w:szCs w:val="32"/>
        </w:rPr>
        <w:t>（二）“三公”经费财政拨款支出决算具体情况说明</w:t>
      </w:r>
      <w:bookmarkEnd w:id="65"/>
    </w:p>
    <w:p>
      <w:pPr>
        <w:adjustRightInd w:val="0"/>
        <w:snapToGrid w:val="0"/>
        <w:spacing w:afterLines="86" w:line="600" w:lineRule="exact"/>
        <w:ind w:firstLine="643" w:firstLineChars="200"/>
        <w:rPr>
          <w:rFonts w:eastAsia="仿宋_GB2312"/>
          <w:b/>
          <w:bCs/>
          <w:sz w:val="32"/>
          <w:szCs w:val="32"/>
        </w:rPr>
      </w:pPr>
      <w:r>
        <w:rPr>
          <w:rFonts w:hint="eastAsia" w:ascii="仿宋" w:hAnsi="仿宋" w:eastAsia="仿宋" w:cs="仿宋"/>
          <w:b/>
          <w:bCs/>
          <w:sz w:val="32"/>
          <w:szCs w:val="32"/>
        </w:rPr>
        <w:t>2020年“三公”经费财政拨款支出决算中，因公出国（境）经费支出决算0万元，占0%；公务用车购置及运行维护费支出决算0万元，占0%；公务接待费支出决算0万元，占0%。</w:t>
      </w:r>
    </w:p>
    <w:p>
      <w:pPr>
        <w:numPr>
          <w:ilvl w:val="0"/>
          <w:numId w:val="4"/>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因公出国（境）经费支出0万元。</w:t>
      </w:r>
      <w:r>
        <w:rPr>
          <w:rFonts w:hint="eastAsia" w:ascii="仿宋" w:hAnsi="仿宋" w:eastAsia="仿宋" w:cs="仿宋"/>
          <w:b/>
          <w:bCs/>
          <w:sz w:val="32"/>
          <w:szCs w:val="32"/>
          <w:lang w:eastAsia="zh-CN"/>
        </w:rPr>
        <w:t>与上年相比无变化，主要原因是本单位未安排</w:t>
      </w:r>
      <w:r>
        <w:rPr>
          <w:rFonts w:hint="eastAsia" w:ascii="仿宋" w:hAnsi="仿宋" w:eastAsia="仿宋" w:cs="仿宋"/>
          <w:b/>
          <w:bCs/>
          <w:sz w:val="32"/>
          <w:szCs w:val="32"/>
        </w:rPr>
        <w:t>因公出国（境）经费</w:t>
      </w:r>
      <w:r>
        <w:rPr>
          <w:rFonts w:hint="eastAsia" w:ascii="仿宋" w:hAnsi="仿宋" w:eastAsia="仿宋" w:cs="仿宋"/>
          <w:b/>
          <w:bCs/>
          <w:sz w:val="32"/>
          <w:szCs w:val="32"/>
          <w:lang w:eastAsia="zh-CN"/>
        </w:rPr>
        <w:t>预算。</w:t>
      </w:r>
    </w:p>
    <w:p>
      <w:pPr>
        <w:numPr>
          <w:ilvl w:val="0"/>
          <w:numId w:val="4"/>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公务用车购置及运行维护费支出0万元。</w:t>
      </w:r>
      <w:r>
        <w:rPr>
          <w:rFonts w:hint="eastAsia" w:ascii="仿宋" w:hAnsi="仿宋" w:eastAsia="仿宋" w:cs="仿宋"/>
          <w:b/>
          <w:bCs/>
          <w:sz w:val="32"/>
          <w:szCs w:val="32"/>
          <w:lang w:eastAsia="zh-CN"/>
        </w:rPr>
        <w:t>与上年相比无变化，主要原因是本单位未安排</w:t>
      </w:r>
      <w:r>
        <w:rPr>
          <w:rFonts w:hint="eastAsia" w:ascii="仿宋" w:hAnsi="仿宋" w:eastAsia="仿宋" w:cs="仿宋"/>
          <w:b/>
          <w:bCs/>
          <w:sz w:val="32"/>
          <w:szCs w:val="32"/>
        </w:rPr>
        <w:t>公务用车购置及运行维护费</w:t>
      </w:r>
      <w:r>
        <w:rPr>
          <w:rFonts w:hint="eastAsia" w:ascii="仿宋" w:hAnsi="仿宋" w:eastAsia="仿宋" w:cs="仿宋"/>
          <w:b/>
          <w:bCs/>
          <w:sz w:val="32"/>
          <w:szCs w:val="32"/>
          <w:lang w:eastAsia="zh-CN"/>
        </w:rPr>
        <w:t>预算。</w:t>
      </w:r>
    </w:p>
    <w:p>
      <w:pPr>
        <w:spacing w:line="580" w:lineRule="exact"/>
        <w:ind w:firstLine="640"/>
        <w:rPr>
          <w:rFonts w:ascii="仿宋" w:hAnsi="仿宋" w:eastAsia="仿宋" w:cs="仿宋"/>
          <w:b/>
          <w:bCs/>
          <w:sz w:val="32"/>
          <w:szCs w:val="32"/>
        </w:rPr>
      </w:pPr>
      <w:r>
        <w:rPr>
          <w:rFonts w:hint="eastAsia" w:ascii="仿宋" w:hAnsi="仿宋" w:eastAsia="仿宋" w:cs="仿宋"/>
          <w:b/>
          <w:bCs/>
          <w:sz w:val="32"/>
          <w:szCs w:val="32"/>
        </w:rPr>
        <w:t>其中：公务用车购置支出0万元。截至2020年12月底，单位共有公务用车0辆。公务用车运行维护费支出0万元。</w:t>
      </w:r>
    </w:p>
    <w:p>
      <w:pPr>
        <w:keepNext w:val="0"/>
        <w:keepLines w:val="0"/>
        <w:pageBreakBefore w:val="0"/>
        <w:widowControl w:val="0"/>
        <w:numPr>
          <w:ilvl w:val="0"/>
          <w:numId w:val="4"/>
        </w:numPr>
        <w:kinsoku/>
        <w:wordWrap/>
        <w:overflowPunct/>
        <w:topLinePunct w:val="0"/>
        <w:autoSpaceDE/>
        <w:autoSpaceDN/>
        <w:bidi w:val="0"/>
        <w:adjustRightInd w:val="0"/>
        <w:snapToGrid w:val="0"/>
        <w:spacing w:line="600" w:lineRule="exact"/>
        <w:ind w:left="0" w:leftChars="0"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sz w:val="32"/>
          <w:szCs w:val="32"/>
        </w:rPr>
        <w:t>公务接待费支出0万元</w:t>
      </w:r>
      <w:r>
        <w:rPr>
          <w:rFonts w:hint="eastAsia" w:ascii="仿宋" w:hAnsi="仿宋" w:eastAsia="仿宋" w:cs="仿宋"/>
          <w:b/>
          <w:bCs/>
          <w:sz w:val="32"/>
          <w:szCs w:val="32"/>
          <w:lang w:eastAsia="zh-CN"/>
        </w:rPr>
        <w:t>。与上年相比无变化，主要原因是本单位未安排</w:t>
      </w:r>
      <w:r>
        <w:rPr>
          <w:rFonts w:hint="eastAsia" w:ascii="仿宋" w:hAnsi="仿宋" w:eastAsia="仿宋" w:cs="仿宋"/>
          <w:b/>
          <w:bCs/>
          <w:sz w:val="32"/>
          <w:szCs w:val="32"/>
        </w:rPr>
        <w:t>公务接待费</w:t>
      </w:r>
      <w:r>
        <w:rPr>
          <w:rFonts w:hint="eastAsia" w:ascii="仿宋" w:hAnsi="仿宋" w:eastAsia="仿宋" w:cs="仿宋"/>
          <w:b/>
          <w:bCs/>
          <w:sz w:val="32"/>
          <w:szCs w:val="32"/>
          <w:lang w:eastAsia="zh-CN"/>
        </w:rPr>
        <w:t>预算。</w:t>
      </w:r>
    </w:p>
    <w:p>
      <w:pPr>
        <w:keepNext w:val="0"/>
        <w:keepLines w:val="0"/>
        <w:pageBreakBefore w:val="0"/>
        <w:kinsoku/>
        <w:wordWrap/>
        <w:overflowPunct/>
        <w:topLinePunct w:val="0"/>
        <w:autoSpaceDE/>
        <w:autoSpaceDN/>
        <w:bidi w:val="0"/>
        <w:adjustRightInd w:val="0"/>
        <w:snapToGrid w:val="0"/>
        <w:spacing w:line="600" w:lineRule="exact"/>
        <w:ind w:firstLine="640"/>
        <w:textAlignment w:val="auto"/>
        <w:outlineLvl w:val="1"/>
        <w:rPr>
          <w:rStyle w:val="24"/>
          <w:rFonts w:hint="default" w:ascii="Times New Roman" w:hAnsi="Times New Roman" w:eastAsia="黑体" w:cs="Times New Roman"/>
          <w:b/>
          <w:bCs/>
        </w:rPr>
      </w:pPr>
      <w:bookmarkStart w:id="66" w:name="_Toc25244"/>
      <w:bookmarkStart w:id="67" w:name="_Toc15377218"/>
      <w:bookmarkStart w:id="68" w:name="_Toc20148"/>
      <w:r>
        <w:rPr>
          <w:rFonts w:hint="default" w:ascii="Times New Roman" w:hAnsi="Times New Roman" w:eastAsia="黑体" w:cs="Times New Roman"/>
          <w:b/>
          <w:bCs/>
          <w:color w:val="000000"/>
          <w:sz w:val="32"/>
          <w:szCs w:val="32"/>
        </w:rPr>
        <w:t>八、</w:t>
      </w:r>
      <w:r>
        <w:rPr>
          <w:rStyle w:val="24"/>
          <w:rFonts w:hint="default" w:ascii="Times New Roman" w:hAnsi="Times New Roman" w:eastAsia="黑体" w:cs="Times New Roman"/>
          <w:b/>
          <w:bCs/>
        </w:rPr>
        <w:t>政府性基金预算支出决算情况说明</w:t>
      </w:r>
      <w:bookmarkEnd w:id="66"/>
      <w:bookmarkEnd w:id="67"/>
      <w:bookmarkEnd w:id="68"/>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年政府性基金预算拨款支出</w:t>
      </w:r>
      <w:r>
        <w:rPr>
          <w:rFonts w:hint="eastAsia" w:ascii="仿宋" w:hAnsi="仿宋" w:eastAsia="仿宋" w:cs="仿宋"/>
          <w:b/>
          <w:bCs/>
          <w:color w:val="000000"/>
          <w:sz w:val="32"/>
          <w:szCs w:val="32"/>
          <w:lang w:val="en-US" w:eastAsia="zh-CN"/>
        </w:rPr>
        <w:t>为零</w:t>
      </w:r>
      <w:r>
        <w:rPr>
          <w:rFonts w:hint="eastAsia" w:ascii="仿宋" w:hAnsi="仿宋" w:eastAsia="仿宋" w:cs="仿宋"/>
          <w:b/>
          <w:bCs/>
          <w:color w:val="000000"/>
          <w:sz w:val="32"/>
          <w:szCs w:val="32"/>
        </w:rPr>
        <w:t>。</w:t>
      </w:r>
    </w:p>
    <w:p>
      <w:pPr>
        <w:keepNext w:val="0"/>
        <w:keepLines w:val="0"/>
        <w:pageBreakBefore w:val="0"/>
        <w:numPr>
          <w:ilvl w:val="0"/>
          <w:numId w:val="5"/>
        </w:numPr>
        <w:kinsoku/>
        <w:wordWrap/>
        <w:overflowPunct/>
        <w:topLinePunct w:val="0"/>
        <w:autoSpaceDE/>
        <w:autoSpaceDN/>
        <w:bidi w:val="0"/>
        <w:adjustRightInd w:val="0"/>
        <w:snapToGrid w:val="0"/>
        <w:spacing w:line="600" w:lineRule="exact"/>
        <w:ind w:firstLine="640"/>
        <w:textAlignment w:val="auto"/>
        <w:outlineLvl w:val="1"/>
        <w:rPr>
          <w:rStyle w:val="24"/>
          <w:rFonts w:hint="default" w:ascii="Times New Roman" w:hAnsi="Times New Roman" w:eastAsia="黑体" w:cs="Times New Roman"/>
          <w:b/>
          <w:bCs/>
        </w:rPr>
      </w:pPr>
      <w:bookmarkStart w:id="69" w:name="_Toc24327"/>
      <w:bookmarkStart w:id="70" w:name="_Toc15377219"/>
      <w:bookmarkStart w:id="71" w:name="_Toc27543"/>
      <w:r>
        <w:rPr>
          <w:rStyle w:val="24"/>
          <w:rFonts w:hint="default" w:ascii="Times New Roman" w:hAnsi="Times New Roman" w:eastAsia="黑体" w:cs="Times New Roman"/>
          <w:b/>
          <w:bCs/>
        </w:rPr>
        <w:t>国有资本经营预算支出决算情况说明</w:t>
      </w:r>
      <w:bookmarkEnd w:id="69"/>
      <w:bookmarkEnd w:id="70"/>
      <w:bookmarkEnd w:id="71"/>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年国有资本经营预算拨款支出</w:t>
      </w:r>
      <w:r>
        <w:rPr>
          <w:rFonts w:hint="eastAsia" w:ascii="仿宋" w:hAnsi="仿宋" w:eastAsia="仿宋" w:cs="仿宋"/>
          <w:b/>
          <w:bCs/>
          <w:color w:val="000000"/>
          <w:sz w:val="32"/>
          <w:szCs w:val="32"/>
          <w:lang w:val="en-US" w:eastAsia="zh-CN"/>
        </w:rPr>
        <w:t>为零</w:t>
      </w:r>
      <w:r>
        <w:rPr>
          <w:rFonts w:hint="eastAsia" w:ascii="仿宋" w:hAnsi="仿宋" w:eastAsia="仿宋" w:cs="仿宋"/>
          <w:b/>
          <w:bCs/>
          <w:color w:val="000000"/>
          <w:sz w:val="32"/>
          <w:szCs w:val="32"/>
        </w:rPr>
        <w:t>。</w:t>
      </w:r>
    </w:p>
    <w:p>
      <w:pPr>
        <w:pStyle w:val="22"/>
        <w:keepNext w:val="0"/>
        <w:keepLines w:val="0"/>
        <w:pageBreakBefore w:val="0"/>
        <w:numPr>
          <w:ilvl w:val="0"/>
          <w:numId w:val="6"/>
        </w:numPr>
        <w:kinsoku/>
        <w:wordWrap/>
        <w:overflowPunct/>
        <w:topLinePunct w:val="0"/>
        <w:autoSpaceDE/>
        <w:autoSpaceDN/>
        <w:bidi w:val="0"/>
        <w:adjustRightInd w:val="0"/>
        <w:snapToGrid w:val="0"/>
        <w:spacing w:line="600" w:lineRule="exact"/>
        <w:ind w:firstLineChars="0"/>
        <w:textAlignment w:val="auto"/>
        <w:rPr>
          <w:rStyle w:val="24"/>
          <w:rFonts w:hint="default" w:ascii="Times New Roman" w:hAnsi="Times New Roman" w:eastAsia="黑体" w:cs="Times New Roman"/>
          <w:b/>
          <w:bCs/>
        </w:rPr>
      </w:pPr>
      <w:bookmarkStart w:id="72" w:name="_Toc31836"/>
      <w:bookmarkStart w:id="73" w:name="_Toc14745"/>
      <w:r>
        <w:rPr>
          <w:rStyle w:val="24"/>
          <w:rFonts w:hint="eastAsia" w:ascii="黑体" w:hAnsi="黑体" w:eastAsia="黑体"/>
          <w:b/>
          <w:bCs w:val="0"/>
        </w:rPr>
        <w:t>其他重要事项的情况</w:t>
      </w:r>
      <w:r>
        <w:rPr>
          <w:rStyle w:val="24"/>
          <w:rFonts w:hint="default" w:ascii="Times New Roman" w:hAnsi="Times New Roman" w:eastAsia="黑体" w:cs="Times New Roman"/>
          <w:b/>
          <w:bCs/>
        </w:rPr>
        <w:t>说明</w:t>
      </w:r>
    </w:p>
    <w:bookmarkEnd w:id="72"/>
    <w:bookmarkEnd w:id="73"/>
    <w:p>
      <w:pPr>
        <w:keepNext w:val="0"/>
        <w:keepLines w:val="0"/>
        <w:pageBreakBefore w:val="0"/>
        <w:numPr>
          <w:ilvl w:val="0"/>
          <w:numId w:val="7"/>
        </w:numPr>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color w:val="000000"/>
          <w:sz w:val="32"/>
          <w:szCs w:val="32"/>
        </w:rPr>
        <w:t>机关运行经费支出情况</w:t>
      </w:r>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default" w:ascii="楷体" w:hAnsi="楷体" w:eastAsia="楷体" w:cs="楷体"/>
          <w:b/>
          <w:bCs/>
          <w:sz w:val="32"/>
          <w:szCs w:val="32"/>
          <w:lang w:val="en-US" w:eastAsia="zh-CN"/>
        </w:rPr>
      </w:pPr>
      <w:r>
        <w:rPr>
          <w:rFonts w:hint="eastAsia" w:ascii="仿宋" w:hAnsi="仿宋" w:eastAsia="仿宋" w:cs="仿宋"/>
          <w:b/>
          <w:bCs/>
          <w:color w:val="000000"/>
          <w:sz w:val="32"/>
          <w:szCs w:val="32"/>
        </w:rPr>
        <w:t>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w:t>
      </w:r>
      <w:r>
        <w:rPr>
          <w:rFonts w:hint="eastAsia" w:ascii="仿宋" w:hAnsi="仿宋" w:eastAsia="仿宋" w:cs="仿宋"/>
          <w:b/>
          <w:bCs/>
          <w:color w:val="000000"/>
          <w:sz w:val="32"/>
          <w:szCs w:val="32"/>
          <w:lang w:eastAsia="zh-CN"/>
        </w:rPr>
        <w:t>省密钥管理中心</w:t>
      </w:r>
      <w:r>
        <w:rPr>
          <w:rFonts w:hint="eastAsia" w:ascii="仿宋" w:hAnsi="仿宋" w:eastAsia="仿宋" w:cs="仿宋"/>
          <w:b/>
          <w:bCs/>
          <w:color w:val="000000"/>
          <w:sz w:val="32"/>
          <w:szCs w:val="32"/>
        </w:rPr>
        <w:t>机关运行经费支出</w:t>
      </w:r>
      <w:r>
        <w:rPr>
          <w:rFonts w:hint="eastAsia" w:ascii="仿宋" w:hAnsi="仿宋" w:eastAsia="仿宋" w:cs="仿宋"/>
          <w:b/>
          <w:bCs/>
          <w:color w:val="000000"/>
          <w:sz w:val="32"/>
          <w:szCs w:val="32"/>
          <w:lang w:val="en-US" w:eastAsia="zh-CN"/>
        </w:rPr>
        <w:t>16.98</w:t>
      </w:r>
      <w:r>
        <w:rPr>
          <w:rFonts w:hint="eastAsia" w:ascii="仿宋" w:hAnsi="仿宋" w:eastAsia="仿宋" w:cs="仿宋"/>
          <w:b/>
          <w:bCs/>
          <w:color w:val="000000"/>
          <w:sz w:val="32"/>
          <w:szCs w:val="32"/>
        </w:rPr>
        <w:t>万元，比201</w:t>
      </w:r>
      <w:r>
        <w:rPr>
          <w:rFonts w:hint="eastAsia" w:ascii="仿宋" w:hAnsi="仿宋" w:eastAsia="仿宋" w:cs="仿宋"/>
          <w:b/>
          <w:bCs/>
          <w:color w:val="000000"/>
          <w:sz w:val="32"/>
          <w:szCs w:val="32"/>
          <w:lang w:val="en-US" w:eastAsia="zh-CN"/>
        </w:rPr>
        <w:t>9</w:t>
      </w:r>
      <w:r>
        <w:rPr>
          <w:rFonts w:hint="eastAsia" w:ascii="仿宋" w:hAnsi="仿宋" w:eastAsia="仿宋" w:cs="仿宋"/>
          <w:b/>
          <w:bCs/>
          <w:color w:val="000000"/>
          <w:sz w:val="32"/>
          <w:szCs w:val="32"/>
        </w:rPr>
        <w:t>年</w:t>
      </w:r>
      <w:r>
        <w:rPr>
          <w:rFonts w:hint="eastAsia" w:ascii="仿宋" w:hAnsi="仿宋" w:eastAsia="仿宋" w:cs="仿宋"/>
          <w:b/>
          <w:bCs/>
          <w:color w:val="000000"/>
          <w:sz w:val="32"/>
          <w:szCs w:val="32"/>
          <w:lang w:eastAsia="zh-CN"/>
        </w:rPr>
        <w:t>减少</w:t>
      </w:r>
      <w:r>
        <w:rPr>
          <w:rFonts w:hint="eastAsia" w:ascii="仿宋" w:hAnsi="仿宋" w:eastAsia="仿宋" w:cs="仿宋"/>
          <w:b/>
          <w:bCs/>
          <w:color w:val="000000"/>
          <w:sz w:val="32"/>
          <w:szCs w:val="32"/>
          <w:lang w:val="en-US" w:eastAsia="zh-CN"/>
        </w:rPr>
        <w:t>1.60</w:t>
      </w:r>
      <w:r>
        <w:rPr>
          <w:rFonts w:hint="eastAsia" w:ascii="仿宋" w:hAnsi="仿宋" w:eastAsia="仿宋" w:cs="仿宋"/>
          <w:b/>
          <w:bCs/>
          <w:color w:val="000000"/>
          <w:sz w:val="32"/>
          <w:szCs w:val="32"/>
        </w:rPr>
        <w:t>万元，</w:t>
      </w:r>
      <w:r>
        <w:rPr>
          <w:rFonts w:hint="eastAsia" w:ascii="仿宋" w:hAnsi="仿宋" w:eastAsia="仿宋" w:cs="仿宋"/>
          <w:b/>
          <w:bCs/>
          <w:color w:val="000000"/>
          <w:sz w:val="32"/>
          <w:szCs w:val="32"/>
          <w:lang w:eastAsia="zh-CN"/>
        </w:rPr>
        <w:t>下降</w:t>
      </w:r>
      <w:r>
        <w:rPr>
          <w:rFonts w:hint="eastAsia" w:ascii="仿宋" w:hAnsi="仿宋" w:eastAsia="仿宋" w:cs="仿宋"/>
          <w:b/>
          <w:bCs/>
          <w:color w:val="000000"/>
          <w:sz w:val="32"/>
          <w:szCs w:val="32"/>
          <w:lang w:val="en-US" w:eastAsia="zh-CN"/>
        </w:rPr>
        <w:t>8.61</w:t>
      </w:r>
      <w:r>
        <w:rPr>
          <w:rFonts w:hint="eastAsia" w:ascii="仿宋" w:hAnsi="仿宋" w:eastAsia="仿宋" w:cs="仿宋"/>
          <w:b/>
          <w:bCs/>
          <w:color w:val="000000"/>
          <w:sz w:val="32"/>
          <w:szCs w:val="32"/>
        </w:rPr>
        <w:t>%。</w:t>
      </w:r>
    </w:p>
    <w:p>
      <w:pPr>
        <w:keepNext w:val="0"/>
        <w:keepLines w:val="0"/>
        <w:pageBreakBefore w:val="0"/>
        <w:numPr>
          <w:ilvl w:val="0"/>
          <w:numId w:val="7"/>
        </w:numPr>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color w:val="000000"/>
          <w:sz w:val="32"/>
          <w:szCs w:val="32"/>
        </w:rPr>
        <w:t>政府采购支出情况</w:t>
      </w:r>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eastAsia" w:ascii="楷体" w:hAnsi="楷体" w:eastAsia="楷体" w:cs="楷体"/>
          <w:b/>
          <w:bCs/>
          <w:sz w:val="32"/>
          <w:szCs w:val="32"/>
        </w:rPr>
      </w:pPr>
      <w:r>
        <w:rPr>
          <w:rFonts w:hint="eastAsia" w:ascii="仿宋" w:hAnsi="仿宋" w:eastAsia="仿宋" w:cs="仿宋"/>
          <w:b/>
          <w:bCs/>
          <w:color w:val="000000"/>
          <w:sz w:val="32"/>
          <w:szCs w:val="32"/>
        </w:rPr>
        <w:t>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w:t>
      </w:r>
      <w:r>
        <w:rPr>
          <w:rFonts w:hint="eastAsia" w:ascii="仿宋" w:hAnsi="仿宋" w:eastAsia="仿宋" w:cs="仿宋"/>
          <w:b/>
          <w:bCs/>
          <w:color w:val="000000"/>
          <w:sz w:val="32"/>
          <w:szCs w:val="32"/>
          <w:lang w:eastAsia="zh-CN"/>
        </w:rPr>
        <w:t>省密钥管理中心</w:t>
      </w:r>
      <w:r>
        <w:rPr>
          <w:rFonts w:hint="eastAsia" w:ascii="仿宋" w:hAnsi="仿宋" w:eastAsia="仿宋" w:cs="仿宋"/>
          <w:b/>
          <w:bCs/>
          <w:color w:val="000000"/>
          <w:sz w:val="32"/>
          <w:szCs w:val="32"/>
        </w:rPr>
        <w:t>政府采购支出</w:t>
      </w:r>
      <w:r>
        <w:rPr>
          <w:rFonts w:hint="eastAsia" w:ascii="仿宋" w:hAnsi="仿宋" w:eastAsia="仿宋" w:cs="仿宋"/>
          <w:b/>
          <w:bCs/>
          <w:color w:val="000000"/>
          <w:sz w:val="32"/>
          <w:szCs w:val="32"/>
          <w:lang w:eastAsia="zh-CN"/>
        </w:rPr>
        <w:t>为零</w:t>
      </w:r>
      <w:r>
        <w:rPr>
          <w:rFonts w:hint="eastAsia" w:ascii="仿宋" w:hAnsi="仿宋" w:eastAsia="仿宋" w:cs="仿宋"/>
          <w:b/>
          <w:bCs/>
          <w:color w:val="000000"/>
          <w:sz w:val="32"/>
          <w:szCs w:val="32"/>
        </w:rPr>
        <w:t>。</w:t>
      </w:r>
    </w:p>
    <w:p>
      <w:pPr>
        <w:keepNext w:val="0"/>
        <w:keepLines w:val="0"/>
        <w:pageBreakBefore w:val="0"/>
        <w:numPr>
          <w:ilvl w:val="0"/>
          <w:numId w:val="7"/>
        </w:numPr>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color w:val="000000"/>
          <w:sz w:val="32"/>
          <w:szCs w:val="32"/>
        </w:rPr>
      </w:pPr>
      <w:r>
        <w:rPr>
          <w:rFonts w:hint="eastAsia" w:ascii="楷体" w:hAnsi="楷体" w:eastAsia="楷体" w:cs="楷体"/>
          <w:b/>
          <w:color w:val="000000"/>
          <w:sz w:val="32"/>
          <w:szCs w:val="32"/>
        </w:rPr>
        <w:t>国有资产占有使用情况</w:t>
      </w:r>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截至20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年12月31日，</w:t>
      </w:r>
      <w:r>
        <w:rPr>
          <w:rFonts w:hint="eastAsia" w:ascii="仿宋" w:hAnsi="仿宋" w:eastAsia="仿宋" w:cs="仿宋"/>
          <w:b/>
          <w:bCs/>
          <w:color w:val="000000"/>
          <w:sz w:val="32"/>
          <w:szCs w:val="32"/>
          <w:lang w:eastAsia="zh-CN"/>
        </w:rPr>
        <w:t>省密钥管理中心无公务用车；无</w:t>
      </w:r>
      <w:r>
        <w:rPr>
          <w:rFonts w:hint="eastAsia" w:ascii="仿宋" w:hAnsi="仿宋" w:eastAsia="仿宋" w:cs="仿宋"/>
          <w:b/>
          <w:bCs/>
          <w:color w:val="000000"/>
          <w:sz w:val="32"/>
          <w:szCs w:val="32"/>
        </w:rPr>
        <w:t>单价50万元以上</w:t>
      </w:r>
      <w:r>
        <w:rPr>
          <w:rFonts w:hint="eastAsia" w:ascii="仿宋" w:hAnsi="仿宋" w:eastAsia="仿宋" w:cs="仿宋"/>
          <w:b/>
          <w:bCs/>
          <w:color w:val="000000"/>
          <w:sz w:val="32"/>
          <w:szCs w:val="32"/>
          <w:lang w:eastAsia="zh-CN"/>
        </w:rPr>
        <w:t>的</w:t>
      </w:r>
      <w:r>
        <w:rPr>
          <w:rFonts w:hint="eastAsia" w:ascii="仿宋" w:hAnsi="仿宋" w:eastAsia="仿宋" w:cs="仿宋"/>
          <w:b/>
          <w:bCs/>
          <w:color w:val="000000"/>
          <w:sz w:val="32"/>
          <w:szCs w:val="32"/>
        </w:rPr>
        <w:t>通用设备</w:t>
      </w:r>
      <w:r>
        <w:rPr>
          <w:rFonts w:hint="eastAsia" w:ascii="仿宋" w:hAnsi="仿宋" w:eastAsia="仿宋" w:cs="仿宋"/>
          <w:b/>
          <w:bCs/>
          <w:color w:val="000000"/>
          <w:sz w:val="32"/>
          <w:szCs w:val="32"/>
          <w:lang w:val="en-US" w:eastAsia="zh-CN"/>
        </w:rPr>
        <w:t>；无</w:t>
      </w:r>
      <w:r>
        <w:rPr>
          <w:rFonts w:hint="eastAsia" w:ascii="仿宋" w:hAnsi="仿宋" w:eastAsia="仿宋" w:cs="仿宋"/>
          <w:b/>
          <w:bCs/>
          <w:color w:val="000000"/>
          <w:sz w:val="32"/>
          <w:szCs w:val="32"/>
        </w:rPr>
        <w:t>单价100万元以上</w:t>
      </w:r>
      <w:r>
        <w:rPr>
          <w:rFonts w:hint="eastAsia" w:ascii="仿宋" w:hAnsi="仿宋" w:eastAsia="仿宋" w:cs="仿宋"/>
          <w:b/>
          <w:bCs/>
          <w:color w:val="000000"/>
          <w:sz w:val="32"/>
          <w:szCs w:val="32"/>
          <w:lang w:eastAsia="zh-CN"/>
        </w:rPr>
        <w:t>的</w:t>
      </w:r>
      <w:r>
        <w:rPr>
          <w:rFonts w:hint="eastAsia" w:ascii="仿宋" w:hAnsi="仿宋" w:eastAsia="仿宋" w:cs="仿宋"/>
          <w:b/>
          <w:bCs/>
          <w:color w:val="000000"/>
          <w:sz w:val="32"/>
          <w:szCs w:val="32"/>
        </w:rPr>
        <w:t>专用设备。</w:t>
      </w:r>
    </w:p>
    <w:p>
      <w:pPr>
        <w:keepNext w:val="0"/>
        <w:keepLines w:val="0"/>
        <w:pageBreakBefore w:val="0"/>
        <w:numPr>
          <w:ilvl w:val="0"/>
          <w:numId w:val="7"/>
        </w:numPr>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rPr>
        <w:t>预算绩效管理情况</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因省密钥管理中心</w:t>
      </w:r>
      <w:r>
        <w:rPr>
          <w:rFonts w:hint="eastAsia" w:ascii="仿宋" w:hAnsi="仿宋" w:eastAsia="仿宋" w:cs="仿宋"/>
          <w:b/>
          <w:bCs/>
          <w:sz w:val="32"/>
          <w:szCs w:val="32"/>
          <w:lang w:val="en-US" w:eastAsia="zh-CN"/>
        </w:rPr>
        <w:t>2020年未安排</w:t>
      </w:r>
      <w:r>
        <w:rPr>
          <w:rFonts w:hint="eastAsia" w:ascii="仿宋" w:hAnsi="仿宋" w:eastAsia="仿宋" w:cs="仿宋"/>
          <w:b/>
          <w:bCs/>
          <w:sz w:val="32"/>
          <w:szCs w:val="32"/>
          <w:lang w:eastAsia="zh-CN"/>
        </w:rPr>
        <w:t>项目经费，故不涉及项目经费预算绩效管理相关情况，单位整体预算绩效纳入省委办公厅部门统一管理。</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仿宋" w:hAnsi="仿宋" w:eastAsia="仿宋" w:cs="仿宋"/>
          <w:b/>
          <w:bCs/>
          <w:sz w:val="32"/>
          <w:szCs w:val="32"/>
        </w:rPr>
      </w:pPr>
    </w:p>
    <w:p>
      <w:pPr>
        <w:pageBreakBefore w:val="0"/>
        <w:numPr>
          <w:ilvl w:val="0"/>
          <w:numId w:val="8"/>
        </w:numPr>
        <w:kinsoku/>
        <w:wordWrap/>
        <w:overflowPunct/>
        <w:topLinePunct w:val="0"/>
        <w:bidi w:val="0"/>
        <w:adjustRightInd w:val="0"/>
        <w:snapToGrid w:val="0"/>
        <w:spacing w:line="360" w:lineRule="auto"/>
        <w:ind w:firstLine="663" w:firstLineChars="150"/>
        <w:jc w:val="center"/>
        <w:outlineLvl w:val="0"/>
        <w:rPr>
          <w:rFonts w:hint="eastAsia" w:ascii="黑体" w:hAnsi="黑体" w:eastAsia="黑体" w:cs="黑体"/>
          <w:b/>
          <w:bCs/>
          <w:color w:val="000000"/>
          <w:sz w:val="44"/>
          <w:szCs w:val="44"/>
        </w:rPr>
      </w:pPr>
      <w:bookmarkStart w:id="74" w:name="_Toc15377225"/>
      <w:bookmarkStart w:id="75" w:name="_Toc6862"/>
      <w:bookmarkStart w:id="76" w:name="_Toc31233"/>
      <w:r>
        <w:rPr>
          <w:rFonts w:hint="eastAsia" w:ascii="黑体" w:hAnsi="黑体" w:eastAsia="黑体" w:cs="黑体"/>
          <w:b/>
          <w:bCs/>
          <w:color w:val="000000"/>
          <w:sz w:val="44"/>
          <w:szCs w:val="44"/>
        </w:rPr>
        <w:t>名</w:t>
      </w:r>
      <w:r>
        <w:rPr>
          <w:rStyle w:val="23"/>
          <w:rFonts w:hint="eastAsia" w:ascii="黑体" w:hAnsi="黑体" w:eastAsia="黑体" w:cs="黑体"/>
          <w:b/>
          <w:bCs/>
        </w:rPr>
        <w:t>词解释</w:t>
      </w:r>
      <w:bookmarkEnd w:id="74"/>
      <w:bookmarkEnd w:id="75"/>
      <w:bookmarkEnd w:id="76"/>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bookmarkStart w:id="77" w:name="_Toc15377226"/>
      <w:r>
        <w:rPr>
          <w:rFonts w:hint="eastAsia" w:ascii="仿宋" w:hAnsi="仿宋" w:eastAsia="仿宋" w:cs="仿宋"/>
          <w:b/>
          <w:bCs/>
          <w:sz w:val="32"/>
          <w:szCs w:val="32"/>
        </w:rPr>
        <w:t>1. 财政拨款收入：指省级财政当年拨付的资金。　</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 基本支出：指为保障机构正常运转、完成日常工作任务而发生的人员支出和公用支出。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 项目支出：指在基本支出之外为完成特定行政任务和事业发展目标所发生的支出。　</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支出。</w:t>
      </w:r>
    </w:p>
    <w:p>
      <w:pPr>
        <w:pStyle w:val="21"/>
        <w:spacing w:line="560" w:lineRule="exact"/>
        <w:ind w:firstLine="643" w:firstLineChars="200"/>
        <w:rPr>
          <w:rFonts w:hint="eastAsia" w:ascii="仿宋" w:hAnsi="仿宋" w:eastAsia="仿宋" w:cs="仿宋"/>
          <w:b/>
          <w:bCs/>
          <w:color w:val="auto"/>
          <w:kern w:val="2"/>
          <w:sz w:val="32"/>
          <w:szCs w:val="32"/>
          <w:lang w:val="en-US" w:eastAsia="zh-CN" w:bidi="ar-SA"/>
        </w:rPr>
      </w:pPr>
      <w:r>
        <w:rPr>
          <w:rFonts w:hint="eastAsia" w:hAnsi="仿宋" w:cs="仿宋"/>
          <w:b/>
          <w:bCs/>
          <w:color w:val="auto"/>
          <w:kern w:val="2"/>
          <w:sz w:val="32"/>
          <w:szCs w:val="32"/>
          <w:lang w:val="en-US" w:eastAsia="zh-CN" w:bidi="ar-SA"/>
        </w:rPr>
        <w:t>5</w:t>
      </w:r>
      <w:r>
        <w:rPr>
          <w:rFonts w:hint="eastAsia" w:ascii="仿宋" w:hAnsi="仿宋" w:eastAsia="仿宋" w:cs="仿宋"/>
          <w:b/>
          <w:bCs/>
          <w:color w:val="auto"/>
          <w:kern w:val="2"/>
          <w:sz w:val="32"/>
          <w:szCs w:val="32"/>
          <w:lang w:val="en-US" w:eastAsia="zh-CN" w:bidi="ar-SA"/>
        </w:rPr>
        <w:t>. 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6</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一般公共服务</w:t>
      </w:r>
      <w:r>
        <w:rPr>
          <w:rFonts w:hint="eastAsia" w:ascii="仿宋" w:hAnsi="仿宋" w:eastAsia="仿宋" w:cs="仿宋"/>
          <w:b/>
          <w:bCs/>
          <w:sz w:val="32"/>
          <w:szCs w:val="32"/>
          <w:lang w:eastAsia="zh-CN"/>
        </w:rPr>
        <w:t>支出</w:t>
      </w:r>
      <w:r>
        <w:rPr>
          <w:rFonts w:hint="eastAsia" w:ascii="仿宋" w:hAnsi="仿宋" w:eastAsia="仿宋" w:cs="仿宋"/>
          <w:b/>
          <w:bCs/>
          <w:sz w:val="32"/>
          <w:szCs w:val="32"/>
        </w:rPr>
        <w:t>（类）党委办公厅</w:t>
      </w:r>
      <w:r>
        <w:rPr>
          <w:rFonts w:hint="eastAsia" w:ascii="仿宋" w:hAnsi="仿宋" w:eastAsia="仿宋" w:cs="仿宋"/>
          <w:b/>
          <w:bCs/>
          <w:sz w:val="32"/>
          <w:szCs w:val="32"/>
          <w:lang w:eastAsia="zh-CN"/>
        </w:rPr>
        <w:t>（</w:t>
      </w:r>
      <w:r>
        <w:rPr>
          <w:rFonts w:hint="eastAsia" w:ascii="仿宋" w:hAnsi="仿宋" w:eastAsia="仿宋" w:cs="仿宋"/>
          <w:b/>
          <w:bCs/>
          <w:sz w:val="32"/>
          <w:szCs w:val="32"/>
        </w:rPr>
        <w:t>室</w:t>
      </w:r>
      <w:r>
        <w:rPr>
          <w:rFonts w:hint="eastAsia" w:ascii="仿宋" w:hAnsi="仿宋" w:eastAsia="仿宋" w:cs="仿宋"/>
          <w:b/>
          <w:bCs/>
          <w:sz w:val="32"/>
          <w:szCs w:val="32"/>
          <w:lang w:eastAsia="zh-CN"/>
        </w:rPr>
        <w:t>）</w:t>
      </w:r>
      <w:r>
        <w:rPr>
          <w:rFonts w:hint="eastAsia" w:ascii="仿宋" w:hAnsi="仿宋" w:eastAsia="仿宋" w:cs="仿宋"/>
          <w:b/>
          <w:bCs/>
          <w:sz w:val="32"/>
          <w:szCs w:val="32"/>
        </w:rPr>
        <w:t>及相关机构事务（款）行政运行（项）：</w:t>
      </w:r>
      <w:r>
        <w:rPr>
          <w:rFonts w:hint="eastAsia" w:ascii="仿宋" w:hAnsi="仿宋" w:eastAsia="仿宋" w:cs="仿宋"/>
          <w:b/>
          <w:bCs/>
          <w:sz w:val="32"/>
          <w:szCs w:val="32"/>
          <w:lang w:eastAsia="zh-CN"/>
        </w:rPr>
        <w:t>反映行政单位（包括实行公务员管理的事业单位）的基本支出</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7</w:t>
      </w:r>
      <w:r>
        <w:rPr>
          <w:rFonts w:hint="eastAsia" w:ascii="仿宋" w:hAnsi="仿宋" w:eastAsia="仿宋" w:cs="仿宋"/>
          <w:b/>
          <w:bCs/>
          <w:sz w:val="32"/>
          <w:szCs w:val="32"/>
        </w:rPr>
        <w:t>. 社会保障和就业支出（类）</w:t>
      </w:r>
      <w:r>
        <w:rPr>
          <w:rFonts w:hint="eastAsia" w:ascii="仿宋" w:hAnsi="仿宋" w:eastAsia="仿宋" w:cs="仿宋"/>
          <w:b/>
          <w:bCs/>
          <w:color w:val="auto"/>
          <w:sz w:val="32"/>
          <w:szCs w:val="32"/>
          <w:lang w:val="en-US" w:eastAsia="zh-CN"/>
        </w:rPr>
        <w:t>行政事业单位养老支出</w:t>
      </w:r>
      <w:r>
        <w:rPr>
          <w:rFonts w:hint="eastAsia" w:ascii="仿宋" w:hAnsi="仿宋" w:eastAsia="仿宋" w:cs="仿宋"/>
          <w:b/>
          <w:bCs/>
          <w:sz w:val="32"/>
          <w:szCs w:val="32"/>
        </w:rPr>
        <w:t>（款）机关事业单位基本养老保险缴费支出（项）：</w:t>
      </w:r>
      <w:r>
        <w:rPr>
          <w:rFonts w:hint="eastAsia" w:ascii="仿宋" w:hAnsi="仿宋" w:eastAsia="仿宋" w:cs="仿宋"/>
          <w:b/>
          <w:bCs/>
          <w:sz w:val="32"/>
          <w:szCs w:val="32"/>
          <w:lang w:eastAsia="zh-CN"/>
        </w:rPr>
        <w:t>反映机关事业单位实施养老保险制度由单位缴纳的基本养老保险费支出</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8</w:t>
      </w:r>
      <w:r>
        <w:rPr>
          <w:rFonts w:hint="eastAsia" w:ascii="仿宋" w:hAnsi="仿宋" w:eastAsia="仿宋" w:cs="仿宋"/>
          <w:b/>
          <w:bCs/>
          <w:sz w:val="32"/>
          <w:szCs w:val="32"/>
        </w:rPr>
        <w:t>．</w:t>
      </w:r>
      <w:r>
        <w:rPr>
          <w:rFonts w:hint="eastAsia" w:ascii="仿宋" w:hAnsi="仿宋" w:eastAsia="仿宋" w:cs="仿宋"/>
          <w:b/>
          <w:bCs/>
          <w:sz w:val="32"/>
          <w:szCs w:val="32"/>
          <w:lang w:eastAsia="zh-CN"/>
        </w:rPr>
        <w:t>卫生健康</w:t>
      </w:r>
      <w:r>
        <w:rPr>
          <w:rFonts w:hint="eastAsia" w:ascii="仿宋" w:hAnsi="仿宋" w:eastAsia="仿宋" w:cs="仿宋"/>
          <w:b/>
          <w:bCs/>
          <w:sz w:val="32"/>
          <w:szCs w:val="32"/>
        </w:rPr>
        <w:t>支出（类）行政事业单位医疗（款）</w:t>
      </w:r>
      <w:r>
        <w:rPr>
          <w:rFonts w:hint="eastAsia" w:ascii="仿宋" w:hAnsi="仿宋" w:eastAsia="仿宋" w:cs="仿宋"/>
          <w:b/>
          <w:bCs/>
          <w:sz w:val="32"/>
          <w:szCs w:val="32"/>
          <w:lang w:eastAsia="zh-CN"/>
        </w:rPr>
        <w:t>行政单位医疗</w:t>
      </w:r>
      <w:r>
        <w:rPr>
          <w:rFonts w:hint="eastAsia" w:ascii="仿宋" w:hAnsi="仿宋" w:eastAsia="仿宋" w:cs="仿宋"/>
          <w:b/>
          <w:bCs/>
          <w:sz w:val="32"/>
          <w:szCs w:val="32"/>
        </w:rPr>
        <w:t>（项）：</w:t>
      </w:r>
      <w:r>
        <w:rPr>
          <w:rFonts w:hint="eastAsia" w:ascii="仿宋" w:hAnsi="仿宋" w:eastAsia="仿宋" w:cs="仿宋"/>
          <w:b/>
          <w:bCs/>
          <w:sz w:val="32"/>
          <w:szCs w:val="32"/>
          <w:lang w:eastAsia="zh-CN"/>
        </w:rPr>
        <w:t>反映财政部安排的行政单位（包括实行公务员管理的事业单位）基本医疗保险缴费经费</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9</w:t>
      </w:r>
      <w:r>
        <w:rPr>
          <w:rFonts w:hint="eastAsia" w:ascii="仿宋" w:hAnsi="仿宋" w:eastAsia="仿宋" w:cs="仿宋"/>
          <w:b/>
          <w:bCs/>
          <w:sz w:val="32"/>
          <w:szCs w:val="32"/>
        </w:rPr>
        <w:t>．</w:t>
      </w:r>
      <w:r>
        <w:rPr>
          <w:rFonts w:hint="eastAsia" w:ascii="仿宋" w:hAnsi="仿宋" w:eastAsia="仿宋" w:cs="仿宋"/>
          <w:b/>
          <w:bCs/>
          <w:sz w:val="32"/>
          <w:szCs w:val="32"/>
          <w:lang w:eastAsia="zh-CN"/>
        </w:rPr>
        <w:t>卫生健康</w:t>
      </w:r>
      <w:r>
        <w:rPr>
          <w:rFonts w:hint="eastAsia" w:ascii="仿宋" w:hAnsi="仿宋" w:eastAsia="仿宋" w:cs="仿宋"/>
          <w:b/>
          <w:bCs/>
          <w:sz w:val="32"/>
          <w:szCs w:val="32"/>
        </w:rPr>
        <w:t>支出（类）行政事业单位医疗（款）公务员医疗补助（项）：</w:t>
      </w:r>
      <w:r>
        <w:rPr>
          <w:rFonts w:hint="eastAsia" w:ascii="仿宋" w:hAnsi="仿宋" w:eastAsia="仿宋" w:cs="仿宋"/>
          <w:b/>
          <w:bCs/>
          <w:sz w:val="32"/>
          <w:szCs w:val="32"/>
          <w:lang w:eastAsia="zh-CN"/>
        </w:rPr>
        <w:t>反映财政部安排的公务员医疗补助经费</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w:t>
      </w:r>
      <w:r>
        <w:rPr>
          <w:rFonts w:hint="eastAsia" w:ascii="仿宋" w:hAnsi="仿宋" w:eastAsia="仿宋" w:cs="仿宋"/>
          <w:b/>
          <w:bCs/>
          <w:sz w:val="32"/>
          <w:szCs w:val="32"/>
          <w:lang w:eastAsia="zh-CN"/>
        </w:rPr>
        <w:t>住房保障</w:t>
      </w:r>
      <w:r>
        <w:rPr>
          <w:rFonts w:hint="eastAsia" w:ascii="仿宋" w:hAnsi="仿宋" w:eastAsia="仿宋" w:cs="仿宋"/>
          <w:b/>
          <w:bCs/>
          <w:sz w:val="32"/>
          <w:szCs w:val="32"/>
        </w:rPr>
        <w:t>支出（类）住房改革支出（款）住房公积金（项）：</w:t>
      </w:r>
      <w:r>
        <w:rPr>
          <w:rFonts w:hint="eastAsia" w:ascii="仿宋" w:hAnsi="仿宋" w:eastAsia="仿宋" w:cs="仿宋"/>
          <w:b/>
          <w:bCs/>
          <w:sz w:val="32"/>
          <w:szCs w:val="32"/>
          <w:lang w:eastAsia="zh-CN"/>
        </w:rPr>
        <w:t>反映行政事业单位按人力资源和社会保障部、财政部规定的基本工资和津贴补贴以及规定比例为职工缴纳的住房公积金</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11</w:t>
      </w:r>
      <w:r>
        <w:rPr>
          <w:rFonts w:hint="eastAsia" w:ascii="仿宋" w:hAnsi="仿宋" w:eastAsia="仿宋" w:cs="仿宋"/>
          <w:b/>
          <w:bCs/>
          <w:sz w:val="32"/>
          <w:szCs w:val="32"/>
        </w:rPr>
        <w:t>．</w:t>
      </w:r>
      <w:r>
        <w:rPr>
          <w:rFonts w:hint="eastAsia" w:ascii="仿宋" w:hAnsi="仿宋" w:eastAsia="仿宋" w:cs="仿宋"/>
          <w:b/>
          <w:bCs/>
          <w:sz w:val="32"/>
          <w:szCs w:val="32"/>
          <w:lang w:eastAsia="zh-CN"/>
        </w:rPr>
        <w:t>住房保障</w:t>
      </w:r>
      <w:r>
        <w:rPr>
          <w:rFonts w:hint="eastAsia" w:ascii="仿宋" w:hAnsi="仿宋" w:eastAsia="仿宋" w:cs="仿宋"/>
          <w:b/>
          <w:bCs/>
          <w:sz w:val="32"/>
          <w:szCs w:val="32"/>
        </w:rPr>
        <w:t>支出（类）住房改革支出（款）购房补贴（项）：</w:t>
      </w:r>
      <w:r>
        <w:rPr>
          <w:rFonts w:hint="eastAsia" w:ascii="仿宋" w:hAnsi="仿宋" w:eastAsia="仿宋" w:cs="仿宋"/>
          <w:b/>
          <w:bCs/>
          <w:sz w:val="32"/>
          <w:szCs w:val="32"/>
          <w:lang w:eastAsia="zh-CN"/>
        </w:rPr>
        <w:t>反映按房改政策规定的标准，行政事业单位向符合条件职工发放的用于购买住房的补贴</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pageBreakBefore w:val="0"/>
        <w:kinsoku/>
        <w:wordWrap/>
        <w:overflowPunct/>
        <w:topLinePunct w:val="0"/>
        <w:bidi w:val="0"/>
        <w:adjustRightInd w:val="0"/>
        <w:snapToGrid w:val="0"/>
        <w:spacing w:line="360" w:lineRule="auto"/>
        <w:jc w:val="center"/>
        <w:outlineLvl w:val="0"/>
        <w:rPr>
          <w:rStyle w:val="23"/>
          <w:rFonts w:hint="default" w:ascii="Times New Roman" w:hAnsi="Times New Roman" w:cs="Times New Roman"/>
          <w:b/>
          <w:bCs/>
        </w:rPr>
      </w:pPr>
    </w:p>
    <w:p>
      <w:pPr>
        <w:pageBreakBefore w:val="0"/>
        <w:kinsoku/>
        <w:wordWrap/>
        <w:overflowPunct/>
        <w:topLinePunct w:val="0"/>
        <w:bidi w:val="0"/>
        <w:adjustRightInd w:val="0"/>
        <w:snapToGrid w:val="0"/>
        <w:spacing w:line="360" w:lineRule="auto"/>
        <w:jc w:val="both"/>
        <w:outlineLvl w:val="0"/>
        <w:rPr>
          <w:rStyle w:val="23"/>
          <w:rFonts w:hint="default" w:ascii="Times New Roman" w:hAnsi="Times New Roman" w:cs="Times New Roman"/>
          <w:b/>
          <w:bCs/>
        </w:rPr>
      </w:pPr>
    </w:p>
    <w:p>
      <w:pPr>
        <w:pageBreakBefore w:val="0"/>
        <w:kinsoku/>
        <w:wordWrap/>
        <w:overflowPunct/>
        <w:topLinePunct w:val="0"/>
        <w:bidi w:val="0"/>
        <w:adjustRightInd w:val="0"/>
        <w:snapToGrid w:val="0"/>
        <w:spacing w:line="360" w:lineRule="auto"/>
        <w:jc w:val="both"/>
        <w:outlineLvl w:val="0"/>
        <w:rPr>
          <w:rStyle w:val="23"/>
          <w:rFonts w:hint="default" w:ascii="Times New Roman" w:hAnsi="Times New Roman" w:cs="Times New Roman"/>
          <w:b/>
          <w:bCs/>
        </w:rPr>
      </w:pPr>
    </w:p>
    <w:p>
      <w:pPr>
        <w:pageBreakBefore w:val="0"/>
        <w:numPr>
          <w:ilvl w:val="0"/>
          <w:numId w:val="8"/>
        </w:numPr>
        <w:kinsoku/>
        <w:wordWrap/>
        <w:overflowPunct/>
        <w:topLinePunct w:val="0"/>
        <w:bidi w:val="0"/>
        <w:adjustRightInd w:val="0"/>
        <w:snapToGrid w:val="0"/>
        <w:spacing w:line="360" w:lineRule="auto"/>
        <w:ind w:firstLine="663" w:firstLineChars="150"/>
        <w:jc w:val="center"/>
        <w:outlineLvl w:val="0"/>
        <w:rPr>
          <w:rStyle w:val="23"/>
          <w:rFonts w:hint="default" w:ascii="Times New Roman" w:hAnsi="Times New Roman" w:eastAsia="黑体" w:cs="Times New Roman"/>
          <w:b/>
          <w:bCs/>
        </w:rPr>
      </w:pPr>
      <w:bookmarkStart w:id="78" w:name="_Toc4508"/>
      <w:bookmarkStart w:id="79" w:name="_Toc12336"/>
      <w:r>
        <w:rPr>
          <w:rStyle w:val="23"/>
          <w:rFonts w:hint="eastAsia" w:eastAsia="黑体" w:cs="Times New Roman"/>
          <w:b/>
          <w:bCs/>
          <w:lang w:eastAsia="zh-CN"/>
        </w:rPr>
        <w:t>附件</w:t>
      </w:r>
      <w:bookmarkEnd w:id="78"/>
      <w:bookmarkEnd w:id="79"/>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color w:val="000000"/>
          <w:kern w:val="0"/>
          <w:sz w:val="32"/>
          <w:szCs w:val="32"/>
          <w:lang w:eastAsia="zh-CN"/>
        </w:rPr>
      </w:pPr>
      <w:r>
        <w:rPr>
          <w:rFonts w:hint="eastAsia" w:ascii="仿宋" w:hAnsi="仿宋" w:eastAsia="仿宋" w:cs="仿宋"/>
          <w:b/>
          <w:color w:val="000000"/>
          <w:kern w:val="0"/>
          <w:sz w:val="32"/>
          <w:szCs w:val="32"/>
          <w:lang w:eastAsia="zh-CN"/>
        </w:rPr>
        <w:t>无</w:t>
      </w: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方正仿宋简体" w:cs="Times New Roman"/>
          <w:b/>
          <w:color w:val="000000"/>
          <w:kern w:val="0"/>
          <w:sz w:val="32"/>
          <w:szCs w:val="32"/>
          <w:lang w:eastAsia="zh-CN"/>
        </w:rPr>
        <w:sectPr>
          <w:footerReference r:id="rId7" w:type="default"/>
          <w:pgSz w:w="11906" w:h="16838"/>
          <w:pgMar w:top="1440" w:right="1800" w:bottom="1440" w:left="1800" w:header="851" w:footer="992" w:gutter="0"/>
          <w:pgNumType w:start="1"/>
          <w:cols w:space="425" w:num="1"/>
          <w:docGrid w:type="lines" w:linePitch="312" w:charSpace="0"/>
        </w:sect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Style w:val="23"/>
          <w:rFonts w:hint="default" w:ascii="Times New Roman" w:hAnsi="Times New Roman" w:eastAsia="黑体" w:cs="Times New Roman"/>
          <w:b/>
          <w:bCs/>
        </w:rPr>
      </w:pPr>
      <w:bookmarkStart w:id="80" w:name="_Toc22133"/>
      <w:bookmarkStart w:id="81" w:name="_Toc865"/>
      <w:r>
        <w:rPr>
          <w:rFonts w:hint="default" w:ascii="Times New Roman" w:hAnsi="Times New Roman" w:eastAsia="黑体" w:cs="Times New Roman"/>
          <w:b/>
          <w:bCs/>
          <w:color w:val="000000"/>
          <w:sz w:val="44"/>
          <w:szCs w:val="44"/>
        </w:rPr>
        <w:t>第</w:t>
      </w:r>
      <w:r>
        <w:rPr>
          <w:rStyle w:val="23"/>
          <w:rFonts w:hint="default" w:ascii="Times New Roman" w:hAnsi="Times New Roman" w:eastAsia="黑体" w:cs="Times New Roman"/>
          <w:b/>
          <w:bCs/>
        </w:rPr>
        <w:t>五部分 附表</w:t>
      </w:r>
      <w:bookmarkEnd w:id="77"/>
      <w:bookmarkEnd w:id="80"/>
      <w:bookmarkEnd w:id="81"/>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82" w:name="_Toc21702"/>
      <w:bookmarkStart w:id="83" w:name="_Toc27919"/>
      <w:r>
        <w:rPr>
          <w:rFonts w:hint="eastAsia" w:ascii="仿宋" w:hAnsi="仿宋" w:eastAsia="仿宋" w:cs="仿宋"/>
          <w:b/>
          <w:bCs/>
          <w:color w:val="000000"/>
        </w:rPr>
        <w:t>一、收</w:t>
      </w:r>
      <w:r>
        <w:rPr>
          <w:rStyle w:val="24"/>
          <w:rFonts w:hint="eastAsia" w:ascii="仿宋" w:hAnsi="仿宋" w:eastAsia="仿宋" w:cs="仿宋"/>
          <w:b/>
          <w:bCs/>
        </w:rPr>
        <w:t>入支出决算总表</w:t>
      </w:r>
      <w:bookmarkEnd w:id="82"/>
      <w:bookmarkEnd w:id="83"/>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84" w:name="_Toc5888"/>
      <w:bookmarkStart w:id="85" w:name="_Toc15133"/>
      <w:r>
        <w:rPr>
          <w:rFonts w:hint="eastAsia" w:ascii="仿宋" w:hAnsi="仿宋" w:eastAsia="仿宋" w:cs="仿宋"/>
          <w:b/>
          <w:bCs/>
          <w:color w:val="000000"/>
        </w:rPr>
        <w:t>二、收</w:t>
      </w:r>
      <w:r>
        <w:rPr>
          <w:rStyle w:val="24"/>
          <w:rFonts w:hint="eastAsia" w:ascii="仿宋" w:hAnsi="仿宋" w:eastAsia="仿宋" w:cs="仿宋"/>
          <w:b/>
          <w:bCs/>
        </w:rPr>
        <w:t>入</w:t>
      </w:r>
      <w:r>
        <w:rPr>
          <w:rStyle w:val="24"/>
          <w:rFonts w:hint="eastAsia" w:ascii="仿宋" w:hAnsi="仿宋" w:eastAsia="仿宋" w:cs="仿宋"/>
          <w:b/>
          <w:bCs/>
          <w:lang w:eastAsia="zh-CN"/>
        </w:rPr>
        <w:t>决算</w:t>
      </w:r>
      <w:r>
        <w:rPr>
          <w:rStyle w:val="24"/>
          <w:rFonts w:hint="eastAsia" w:ascii="仿宋" w:hAnsi="仿宋" w:eastAsia="仿宋" w:cs="仿宋"/>
          <w:b/>
          <w:bCs/>
        </w:rPr>
        <w:t>表</w:t>
      </w:r>
      <w:bookmarkEnd w:id="84"/>
      <w:bookmarkEnd w:id="85"/>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86" w:name="_Toc14432"/>
      <w:bookmarkStart w:id="87" w:name="_Toc1587"/>
      <w:r>
        <w:rPr>
          <w:rStyle w:val="24"/>
          <w:rFonts w:hint="eastAsia" w:ascii="仿宋" w:hAnsi="仿宋" w:eastAsia="仿宋" w:cs="仿宋"/>
          <w:b/>
          <w:bCs/>
        </w:rPr>
        <w:t>三、</w:t>
      </w:r>
      <w:r>
        <w:rPr>
          <w:rFonts w:hint="eastAsia" w:ascii="仿宋" w:hAnsi="仿宋" w:eastAsia="仿宋" w:cs="仿宋"/>
          <w:b/>
          <w:bCs/>
          <w:color w:val="000000"/>
        </w:rPr>
        <w:t>支</w:t>
      </w:r>
      <w:r>
        <w:rPr>
          <w:rStyle w:val="24"/>
          <w:rFonts w:hint="eastAsia" w:ascii="仿宋" w:hAnsi="仿宋" w:eastAsia="仿宋" w:cs="仿宋"/>
          <w:b/>
          <w:bCs/>
        </w:rPr>
        <w:t>出</w:t>
      </w:r>
      <w:r>
        <w:rPr>
          <w:rStyle w:val="24"/>
          <w:rFonts w:hint="eastAsia" w:ascii="仿宋" w:hAnsi="仿宋" w:eastAsia="仿宋" w:cs="仿宋"/>
          <w:b/>
          <w:bCs/>
          <w:lang w:eastAsia="zh-CN"/>
        </w:rPr>
        <w:t>决算</w:t>
      </w:r>
      <w:r>
        <w:rPr>
          <w:rStyle w:val="24"/>
          <w:rFonts w:hint="eastAsia" w:ascii="仿宋" w:hAnsi="仿宋" w:eastAsia="仿宋" w:cs="仿宋"/>
          <w:b/>
          <w:bCs/>
        </w:rPr>
        <w:t>表</w:t>
      </w:r>
      <w:bookmarkEnd w:id="86"/>
      <w:bookmarkEnd w:id="87"/>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88" w:name="_Toc32089"/>
      <w:bookmarkStart w:id="89" w:name="_Toc16790"/>
      <w:r>
        <w:rPr>
          <w:rStyle w:val="24"/>
          <w:rFonts w:hint="eastAsia" w:ascii="仿宋" w:hAnsi="仿宋" w:eastAsia="仿宋" w:cs="仿宋"/>
          <w:b/>
          <w:bCs/>
        </w:rPr>
        <w:t>四、</w:t>
      </w:r>
      <w:r>
        <w:rPr>
          <w:rFonts w:hint="eastAsia" w:ascii="仿宋" w:hAnsi="仿宋" w:eastAsia="仿宋" w:cs="仿宋"/>
          <w:b/>
          <w:bCs/>
          <w:color w:val="000000"/>
        </w:rPr>
        <w:t>财</w:t>
      </w:r>
      <w:r>
        <w:rPr>
          <w:rStyle w:val="24"/>
          <w:rFonts w:hint="eastAsia" w:ascii="仿宋" w:hAnsi="仿宋" w:eastAsia="仿宋" w:cs="仿宋"/>
          <w:b/>
          <w:bCs/>
        </w:rPr>
        <w:t>政拨款收入支出决算总表</w:t>
      </w:r>
      <w:bookmarkEnd w:id="88"/>
      <w:bookmarkEnd w:id="89"/>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0" w:name="_Toc24337"/>
      <w:bookmarkStart w:id="91" w:name="_Toc13485"/>
      <w:r>
        <w:rPr>
          <w:rStyle w:val="24"/>
          <w:rFonts w:hint="eastAsia" w:ascii="仿宋" w:hAnsi="仿宋" w:eastAsia="仿宋" w:cs="仿宋"/>
          <w:b/>
          <w:bCs/>
        </w:rPr>
        <w:t>五、</w:t>
      </w:r>
      <w:r>
        <w:rPr>
          <w:rFonts w:hint="eastAsia" w:ascii="仿宋" w:hAnsi="仿宋" w:eastAsia="仿宋" w:cs="仿宋"/>
          <w:b/>
          <w:bCs/>
          <w:color w:val="000000"/>
        </w:rPr>
        <w:t>财</w:t>
      </w:r>
      <w:r>
        <w:rPr>
          <w:rStyle w:val="24"/>
          <w:rFonts w:hint="eastAsia" w:ascii="仿宋" w:hAnsi="仿宋" w:eastAsia="仿宋" w:cs="仿宋"/>
          <w:b/>
          <w:bCs/>
        </w:rPr>
        <w:t>政拨款支出决算明细表</w:t>
      </w:r>
      <w:bookmarkEnd w:id="90"/>
      <w:bookmarkEnd w:id="91"/>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2" w:name="_Toc25652"/>
      <w:bookmarkStart w:id="93" w:name="_Toc14869"/>
      <w:r>
        <w:rPr>
          <w:rStyle w:val="24"/>
          <w:rFonts w:hint="eastAsia" w:ascii="仿宋" w:hAnsi="仿宋" w:eastAsia="仿宋" w:cs="仿宋"/>
          <w:b/>
          <w:bCs/>
        </w:rPr>
        <w:t>六、</w:t>
      </w:r>
      <w:r>
        <w:rPr>
          <w:rFonts w:hint="eastAsia" w:ascii="仿宋" w:hAnsi="仿宋" w:eastAsia="仿宋" w:cs="仿宋"/>
          <w:b/>
          <w:bCs/>
          <w:color w:val="000000"/>
        </w:rPr>
        <w:t>一</w:t>
      </w:r>
      <w:r>
        <w:rPr>
          <w:rStyle w:val="24"/>
          <w:rFonts w:hint="eastAsia" w:ascii="仿宋" w:hAnsi="仿宋" w:eastAsia="仿宋" w:cs="仿宋"/>
          <w:b/>
          <w:bCs/>
        </w:rPr>
        <w:t>般公共预算财政拨款支出决算表</w:t>
      </w:r>
      <w:bookmarkEnd w:id="92"/>
      <w:bookmarkEnd w:id="93"/>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4" w:name="_Toc25220"/>
      <w:bookmarkStart w:id="95" w:name="_Toc24920"/>
      <w:r>
        <w:rPr>
          <w:rStyle w:val="24"/>
          <w:rFonts w:hint="eastAsia" w:ascii="仿宋" w:hAnsi="仿宋" w:eastAsia="仿宋" w:cs="仿宋"/>
          <w:b/>
          <w:bCs/>
        </w:rPr>
        <w:t>七、</w:t>
      </w:r>
      <w:r>
        <w:rPr>
          <w:rFonts w:hint="eastAsia" w:ascii="仿宋" w:hAnsi="仿宋" w:eastAsia="仿宋" w:cs="仿宋"/>
          <w:b/>
          <w:bCs/>
          <w:color w:val="000000"/>
        </w:rPr>
        <w:t>一</w:t>
      </w:r>
      <w:r>
        <w:rPr>
          <w:rStyle w:val="24"/>
          <w:rFonts w:hint="eastAsia" w:ascii="仿宋" w:hAnsi="仿宋" w:eastAsia="仿宋" w:cs="仿宋"/>
          <w:b/>
          <w:bCs/>
        </w:rPr>
        <w:t>般公共预算财政拨款支出决算明细表</w:t>
      </w:r>
      <w:bookmarkEnd w:id="94"/>
      <w:bookmarkEnd w:id="95"/>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6" w:name="_Toc304"/>
      <w:bookmarkStart w:id="97" w:name="_Toc25080"/>
      <w:r>
        <w:rPr>
          <w:rStyle w:val="24"/>
          <w:rFonts w:hint="eastAsia" w:ascii="仿宋" w:hAnsi="仿宋" w:eastAsia="仿宋" w:cs="仿宋"/>
          <w:b/>
          <w:bCs/>
        </w:rPr>
        <w:t>八、</w:t>
      </w:r>
      <w:r>
        <w:rPr>
          <w:rFonts w:hint="eastAsia" w:ascii="仿宋" w:hAnsi="仿宋" w:eastAsia="仿宋" w:cs="仿宋"/>
          <w:b/>
          <w:bCs/>
          <w:color w:val="000000"/>
        </w:rPr>
        <w:t>一</w:t>
      </w:r>
      <w:r>
        <w:rPr>
          <w:rStyle w:val="24"/>
          <w:rFonts w:hint="eastAsia" w:ascii="仿宋" w:hAnsi="仿宋" w:eastAsia="仿宋" w:cs="仿宋"/>
          <w:b/>
          <w:bCs/>
        </w:rPr>
        <w:t>般公共预算财政拨款基本支出决算表</w:t>
      </w:r>
      <w:bookmarkEnd w:id="96"/>
      <w:bookmarkEnd w:id="97"/>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8" w:name="_Toc22387"/>
      <w:bookmarkStart w:id="99" w:name="_Toc24289"/>
      <w:r>
        <w:rPr>
          <w:rStyle w:val="24"/>
          <w:rFonts w:hint="eastAsia" w:ascii="仿宋" w:hAnsi="仿宋" w:eastAsia="仿宋" w:cs="仿宋"/>
          <w:b/>
          <w:bCs/>
        </w:rPr>
        <w:t>九、</w:t>
      </w:r>
      <w:r>
        <w:rPr>
          <w:rFonts w:hint="eastAsia" w:ascii="仿宋" w:hAnsi="仿宋" w:eastAsia="仿宋" w:cs="仿宋"/>
          <w:b/>
          <w:bCs/>
          <w:color w:val="000000"/>
        </w:rPr>
        <w:t>一</w:t>
      </w:r>
      <w:r>
        <w:rPr>
          <w:rStyle w:val="24"/>
          <w:rFonts w:hint="eastAsia" w:ascii="仿宋" w:hAnsi="仿宋" w:eastAsia="仿宋" w:cs="仿宋"/>
          <w:b/>
          <w:bCs/>
        </w:rPr>
        <w:t>般公共预算财政拨款项目支出决算表</w:t>
      </w:r>
      <w:bookmarkEnd w:id="98"/>
      <w:bookmarkEnd w:id="99"/>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100" w:name="_Toc3911"/>
      <w:bookmarkStart w:id="101" w:name="_Toc30460"/>
      <w:r>
        <w:rPr>
          <w:rStyle w:val="24"/>
          <w:rFonts w:hint="eastAsia" w:ascii="仿宋" w:hAnsi="仿宋" w:eastAsia="仿宋" w:cs="仿宋"/>
          <w:b/>
          <w:bCs/>
        </w:rPr>
        <w:t>十、</w:t>
      </w:r>
      <w:r>
        <w:rPr>
          <w:rFonts w:hint="eastAsia" w:ascii="仿宋" w:hAnsi="仿宋" w:eastAsia="仿宋" w:cs="仿宋"/>
          <w:b/>
          <w:bCs/>
          <w:color w:val="000000"/>
        </w:rPr>
        <w:t>一</w:t>
      </w:r>
      <w:r>
        <w:rPr>
          <w:rStyle w:val="24"/>
          <w:rFonts w:hint="eastAsia" w:ascii="仿宋" w:hAnsi="仿宋" w:eastAsia="仿宋" w:cs="仿宋"/>
          <w:b/>
          <w:bCs/>
        </w:rPr>
        <w:t>般公共预算财政拨款“三公”经费支出决算表</w:t>
      </w:r>
      <w:bookmarkEnd w:id="100"/>
      <w:bookmarkEnd w:id="101"/>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102" w:name="_Toc927"/>
      <w:bookmarkStart w:id="103" w:name="_Toc8348"/>
      <w:r>
        <w:rPr>
          <w:rStyle w:val="24"/>
          <w:rFonts w:hint="eastAsia" w:ascii="仿宋" w:hAnsi="仿宋" w:eastAsia="仿宋" w:cs="仿宋"/>
          <w:b/>
          <w:bCs/>
        </w:rPr>
        <w:t>十一、</w:t>
      </w:r>
      <w:r>
        <w:rPr>
          <w:rFonts w:hint="eastAsia" w:ascii="仿宋" w:hAnsi="仿宋" w:eastAsia="仿宋" w:cs="仿宋"/>
          <w:b/>
          <w:bCs/>
          <w:color w:val="000000"/>
        </w:rPr>
        <w:t>政</w:t>
      </w:r>
      <w:r>
        <w:rPr>
          <w:rStyle w:val="24"/>
          <w:rFonts w:hint="eastAsia" w:ascii="仿宋" w:hAnsi="仿宋" w:eastAsia="仿宋" w:cs="仿宋"/>
          <w:b/>
          <w:bCs/>
        </w:rPr>
        <w:t>府性基金预算财政拨款收入支出决算表</w:t>
      </w:r>
      <w:bookmarkEnd w:id="102"/>
      <w:bookmarkEnd w:id="103"/>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104" w:name="_Toc12951"/>
      <w:bookmarkStart w:id="105" w:name="_Toc12303"/>
      <w:r>
        <w:rPr>
          <w:rStyle w:val="24"/>
          <w:rFonts w:hint="eastAsia" w:ascii="仿宋" w:hAnsi="仿宋" w:eastAsia="仿宋" w:cs="仿宋"/>
          <w:b/>
          <w:bCs/>
        </w:rPr>
        <w:t>十二、</w:t>
      </w:r>
      <w:r>
        <w:rPr>
          <w:rFonts w:hint="eastAsia" w:ascii="仿宋" w:hAnsi="仿宋" w:eastAsia="仿宋" w:cs="仿宋"/>
          <w:b/>
          <w:bCs/>
          <w:color w:val="000000"/>
        </w:rPr>
        <w:t>政</w:t>
      </w:r>
      <w:r>
        <w:rPr>
          <w:rStyle w:val="24"/>
          <w:rFonts w:hint="eastAsia" w:ascii="仿宋" w:hAnsi="仿宋" w:eastAsia="仿宋" w:cs="仿宋"/>
          <w:b/>
          <w:bCs/>
        </w:rPr>
        <w:t>府性基金预算财政拨款“三公”经费支出决算表</w:t>
      </w:r>
      <w:bookmarkEnd w:id="104"/>
      <w:bookmarkEnd w:id="105"/>
    </w:p>
    <w:p>
      <w:pPr>
        <w:pStyle w:val="3"/>
        <w:pageBreakBefore w:val="0"/>
        <w:widowControl w:val="0"/>
        <w:kinsoku/>
        <w:wordWrap/>
        <w:overflowPunct/>
        <w:topLinePunct w:val="0"/>
        <w:autoSpaceDE/>
        <w:autoSpaceDN/>
        <w:bidi w:val="0"/>
        <w:adjustRightInd w:val="0"/>
        <w:snapToGrid w:val="0"/>
        <w:spacing w:line="600" w:lineRule="exact"/>
        <w:textAlignment w:val="auto"/>
        <w:rPr>
          <w:rStyle w:val="24"/>
          <w:rFonts w:hint="eastAsia" w:ascii="仿宋" w:hAnsi="仿宋" w:eastAsia="仿宋" w:cs="仿宋"/>
          <w:b/>
          <w:bCs/>
        </w:rPr>
      </w:pPr>
      <w:bookmarkStart w:id="106" w:name="_Toc25090"/>
      <w:bookmarkStart w:id="107" w:name="_Toc14213"/>
      <w:r>
        <w:rPr>
          <w:rStyle w:val="24"/>
          <w:rFonts w:hint="eastAsia" w:ascii="仿宋" w:hAnsi="仿宋" w:eastAsia="仿宋" w:cs="仿宋"/>
          <w:b/>
          <w:bCs/>
        </w:rPr>
        <w:t>十三、</w:t>
      </w:r>
      <w:bookmarkEnd w:id="106"/>
      <w:r>
        <w:rPr>
          <w:rFonts w:hint="eastAsia" w:ascii="仿宋" w:hAnsi="仿宋" w:eastAsia="仿宋"/>
          <w:b/>
          <w:bCs w:val="0"/>
          <w:color w:val="000000"/>
        </w:rPr>
        <w:t>国</w:t>
      </w:r>
      <w:r>
        <w:rPr>
          <w:rStyle w:val="24"/>
          <w:rFonts w:hint="eastAsia" w:ascii="仿宋" w:hAnsi="仿宋" w:eastAsia="仿宋"/>
          <w:b/>
          <w:bCs w:val="0"/>
        </w:rPr>
        <w:t>有资本经营预算</w:t>
      </w:r>
      <w:r>
        <w:rPr>
          <w:rStyle w:val="24"/>
          <w:rFonts w:hint="eastAsia" w:ascii="仿宋" w:hAnsi="仿宋" w:eastAsia="仿宋"/>
          <w:b/>
          <w:bCs w:val="0"/>
          <w:lang w:eastAsia="zh-CN"/>
        </w:rPr>
        <w:t>财政拨款收入</w:t>
      </w:r>
      <w:r>
        <w:rPr>
          <w:rStyle w:val="24"/>
          <w:rFonts w:hint="eastAsia" w:ascii="仿宋" w:hAnsi="仿宋" w:eastAsia="仿宋"/>
          <w:b/>
          <w:bCs w:val="0"/>
        </w:rPr>
        <w:t>支出决算表</w:t>
      </w:r>
      <w:bookmarkEnd w:id="107"/>
    </w:p>
    <w:p>
      <w:pPr>
        <w:pStyle w:val="3"/>
        <w:pageBreakBefore w:val="0"/>
        <w:widowControl w:val="0"/>
        <w:kinsoku/>
        <w:wordWrap/>
        <w:overflowPunct/>
        <w:topLinePunct w:val="0"/>
        <w:autoSpaceDE/>
        <w:autoSpaceDN/>
        <w:bidi w:val="0"/>
        <w:adjustRightInd w:val="0"/>
        <w:snapToGrid w:val="0"/>
        <w:spacing w:line="600" w:lineRule="exact"/>
        <w:textAlignment w:val="auto"/>
        <w:rPr>
          <w:rStyle w:val="24"/>
          <w:rFonts w:hint="eastAsia" w:ascii="仿宋" w:hAnsi="仿宋" w:eastAsia="仿宋" w:cs="仿宋"/>
          <w:b/>
          <w:bCs/>
        </w:rPr>
      </w:pPr>
      <w:bookmarkStart w:id="108" w:name="_Toc16194"/>
      <w:r>
        <w:rPr>
          <w:rStyle w:val="24"/>
          <w:rFonts w:hint="eastAsia" w:ascii="仿宋" w:hAnsi="仿宋" w:eastAsia="仿宋" w:cs="仿宋"/>
          <w:b/>
          <w:bCs/>
        </w:rPr>
        <w:t>十</w:t>
      </w:r>
      <w:r>
        <w:rPr>
          <w:rStyle w:val="24"/>
          <w:rFonts w:hint="eastAsia" w:ascii="仿宋" w:hAnsi="仿宋" w:eastAsia="仿宋" w:cs="仿宋"/>
          <w:b/>
          <w:bCs/>
          <w:lang w:eastAsia="zh-CN"/>
        </w:rPr>
        <w:t>四</w:t>
      </w:r>
      <w:r>
        <w:rPr>
          <w:rStyle w:val="24"/>
          <w:rFonts w:hint="eastAsia" w:ascii="仿宋" w:hAnsi="仿宋" w:eastAsia="仿宋" w:cs="仿宋"/>
          <w:b/>
          <w:bCs/>
        </w:rPr>
        <w:t>、</w:t>
      </w:r>
      <w:r>
        <w:rPr>
          <w:rStyle w:val="24"/>
          <w:rFonts w:hint="eastAsia" w:ascii="仿宋" w:hAnsi="仿宋" w:eastAsia="仿宋"/>
          <w:b/>
          <w:bCs/>
          <w:lang w:eastAsia="zh-CN"/>
        </w:rPr>
        <w:t>国有资本经营预算财政拨款支出决算表</w:t>
      </w:r>
      <w:bookmarkEnd w:id="108"/>
    </w:p>
    <w:p>
      <w:pPr>
        <w:rPr>
          <w:rFonts w:hint="eastAsia"/>
        </w:rPr>
      </w:pPr>
    </w:p>
    <w:sectPr>
      <w:footerReference r:id="rId9" w:type="first"/>
      <w:footerReference r:id="rId8"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65DAC7-468F-4AC8-9188-EF9DC904E2B2}"/>
  </w:font>
  <w:font w:name="Arial">
    <w:panose1 w:val="020B0604020202020204"/>
    <w:charset w:val="01"/>
    <w:family w:val="swiss"/>
    <w:pitch w:val="default"/>
    <w:sig w:usb0="E0002AFF" w:usb1="C0007843" w:usb2="00000009" w:usb3="00000000" w:csb0="400001FF" w:csb1="FFFF0000"/>
    <w:embedRegular r:id="rId2" w:fontKey="{24E7A679-7CF4-4A0B-ADF6-CA69E9908E8F}"/>
  </w:font>
  <w:font w:name="黑体">
    <w:panose1 w:val="02010600030101010101"/>
    <w:charset w:val="86"/>
    <w:family w:val="auto"/>
    <w:pitch w:val="default"/>
    <w:sig w:usb0="800002BF" w:usb1="38CF7CFA" w:usb2="00000016" w:usb3="00000000" w:csb0="00040001" w:csb1="00000000"/>
    <w:embedRegular r:id="rId3" w:fontKey="{C0256287-276D-423A-B27B-302218DC3DF2}"/>
  </w:font>
  <w:font w:name="Courier New">
    <w:panose1 w:val="02070309020205020404"/>
    <w:charset w:val="01"/>
    <w:family w:val="modern"/>
    <w:pitch w:val="default"/>
    <w:sig w:usb0="E0002AFF" w:usb1="C0007843" w:usb2="00000009" w:usb3="00000000" w:csb0="400001FF" w:csb1="FFFF0000"/>
    <w:embedRegular r:id="rId4" w:fontKey="{0574852D-28CB-44E9-942A-3EE86034E890}"/>
  </w:font>
  <w:font w:name="Symbol">
    <w:panose1 w:val="05050102010706020507"/>
    <w:charset w:val="02"/>
    <w:family w:val="roman"/>
    <w:pitch w:val="default"/>
    <w:sig w:usb0="00000000" w:usb1="00000000" w:usb2="00000000" w:usb3="00000000" w:csb0="80000000" w:csb1="00000000"/>
    <w:embedRegular r:id="rId5" w:fontKey="{2145CAB9-11DB-4480-9BF3-883B8F179E57}"/>
  </w:font>
  <w:font w:name="Calibri">
    <w:panose1 w:val="020F0502020204030204"/>
    <w:charset w:val="00"/>
    <w:family w:val="swiss"/>
    <w:pitch w:val="default"/>
    <w:sig w:usb0="E00002FF" w:usb1="4000ACFF" w:usb2="00000001" w:usb3="00000000" w:csb0="2000019F" w:csb1="00000000"/>
    <w:embedRegular r:id="rId6" w:fontKey="{85F5583A-91A5-4A85-A822-0FEB80CD7319}"/>
  </w:font>
  <w:font w:name="Cambria">
    <w:panose1 w:val="02040503050406030204"/>
    <w:charset w:val="00"/>
    <w:family w:val="roman"/>
    <w:pitch w:val="default"/>
    <w:sig w:usb0="E00002FF" w:usb1="400004FF" w:usb2="00000000" w:usb3="00000000" w:csb0="2000019F" w:csb1="00000000"/>
    <w:embedRegular r:id="rId7" w:fontKey="{A6DD208A-8CAF-4D2C-A1C3-99F82BE4480D}"/>
  </w:font>
  <w:font w:name="仿宋_GB2312">
    <w:panose1 w:val="02010609030101010101"/>
    <w:charset w:val="86"/>
    <w:family w:val="modern"/>
    <w:pitch w:val="default"/>
    <w:sig w:usb0="00000001" w:usb1="080E0000" w:usb2="00000000" w:usb3="00000000" w:csb0="00040000" w:csb1="00000000"/>
    <w:embedRegular r:id="rId8" w:fontKey="{A1219B43-01B0-4BB0-B887-C9A5F08E6FE6}"/>
  </w:font>
  <w:font w:name="仿宋">
    <w:panose1 w:val="02010609060101010101"/>
    <w:charset w:val="86"/>
    <w:family w:val="modern"/>
    <w:pitch w:val="default"/>
    <w:sig w:usb0="800002BF" w:usb1="38CF7CFA" w:usb2="00000016" w:usb3="00000000" w:csb0="00040001" w:csb1="00000000"/>
    <w:embedRegular r:id="rId9" w:fontKey="{93D4FE8A-BB4D-4AB0-A61D-E0C2853DFC42}"/>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10" w:fontKey="{5EBDFFFF-7BF9-4886-9C42-BEE4F7BE9780}"/>
  </w:font>
  <w:font w:name="楷体_GB2312">
    <w:panose1 w:val="02010609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sdt>
                    <w:sdtPr>
                      <w:id w:val="-1994781956"/>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7"/>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994781956"/>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EC0BEF30"/>
    <w:multiLevelType w:val="singleLevel"/>
    <w:tmpl w:val="EC0BEF30"/>
    <w:lvl w:ilvl="0" w:tentative="0">
      <w:start w:val="1"/>
      <w:numFmt w:val="chineseCounting"/>
      <w:suff w:val="nothing"/>
      <w:lvlText w:val="（%1）"/>
      <w:lvlJc w:val="left"/>
      <w:rPr>
        <w:rFonts w:hint="eastAsia" w:ascii="楷体_GB2312" w:hAnsi="楷体_GB2312" w:eastAsia="楷体_GB2312" w:cs="楷体_GB2312"/>
        <w:b/>
        <w:bCs/>
        <w:sz w:val="32"/>
        <w:szCs w:val="32"/>
      </w:rPr>
    </w:lvl>
  </w:abstractNum>
  <w:abstractNum w:abstractNumId="3">
    <w:nsid w:val="F09ACF31"/>
    <w:multiLevelType w:val="singleLevel"/>
    <w:tmpl w:val="F09ACF31"/>
    <w:lvl w:ilvl="0" w:tentative="0">
      <w:start w:val="1"/>
      <w:numFmt w:val="decimal"/>
      <w:suff w:val="space"/>
      <w:lvlText w:val="%1."/>
      <w:lvlJc w:val="left"/>
    </w:lvl>
  </w:abstractNum>
  <w:abstractNum w:abstractNumId="4">
    <w:nsid w:val="FBCB5F45"/>
    <w:multiLevelType w:val="singleLevel"/>
    <w:tmpl w:val="FBCB5F45"/>
    <w:lvl w:ilvl="0" w:tentative="0">
      <w:start w:val="1"/>
      <w:numFmt w:val="decimal"/>
      <w:lvlText w:val="%1."/>
      <w:lvlJc w:val="left"/>
      <w:pPr>
        <w:tabs>
          <w:tab w:val="left" w:pos="312"/>
        </w:tabs>
      </w:pPr>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17F426B7"/>
    <w:multiLevelType w:val="multilevel"/>
    <w:tmpl w:val="17F426B7"/>
    <w:lvl w:ilvl="0" w:tentative="0">
      <w:start w:val="10"/>
      <w:numFmt w:val="japaneseCounting"/>
      <w:lvlText w:val="%1、"/>
      <w:lvlJc w:val="left"/>
      <w:pPr>
        <w:ind w:left="1429" w:hanging="72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7">
    <w:nsid w:val="1B4BCB90"/>
    <w:multiLevelType w:val="singleLevel"/>
    <w:tmpl w:val="1B4BCB90"/>
    <w:lvl w:ilvl="0" w:tentative="0">
      <w:start w:val="1"/>
      <w:numFmt w:val="decimal"/>
      <w:suff w:val="space"/>
      <w:lvlText w:val="%1."/>
      <w:lvlJc w:val="left"/>
    </w:lvl>
  </w:abstractNum>
  <w:num w:numId="1">
    <w:abstractNumId w:val="5"/>
  </w:num>
  <w:num w:numId="2">
    <w:abstractNumId w:val="4"/>
  </w:num>
  <w:num w:numId="3">
    <w:abstractNumId w:val="3"/>
  </w:num>
  <w:num w:numId="4">
    <w:abstractNumId w:val="7"/>
  </w:num>
  <w:num w:numId="5">
    <w:abstractNumId w:val="0"/>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1YWZiNDkwNzNhNDBiNDVmZGFiNWEwZWRjM2UwZDQifQ=="/>
  </w:docVars>
  <w:rsids>
    <w:rsidRoot w:val="00F1361C"/>
    <w:rsid w:val="000222C6"/>
    <w:rsid w:val="0002549F"/>
    <w:rsid w:val="0006487A"/>
    <w:rsid w:val="00065F8F"/>
    <w:rsid w:val="000768F2"/>
    <w:rsid w:val="0009184B"/>
    <w:rsid w:val="0009593C"/>
    <w:rsid w:val="000B047F"/>
    <w:rsid w:val="000B5923"/>
    <w:rsid w:val="000B5A48"/>
    <w:rsid w:val="000B6FF3"/>
    <w:rsid w:val="000C3467"/>
    <w:rsid w:val="000C3CA6"/>
    <w:rsid w:val="000D1267"/>
    <w:rsid w:val="000D1D50"/>
    <w:rsid w:val="000D5782"/>
    <w:rsid w:val="000E6613"/>
    <w:rsid w:val="000E7119"/>
    <w:rsid w:val="00114E9B"/>
    <w:rsid w:val="0014729F"/>
    <w:rsid w:val="00157BAB"/>
    <w:rsid w:val="001654D1"/>
    <w:rsid w:val="0018106D"/>
    <w:rsid w:val="001877A7"/>
    <w:rsid w:val="00191536"/>
    <w:rsid w:val="00196687"/>
    <w:rsid w:val="001C0962"/>
    <w:rsid w:val="001D7531"/>
    <w:rsid w:val="001E737D"/>
    <w:rsid w:val="001F0592"/>
    <w:rsid w:val="001F7506"/>
    <w:rsid w:val="002006CD"/>
    <w:rsid w:val="00202B36"/>
    <w:rsid w:val="00204B7A"/>
    <w:rsid w:val="0021101A"/>
    <w:rsid w:val="00220536"/>
    <w:rsid w:val="00235629"/>
    <w:rsid w:val="00260C38"/>
    <w:rsid w:val="002616C0"/>
    <w:rsid w:val="002662AA"/>
    <w:rsid w:val="00280496"/>
    <w:rsid w:val="00295495"/>
    <w:rsid w:val="002B2613"/>
    <w:rsid w:val="002F1818"/>
    <w:rsid w:val="002F567B"/>
    <w:rsid w:val="003216A9"/>
    <w:rsid w:val="0037013F"/>
    <w:rsid w:val="00380C92"/>
    <w:rsid w:val="003A484F"/>
    <w:rsid w:val="003B0BE0"/>
    <w:rsid w:val="003B0C1B"/>
    <w:rsid w:val="003B688C"/>
    <w:rsid w:val="003C0291"/>
    <w:rsid w:val="003C39AE"/>
    <w:rsid w:val="003C7B60"/>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8486E"/>
    <w:rsid w:val="0058649A"/>
    <w:rsid w:val="005B7FE4"/>
    <w:rsid w:val="005D1C8B"/>
    <w:rsid w:val="005D5CED"/>
    <w:rsid w:val="005F1A4C"/>
    <w:rsid w:val="00605688"/>
    <w:rsid w:val="006070AF"/>
    <w:rsid w:val="00607E6C"/>
    <w:rsid w:val="006101B1"/>
    <w:rsid w:val="00622830"/>
    <w:rsid w:val="00630AEF"/>
    <w:rsid w:val="006325F8"/>
    <w:rsid w:val="00634C9A"/>
    <w:rsid w:val="006440E4"/>
    <w:rsid w:val="0066343B"/>
    <w:rsid w:val="006748A4"/>
    <w:rsid w:val="00683E73"/>
    <w:rsid w:val="006A3141"/>
    <w:rsid w:val="006A5E34"/>
    <w:rsid w:val="006B2422"/>
    <w:rsid w:val="006B2B9A"/>
    <w:rsid w:val="006C1937"/>
    <w:rsid w:val="006F020C"/>
    <w:rsid w:val="007127B7"/>
    <w:rsid w:val="007416B6"/>
    <w:rsid w:val="00746F48"/>
    <w:rsid w:val="0075404D"/>
    <w:rsid w:val="0076182A"/>
    <w:rsid w:val="00766A53"/>
    <w:rsid w:val="00767B7E"/>
    <w:rsid w:val="007770C3"/>
    <w:rsid w:val="00784D24"/>
    <w:rsid w:val="00785FBA"/>
    <w:rsid w:val="00786E4A"/>
    <w:rsid w:val="007875EB"/>
    <w:rsid w:val="0079426B"/>
    <w:rsid w:val="007C6106"/>
    <w:rsid w:val="007D3F19"/>
    <w:rsid w:val="007F1991"/>
    <w:rsid w:val="007F2C2F"/>
    <w:rsid w:val="007F55FC"/>
    <w:rsid w:val="007F5665"/>
    <w:rsid w:val="00800112"/>
    <w:rsid w:val="008253BB"/>
    <w:rsid w:val="0083706E"/>
    <w:rsid w:val="008423A5"/>
    <w:rsid w:val="00850625"/>
    <w:rsid w:val="00853718"/>
    <w:rsid w:val="00855221"/>
    <w:rsid w:val="00860645"/>
    <w:rsid w:val="00871F71"/>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46945"/>
    <w:rsid w:val="00951248"/>
    <w:rsid w:val="0095152F"/>
    <w:rsid w:val="00954C49"/>
    <w:rsid w:val="0097099F"/>
    <w:rsid w:val="00971997"/>
    <w:rsid w:val="00971FFC"/>
    <w:rsid w:val="0098660A"/>
    <w:rsid w:val="009931C3"/>
    <w:rsid w:val="009968E7"/>
    <w:rsid w:val="009B2C43"/>
    <w:rsid w:val="009B4EAE"/>
    <w:rsid w:val="009B7573"/>
    <w:rsid w:val="009C22F4"/>
    <w:rsid w:val="009C2E98"/>
    <w:rsid w:val="009D3447"/>
    <w:rsid w:val="009D4711"/>
    <w:rsid w:val="009F1185"/>
    <w:rsid w:val="009F18CD"/>
    <w:rsid w:val="009F2A13"/>
    <w:rsid w:val="00A04EB0"/>
    <w:rsid w:val="00A13CC1"/>
    <w:rsid w:val="00A16847"/>
    <w:rsid w:val="00A268C4"/>
    <w:rsid w:val="00A307CD"/>
    <w:rsid w:val="00A40A00"/>
    <w:rsid w:val="00A4142F"/>
    <w:rsid w:val="00A56DF2"/>
    <w:rsid w:val="00A67AB5"/>
    <w:rsid w:val="00A91760"/>
    <w:rsid w:val="00A93B00"/>
    <w:rsid w:val="00A93C21"/>
    <w:rsid w:val="00AB2AC5"/>
    <w:rsid w:val="00AC3C6A"/>
    <w:rsid w:val="00AD5620"/>
    <w:rsid w:val="00AD7C1B"/>
    <w:rsid w:val="00AE16BA"/>
    <w:rsid w:val="00AE1EBE"/>
    <w:rsid w:val="00B03C9D"/>
    <w:rsid w:val="00B060AE"/>
    <w:rsid w:val="00B10517"/>
    <w:rsid w:val="00B1126D"/>
    <w:rsid w:val="00B14E76"/>
    <w:rsid w:val="00B161B8"/>
    <w:rsid w:val="00B2048C"/>
    <w:rsid w:val="00B310B9"/>
    <w:rsid w:val="00B35F3F"/>
    <w:rsid w:val="00B36CBB"/>
    <w:rsid w:val="00B425E0"/>
    <w:rsid w:val="00B440AA"/>
    <w:rsid w:val="00B44B70"/>
    <w:rsid w:val="00B53C56"/>
    <w:rsid w:val="00B77EA6"/>
    <w:rsid w:val="00B81598"/>
    <w:rsid w:val="00B841F1"/>
    <w:rsid w:val="00B844DC"/>
    <w:rsid w:val="00B944D6"/>
    <w:rsid w:val="00BB4DF0"/>
    <w:rsid w:val="00BC289F"/>
    <w:rsid w:val="00BC5361"/>
    <w:rsid w:val="00BC5460"/>
    <w:rsid w:val="00BC6B50"/>
    <w:rsid w:val="00BD0E25"/>
    <w:rsid w:val="00BF5BD6"/>
    <w:rsid w:val="00C03E31"/>
    <w:rsid w:val="00C33E72"/>
    <w:rsid w:val="00C354B2"/>
    <w:rsid w:val="00C35554"/>
    <w:rsid w:val="00C42709"/>
    <w:rsid w:val="00C525AE"/>
    <w:rsid w:val="00C533CC"/>
    <w:rsid w:val="00C5751C"/>
    <w:rsid w:val="00C61BFC"/>
    <w:rsid w:val="00C62B85"/>
    <w:rsid w:val="00C65438"/>
    <w:rsid w:val="00C91CBB"/>
    <w:rsid w:val="00CA6518"/>
    <w:rsid w:val="00CC09B6"/>
    <w:rsid w:val="00CC40E8"/>
    <w:rsid w:val="00CC666F"/>
    <w:rsid w:val="00CD1E3F"/>
    <w:rsid w:val="00CE44F6"/>
    <w:rsid w:val="00CE49DA"/>
    <w:rsid w:val="00CE7B61"/>
    <w:rsid w:val="00D00095"/>
    <w:rsid w:val="00D20620"/>
    <w:rsid w:val="00D26091"/>
    <w:rsid w:val="00D34E7C"/>
    <w:rsid w:val="00D35489"/>
    <w:rsid w:val="00D51276"/>
    <w:rsid w:val="00D7035F"/>
    <w:rsid w:val="00D952A2"/>
    <w:rsid w:val="00DA65AC"/>
    <w:rsid w:val="00DB1913"/>
    <w:rsid w:val="00DC410D"/>
    <w:rsid w:val="00DC68CA"/>
    <w:rsid w:val="00DC7CBA"/>
    <w:rsid w:val="00DD73B7"/>
    <w:rsid w:val="00DF28BC"/>
    <w:rsid w:val="00DF34B9"/>
    <w:rsid w:val="00E01053"/>
    <w:rsid w:val="00E07ACF"/>
    <w:rsid w:val="00E331A1"/>
    <w:rsid w:val="00E33202"/>
    <w:rsid w:val="00E336A9"/>
    <w:rsid w:val="00E50624"/>
    <w:rsid w:val="00E568DF"/>
    <w:rsid w:val="00E64269"/>
    <w:rsid w:val="00E82267"/>
    <w:rsid w:val="00EA010F"/>
    <w:rsid w:val="00ED1B63"/>
    <w:rsid w:val="00ED3C1F"/>
    <w:rsid w:val="00ED420E"/>
    <w:rsid w:val="00EE2F57"/>
    <w:rsid w:val="00EF4C34"/>
    <w:rsid w:val="00EF77C6"/>
    <w:rsid w:val="00F05438"/>
    <w:rsid w:val="00F1361C"/>
    <w:rsid w:val="00F160C7"/>
    <w:rsid w:val="00F36D8F"/>
    <w:rsid w:val="00F417B1"/>
    <w:rsid w:val="00F455DB"/>
    <w:rsid w:val="00F602DF"/>
    <w:rsid w:val="00F81FD9"/>
    <w:rsid w:val="00F841AA"/>
    <w:rsid w:val="00FA23E8"/>
    <w:rsid w:val="00FD3CC1"/>
    <w:rsid w:val="00FF1E02"/>
    <w:rsid w:val="00FF30B4"/>
    <w:rsid w:val="0134714E"/>
    <w:rsid w:val="015D74CC"/>
    <w:rsid w:val="017A49FE"/>
    <w:rsid w:val="017C721E"/>
    <w:rsid w:val="0185104E"/>
    <w:rsid w:val="019F7441"/>
    <w:rsid w:val="01B17741"/>
    <w:rsid w:val="01D1123D"/>
    <w:rsid w:val="01D55F13"/>
    <w:rsid w:val="01DE0F9E"/>
    <w:rsid w:val="01F462DE"/>
    <w:rsid w:val="021C53B8"/>
    <w:rsid w:val="023332C0"/>
    <w:rsid w:val="023A70FE"/>
    <w:rsid w:val="024C438C"/>
    <w:rsid w:val="02576AB9"/>
    <w:rsid w:val="02675CE5"/>
    <w:rsid w:val="029134F5"/>
    <w:rsid w:val="02A543F1"/>
    <w:rsid w:val="02E434AE"/>
    <w:rsid w:val="02F743CA"/>
    <w:rsid w:val="031B34FA"/>
    <w:rsid w:val="034B442F"/>
    <w:rsid w:val="036F09EC"/>
    <w:rsid w:val="037424B2"/>
    <w:rsid w:val="03900CE7"/>
    <w:rsid w:val="03CE2112"/>
    <w:rsid w:val="03ED1A6F"/>
    <w:rsid w:val="03F21EC7"/>
    <w:rsid w:val="03FA7625"/>
    <w:rsid w:val="04083A9B"/>
    <w:rsid w:val="04C45D76"/>
    <w:rsid w:val="04C60B81"/>
    <w:rsid w:val="04DB480C"/>
    <w:rsid w:val="05213E47"/>
    <w:rsid w:val="05337991"/>
    <w:rsid w:val="0590502C"/>
    <w:rsid w:val="059705FA"/>
    <w:rsid w:val="05BC1413"/>
    <w:rsid w:val="05BD0CDD"/>
    <w:rsid w:val="05BE3E29"/>
    <w:rsid w:val="05C361D6"/>
    <w:rsid w:val="05D1565E"/>
    <w:rsid w:val="05E24935"/>
    <w:rsid w:val="05ED7D4D"/>
    <w:rsid w:val="05F037C6"/>
    <w:rsid w:val="05F50C8B"/>
    <w:rsid w:val="05FD5505"/>
    <w:rsid w:val="05FF678B"/>
    <w:rsid w:val="060C7B8C"/>
    <w:rsid w:val="063F3AB9"/>
    <w:rsid w:val="06495735"/>
    <w:rsid w:val="06633455"/>
    <w:rsid w:val="066901E3"/>
    <w:rsid w:val="06A12CDC"/>
    <w:rsid w:val="06DD1535"/>
    <w:rsid w:val="078431D1"/>
    <w:rsid w:val="07C40ED7"/>
    <w:rsid w:val="0810100A"/>
    <w:rsid w:val="0859022E"/>
    <w:rsid w:val="089D5D23"/>
    <w:rsid w:val="08B40CC8"/>
    <w:rsid w:val="08BA4D8A"/>
    <w:rsid w:val="08E8575A"/>
    <w:rsid w:val="08EA5B6E"/>
    <w:rsid w:val="095A7C00"/>
    <w:rsid w:val="095F237E"/>
    <w:rsid w:val="09897992"/>
    <w:rsid w:val="09B108C0"/>
    <w:rsid w:val="09B12B57"/>
    <w:rsid w:val="09B666F1"/>
    <w:rsid w:val="09C63351"/>
    <w:rsid w:val="09F729DF"/>
    <w:rsid w:val="09FF15A1"/>
    <w:rsid w:val="0A030E0E"/>
    <w:rsid w:val="0A0F3E3C"/>
    <w:rsid w:val="0A2B3473"/>
    <w:rsid w:val="0A317520"/>
    <w:rsid w:val="0A3C686F"/>
    <w:rsid w:val="0A4E41AA"/>
    <w:rsid w:val="0A80764E"/>
    <w:rsid w:val="0A9C1552"/>
    <w:rsid w:val="0AB30820"/>
    <w:rsid w:val="0AB42909"/>
    <w:rsid w:val="0ABB506E"/>
    <w:rsid w:val="0ACF3BC0"/>
    <w:rsid w:val="0AF26A30"/>
    <w:rsid w:val="0B022E55"/>
    <w:rsid w:val="0B0429EB"/>
    <w:rsid w:val="0B2719FC"/>
    <w:rsid w:val="0B4B734D"/>
    <w:rsid w:val="0B533CB3"/>
    <w:rsid w:val="0B762A27"/>
    <w:rsid w:val="0B8B1A4C"/>
    <w:rsid w:val="0B956417"/>
    <w:rsid w:val="0BA838B7"/>
    <w:rsid w:val="0BD44ED8"/>
    <w:rsid w:val="0BEF6334"/>
    <w:rsid w:val="0C163ED9"/>
    <w:rsid w:val="0C3D0BC3"/>
    <w:rsid w:val="0C570F30"/>
    <w:rsid w:val="0CAF46BA"/>
    <w:rsid w:val="0CED4AAB"/>
    <w:rsid w:val="0CED6715"/>
    <w:rsid w:val="0D0935A9"/>
    <w:rsid w:val="0D0A1F41"/>
    <w:rsid w:val="0D0A35CB"/>
    <w:rsid w:val="0D17337B"/>
    <w:rsid w:val="0D3C1245"/>
    <w:rsid w:val="0D40113E"/>
    <w:rsid w:val="0D4A56D5"/>
    <w:rsid w:val="0D8275C3"/>
    <w:rsid w:val="0D9A0974"/>
    <w:rsid w:val="0DA03719"/>
    <w:rsid w:val="0DB82FC6"/>
    <w:rsid w:val="0DC378EA"/>
    <w:rsid w:val="0DCF246B"/>
    <w:rsid w:val="0E0E2959"/>
    <w:rsid w:val="0E2B4868"/>
    <w:rsid w:val="0E2F543E"/>
    <w:rsid w:val="0E31016F"/>
    <w:rsid w:val="0E46049D"/>
    <w:rsid w:val="0E58041E"/>
    <w:rsid w:val="0E5A1440"/>
    <w:rsid w:val="0E5C3034"/>
    <w:rsid w:val="0E8962F2"/>
    <w:rsid w:val="0E9B68DB"/>
    <w:rsid w:val="0ED26B1D"/>
    <w:rsid w:val="0F184478"/>
    <w:rsid w:val="0F3F2AB0"/>
    <w:rsid w:val="0F3F454E"/>
    <w:rsid w:val="0F7420B4"/>
    <w:rsid w:val="0FB97D0F"/>
    <w:rsid w:val="10266173"/>
    <w:rsid w:val="10524A27"/>
    <w:rsid w:val="108B5788"/>
    <w:rsid w:val="10972599"/>
    <w:rsid w:val="109A067B"/>
    <w:rsid w:val="10C055FF"/>
    <w:rsid w:val="11037D1D"/>
    <w:rsid w:val="11163158"/>
    <w:rsid w:val="11313DEA"/>
    <w:rsid w:val="11662C34"/>
    <w:rsid w:val="116D46BD"/>
    <w:rsid w:val="1172737C"/>
    <w:rsid w:val="11F54669"/>
    <w:rsid w:val="12054E4B"/>
    <w:rsid w:val="121026F2"/>
    <w:rsid w:val="124E684D"/>
    <w:rsid w:val="129F1627"/>
    <w:rsid w:val="12B16A1E"/>
    <w:rsid w:val="12FC1DE9"/>
    <w:rsid w:val="134D19E0"/>
    <w:rsid w:val="13A64B88"/>
    <w:rsid w:val="141226E4"/>
    <w:rsid w:val="141B2052"/>
    <w:rsid w:val="14387264"/>
    <w:rsid w:val="14433D6F"/>
    <w:rsid w:val="146B61E6"/>
    <w:rsid w:val="14770163"/>
    <w:rsid w:val="14921B9E"/>
    <w:rsid w:val="14CE2643"/>
    <w:rsid w:val="14DA121B"/>
    <w:rsid w:val="14EF7818"/>
    <w:rsid w:val="14F61C61"/>
    <w:rsid w:val="150A0C22"/>
    <w:rsid w:val="154523BF"/>
    <w:rsid w:val="155C2A53"/>
    <w:rsid w:val="158B4A81"/>
    <w:rsid w:val="159E4B67"/>
    <w:rsid w:val="15B67D22"/>
    <w:rsid w:val="15EC256B"/>
    <w:rsid w:val="16197596"/>
    <w:rsid w:val="16266CA9"/>
    <w:rsid w:val="165656DF"/>
    <w:rsid w:val="167D6888"/>
    <w:rsid w:val="16BB723D"/>
    <w:rsid w:val="16C45DDA"/>
    <w:rsid w:val="170F30F8"/>
    <w:rsid w:val="17447C37"/>
    <w:rsid w:val="175C3675"/>
    <w:rsid w:val="17C266EE"/>
    <w:rsid w:val="17ED693C"/>
    <w:rsid w:val="17FA36F6"/>
    <w:rsid w:val="180635E6"/>
    <w:rsid w:val="183237E4"/>
    <w:rsid w:val="184E5B1E"/>
    <w:rsid w:val="189339BF"/>
    <w:rsid w:val="18B4159C"/>
    <w:rsid w:val="18B60A25"/>
    <w:rsid w:val="18CF6DBE"/>
    <w:rsid w:val="18F85453"/>
    <w:rsid w:val="19056D8F"/>
    <w:rsid w:val="192D447F"/>
    <w:rsid w:val="194477C6"/>
    <w:rsid w:val="19537D12"/>
    <w:rsid w:val="19541716"/>
    <w:rsid w:val="196C64C6"/>
    <w:rsid w:val="199B46C2"/>
    <w:rsid w:val="19FB3BF8"/>
    <w:rsid w:val="1A1B56C8"/>
    <w:rsid w:val="1A467D24"/>
    <w:rsid w:val="1AD923B9"/>
    <w:rsid w:val="1AFB5788"/>
    <w:rsid w:val="1B29136A"/>
    <w:rsid w:val="1B625949"/>
    <w:rsid w:val="1B6715F7"/>
    <w:rsid w:val="1B893B92"/>
    <w:rsid w:val="1BB36D4A"/>
    <w:rsid w:val="1BB979D5"/>
    <w:rsid w:val="1BDF3007"/>
    <w:rsid w:val="1BE14580"/>
    <w:rsid w:val="1C0E03A0"/>
    <w:rsid w:val="1C1576D9"/>
    <w:rsid w:val="1C426807"/>
    <w:rsid w:val="1C6D330F"/>
    <w:rsid w:val="1C7D1A47"/>
    <w:rsid w:val="1CA95A3A"/>
    <w:rsid w:val="1CB72182"/>
    <w:rsid w:val="1CC112A9"/>
    <w:rsid w:val="1CC57BED"/>
    <w:rsid w:val="1CD4002E"/>
    <w:rsid w:val="1D2149C9"/>
    <w:rsid w:val="1D233F72"/>
    <w:rsid w:val="1D454DAB"/>
    <w:rsid w:val="1D4A0CF0"/>
    <w:rsid w:val="1D7A370B"/>
    <w:rsid w:val="1D8310C3"/>
    <w:rsid w:val="1D976051"/>
    <w:rsid w:val="1DA65E41"/>
    <w:rsid w:val="1DAA00DE"/>
    <w:rsid w:val="1DEB4A7D"/>
    <w:rsid w:val="1E2A1A74"/>
    <w:rsid w:val="1E3126F4"/>
    <w:rsid w:val="1E3B5B2C"/>
    <w:rsid w:val="1E495499"/>
    <w:rsid w:val="1E6657E2"/>
    <w:rsid w:val="1E826E10"/>
    <w:rsid w:val="1E9D3641"/>
    <w:rsid w:val="1F056FCC"/>
    <w:rsid w:val="1F4A08AA"/>
    <w:rsid w:val="1FBE5875"/>
    <w:rsid w:val="1FD26A68"/>
    <w:rsid w:val="20466D9C"/>
    <w:rsid w:val="20B83993"/>
    <w:rsid w:val="20D01A39"/>
    <w:rsid w:val="21180641"/>
    <w:rsid w:val="211C7F4F"/>
    <w:rsid w:val="21512FB2"/>
    <w:rsid w:val="2177524E"/>
    <w:rsid w:val="21997BCC"/>
    <w:rsid w:val="21AB0D9D"/>
    <w:rsid w:val="21AC6948"/>
    <w:rsid w:val="21C24357"/>
    <w:rsid w:val="21DE7F62"/>
    <w:rsid w:val="21DF5CBD"/>
    <w:rsid w:val="220D0BE0"/>
    <w:rsid w:val="224E4629"/>
    <w:rsid w:val="225405C2"/>
    <w:rsid w:val="226A2D2A"/>
    <w:rsid w:val="227359E3"/>
    <w:rsid w:val="227859EE"/>
    <w:rsid w:val="22847938"/>
    <w:rsid w:val="22B54DF6"/>
    <w:rsid w:val="22C72194"/>
    <w:rsid w:val="234C47C3"/>
    <w:rsid w:val="237357A2"/>
    <w:rsid w:val="237F316C"/>
    <w:rsid w:val="23AB2A09"/>
    <w:rsid w:val="23BB68E0"/>
    <w:rsid w:val="23CD1262"/>
    <w:rsid w:val="23F83E44"/>
    <w:rsid w:val="240371BF"/>
    <w:rsid w:val="244C19CB"/>
    <w:rsid w:val="247F10D1"/>
    <w:rsid w:val="24E17D9F"/>
    <w:rsid w:val="24F210CB"/>
    <w:rsid w:val="25011E26"/>
    <w:rsid w:val="25017EA9"/>
    <w:rsid w:val="250250D9"/>
    <w:rsid w:val="250C07DA"/>
    <w:rsid w:val="25212B8B"/>
    <w:rsid w:val="252E000A"/>
    <w:rsid w:val="254C4243"/>
    <w:rsid w:val="257778C4"/>
    <w:rsid w:val="257D791F"/>
    <w:rsid w:val="25C574DF"/>
    <w:rsid w:val="25EB369B"/>
    <w:rsid w:val="25EC39C6"/>
    <w:rsid w:val="25F70070"/>
    <w:rsid w:val="26362FB2"/>
    <w:rsid w:val="26520854"/>
    <w:rsid w:val="26C3458D"/>
    <w:rsid w:val="26D75E10"/>
    <w:rsid w:val="26FE78F4"/>
    <w:rsid w:val="274417F9"/>
    <w:rsid w:val="27543F80"/>
    <w:rsid w:val="27767E34"/>
    <w:rsid w:val="27BB727B"/>
    <w:rsid w:val="27C26906"/>
    <w:rsid w:val="27EA1A53"/>
    <w:rsid w:val="27EB4C40"/>
    <w:rsid w:val="27FD106A"/>
    <w:rsid w:val="28016C22"/>
    <w:rsid w:val="28147850"/>
    <w:rsid w:val="28170C71"/>
    <w:rsid w:val="28356D36"/>
    <w:rsid w:val="28427682"/>
    <w:rsid w:val="28451115"/>
    <w:rsid w:val="284C31E0"/>
    <w:rsid w:val="28750A46"/>
    <w:rsid w:val="28901816"/>
    <w:rsid w:val="289F4176"/>
    <w:rsid w:val="28C15A7C"/>
    <w:rsid w:val="291776DD"/>
    <w:rsid w:val="291B3271"/>
    <w:rsid w:val="294F43E9"/>
    <w:rsid w:val="295221ED"/>
    <w:rsid w:val="296F3983"/>
    <w:rsid w:val="29C96CFB"/>
    <w:rsid w:val="29FD04D3"/>
    <w:rsid w:val="2A023505"/>
    <w:rsid w:val="2A055731"/>
    <w:rsid w:val="2A14179D"/>
    <w:rsid w:val="2A193111"/>
    <w:rsid w:val="2A340CD4"/>
    <w:rsid w:val="2AA86D6B"/>
    <w:rsid w:val="2ACE43D8"/>
    <w:rsid w:val="2ADF1028"/>
    <w:rsid w:val="2AF97160"/>
    <w:rsid w:val="2B0B4CEE"/>
    <w:rsid w:val="2B255B02"/>
    <w:rsid w:val="2B4B0ABD"/>
    <w:rsid w:val="2BC73D16"/>
    <w:rsid w:val="2C1D79A8"/>
    <w:rsid w:val="2C3528B4"/>
    <w:rsid w:val="2C456659"/>
    <w:rsid w:val="2C4938D2"/>
    <w:rsid w:val="2C56647B"/>
    <w:rsid w:val="2C602266"/>
    <w:rsid w:val="2C6274BE"/>
    <w:rsid w:val="2C8E05D7"/>
    <w:rsid w:val="2C8F7E70"/>
    <w:rsid w:val="2C975468"/>
    <w:rsid w:val="2CA42F84"/>
    <w:rsid w:val="2CB22649"/>
    <w:rsid w:val="2CED383A"/>
    <w:rsid w:val="2D3D7587"/>
    <w:rsid w:val="2D56396E"/>
    <w:rsid w:val="2D5F3E4A"/>
    <w:rsid w:val="2D5F4E5F"/>
    <w:rsid w:val="2D634EAD"/>
    <w:rsid w:val="2D7514D8"/>
    <w:rsid w:val="2D8253EE"/>
    <w:rsid w:val="2DCF2FCB"/>
    <w:rsid w:val="2DF47A49"/>
    <w:rsid w:val="2E165B9E"/>
    <w:rsid w:val="2E190AE3"/>
    <w:rsid w:val="2E2F4F2B"/>
    <w:rsid w:val="2E8520C3"/>
    <w:rsid w:val="2EB42BF1"/>
    <w:rsid w:val="2EF36A3C"/>
    <w:rsid w:val="2F031607"/>
    <w:rsid w:val="2F23799A"/>
    <w:rsid w:val="2F5225B0"/>
    <w:rsid w:val="2F586635"/>
    <w:rsid w:val="2F601B8A"/>
    <w:rsid w:val="2F6871D8"/>
    <w:rsid w:val="2F7321B4"/>
    <w:rsid w:val="2F845D0E"/>
    <w:rsid w:val="2FA079B6"/>
    <w:rsid w:val="2FE426C4"/>
    <w:rsid w:val="30342400"/>
    <w:rsid w:val="30584E64"/>
    <w:rsid w:val="306A1B3F"/>
    <w:rsid w:val="307E7588"/>
    <w:rsid w:val="30944491"/>
    <w:rsid w:val="30AD2B3B"/>
    <w:rsid w:val="30B47666"/>
    <w:rsid w:val="30BA1F1A"/>
    <w:rsid w:val="30C17FD9"/>
    <w:rsid w:val="30C65C79"/>
    <w:rsid w:val="31223B07"/>
    <w:rsid w:val="312636E5"/>
    <w:rsid w:val="319B1372"/>
    <w:rsid w:val="319F7F4E"/>
    <w:rsid w:val="31CE3E14"/>
    <w:rsid w:val="32123F91"/>
    <w:rsid w:val="3214405D"/>
    <w:rsid w:val="327939BF"/>
    <w:rsid w:val="32BA132F"/>
    <w:rsid w:val="32CC2965"/>
    <w:rsid w:val="32EA6D4C"/>
    <w:rsid w:val="333D245A"/>
    <w:rsid w:val="333F5C6D"/>
    <w:rsid w:val="33630B20"/>
    <w:rsid w:val="33690D36"/>
    <w:rsid w:val="339869F7"/>
    <w:rsid w:val="33A36C4E"/>
    <w:rsid w:val="33D42BA1"/>
    <w:rsid w:val="33EE121C"/>
    <w:rsid w:val="33FA487A"/>
    <w:rsid w:val="341A20E2"/>
    <w:rsid w:val="342601C9"/>
    <w:rsid w:val="34304402"/>
    <w:rsid w:val="34481043"/>
    <w:rsid w:val="34555316"/>
    <w:rsid w:val="3487031D"/>
    <w:rsid w:val="3491168A"/>
    <w:rsid w:val="350B47C7"/>
    <w:rsid w:val="353D71AC"/>
    <w:rsid w:val="356404C4"/>
    <w:rsid w:val="35645131"/>
    <w:rsid w:val="3596533D"/>
    <w:rsid w:val="35BD14D6"/>
    <w:rsid w:val="35F041A0"/>
    <w:rsid w:val="365C19D2"/>
    <w:rsid w:val="36737230"/>
    <w:rsid w:val="36CB1FC7"/>
    <w:rsid w:val="3718089D"/>
    <w:rsid w:val="371F35C7"/>
    <w:rsid w:val="372157E9"/>
    <w:rsid w:val="37342B9A"/>
    <w:rsid w:val="375441A5"/>
    <w:rsid w:val="37793570"/>
    <w:rsid w:val="378B29C9"/>
    <w:rsid w:val="37A03FB4"/>
    <w:rsid w:val="37AE31EA"/>
    <w:rsid w:val="37AF4500"/>
    <w:rsid w:val="37B42B20"/>
    <w:rsid w:val="37E6222B"/>
    <w:rsid w:val="37E80537"/>
    <w:rsid w:val="37F47325"/>
    <w:rsid w:val="380C3D50"/>
    <w:rsid w:val="38140B5F"/>
    <w:rsid w:val="3836451C"/>
    <w:rsid w:val="38493F65"/>
    <w:rsid w:val="3851759C"/>
    <w:rsid w:val="38526DDD"/>
    <w:rsid w:val="38771FBA"/>
    <w:rsid w:val="38E82B1C"/>
    <w:rsid w:val="39177DBA"/>
    <w:rsid w:val="39857D99"/>
    <w:rsid w:val="39BF4459"/>
    <w:rsid w:val="3A320852"/>
    <w:rsid w:val="3A44767E"/>
    <w:rsid w:val="3A4D1079"/>
    <w:rsid w:val="3A5822A8"/>
    <w:rsid w:val="3A5A66FF"/>
    <w:rsid w:val="3A664AB6"/>
    <w:rsid w:val="3A863AA4"/>
    <w:rsid w:val="3A891A5C"/>
    <w:rsid w:val="3A8E1EDF"/>
    <w:rsid w:val="3AC57334"/>
    <w:rsid w:val="3ACE081A"/>
    <w:rsid w:val="3ADA6DDA"/>
    <w:rsid w:val="3ADE6050"/>
    <w:rsid w:val="3AEC5ABE"/>
    <w:rsid w:val="3B437A2D"/>
    <w:rsid w:val="3B587754"/>
    <w:rsid w:val="3B671AF5"/>
    <w:rsid w:val="3B7643EA"/>
    <w:rsid w:val="3B9F21C3"/>
    <w:rsid w:val="3BA0511E"/>
    <w:rsid w:val="3BA060FC"/>
    <w:rsid w:val="3BCB13F7"/>
    <w:rsid w:val="3BF97BF8"/>
    <w:rsid w:val="3C187DF8"/>
    <w:rsid w:val="3C1D0008"/>
    <w:rsid w:val="3C2352C8"/>
    <w:rsid w:val="3C5976F8"/>
    <w:rsid w:val="3CC87D2D"/>
    <w:rsid w:val="3CCB1D67"/>
    <w:rsid w:val="3D1D04F6"/>
    <w:rsid w:val="3D1D471F"/>
    <w:rsid w:val="3DCD3FE1"/>
    <w:rsid w:val="3DE26E09"/>
    <w:rsid w:val="3DEC45A2"/>
    <w:rsid w:val="3E025562"/>
    <w:rsid w:val="3E1D58B3"/>
    <w:rsid w:val="3E517657"/>
    <w:rsid w:val="3E5F6295"/>
    <w:rsid w:val="3EA61056"/>
    <w:rsid w:val="3EC653D0"/>
    <w:rsid w:val="3ED86C93"/>
    <w:rsid w:val="3EDB17F4"/>
    <w:rsid w:val="3EE447E9"/>
    <w:rsid w:val="3F0723E5"/>
    <w:rsid w:val="3F3B2E97"/>
    <w:rsid w:val="3F4F2610"/>
    <w:rsid w:val="3F9209B2"/>
    <w:rsid w:val="40245DD4"/>
    <w:rsid w:val="402A54EB"/>
    <w:rsid w:val="40306E40"/>
    <w:rsid w:val="404A78CE"/>
    <w:rsid w:val="40985E5D"/>
    <w:rsid w:val="40BA4923"/>
    <w:rsid w:val="40C60516"/>
    <w:rsid w:val="40D37DFE"/>
    <w:rsid w:val="40FE7CBC"/>
    <w:rsid w:val="411069FA"/>
    <w:rsid w:val="41361034"/>
    <w:rsid w:val="414E2340"/>
    <w:rsid w:val="41791DC8"/>
    <w:rsid w:val="419602D6"/>
    <w:rsid w:val="41B71350"/>
    <w:rsid w:val="41C27A87"/>
    <w:rsid w:val="41DA53E0"/>
    <w:rsid w:val="41F230F1"/>
    <w:rsid w:val="41F521F3"/>
    <w:rsid w:val="420B0E4F"/>
    <w:rsid w:val="424B5091"/>
    <w:rsid w:val="42534DD8"/>
    <w:rsid w:val="42CC54D7"/>
    <w:rsid w:val="42F62542"/>
    <w:rsid w:val="43237E01"/>
    <w:rsid w:val="432E09B8"/>
    <w:rsid w:val="43313A5A"/>
    <w:rsid w:val="436B40C2"/>
    <w:rsid w:val="43812C80"/>
    <w:rsid w:val="43986D22"/>
    <w:rsid w:val="43CE7A75"/>
    <w:rsid w:val="43D76590"/>
    <w:rsid w:val="43DD35F2"/>
    <w:rsid w:val="43E8369A"/>
    <w:rsid w:val="440539B0"/>
    <w:rsid w:val="440A760E"/>
    <w:rsid w:val="44161471"/>
    <w:rsid w:val="44265361"/>
    <w:rsid w:val="444B286B"/>
    <w:rsid w:val="445826AF"/>
    <w:rsid w:val="4464026F"/>
    <w:rsid w:val="446E67AC"/>
    <w:rsid w:val="4496034E"/>
    <w:rsid w:val="44C127C2"/>
    <w:rsid w:val="44E036A3"/>
    <w:rsid w:val="44F87357"/>
    <w:rsid w:val="450338AA"/>
    <w:rsid w:val="451F03F4"/>
    <w:rsid w:val="459A040C"/>
    <w:rsid w:val="460B08AF"/>
    <w:rsid w:val="46222F5F"/>
    <w:rsid w:val="46826A51"/>
    <w:rsid w:val="46A109D7"/>
    <w:rsid w:val="46AA29E3"/>
    <w:rsid w:val="46C12822"/>
    <w:rsid w:val="46D61EEB"/>
    <w:rsid w:val="47910B82"/>
    <w:rsid w:val="479E23C0"/>
    <w:rsid w:val="47BF78F1"/>
    <w:rsid w:val="47C20F59"/>
    <w:rsid w:val="47D31FFE"/>
    <w:rsid w:val="47EA3551"/>
    <w:rsid w:val="47F15CCD"/>
    <w:rsid w:val="482E1ECA"/>
    <w:rsid w:val="48333FB1"/>
    <w:rsid w:val="4843209F"/>
    <w:rsid w:val="48516003"/>
    <w:rsid w:val="485D4BB8"/>
    <w:rsid w:val="486C3CAA"/>
    <w:rsid w:val="48741417"/>
    <w:rsid w:val="489D394F"/>
    <w:rsid w:val="489F4970"/>
    <w:rsid w:val="48B7076E"/>
    <w:rsid w:val="48F54882"/>
    <w:rsid w:val="49027773"/>
    <w:rsid w:val="490C79AB"/>
    <w:rsid w:val="49162786"/>
    <w:rsid w:val="49406BDD"/>
    <w:rsid w:val="495A71FC"/>
    <w:rsid w:val="49650050"/>
    <w:rsid w:val="49652FF8"/>
    <w:rsid w:val="499C4A81"/>
    <w:rsid w:val="49D97B38"/>
    <w:rsid w:val="4A141601"/>
    <w:rsid w:val="4A1D54F7"/>
    <w:rsid w:val="4A2F1196"/>
    <w:rsid w:val="4A3254E1"/>
    <w:rsid w:val="4A36216C"/>
    <w:rsid w:val="4A4C5380"/>
    <w:rsid w:val="4A6066A9"/>
    <w:rsid w:val="4A76742B"/>
    <w:rsid w:val="4A944EBA"/>
    <w:rsid w:val="4B172BBA"/>
    <w:rsid w:val="4B265CA5"/>
    <w:rsid w:val="4B422BED"/>
    <w:rsid w:val="4B4C1D18"/>
    <w:rsid w:val="4B99086C"/>
    <w:rsid w:val="4BA25DD9"/>
    <w:rsid w:val="4BAB53AC"/>
    <w:rsid w:val="4BEE4800"/>
    <w:rsid w:val="4BF10F3C"/>
    <w:rsid w:val="4C033B46"/>
    <w:rsid w:val="4C3B0EC7"/>
    <w:rsid w:val="4C3D35E3"/>
    <w:rsid w:val="4C52390E"/>
    <w:rsid w:val="4D2A3AAB"/>
    <w:rsid w:val="4D305099"/>
    <w:rsid w:val="4D4300F2"/>
    <w:rsid w:val="4D5A20B6"/>
    <w:rsid w:val="4D6E6979"/>
    <w:rsid w:val="4D914202"/>
    <w:rsid w:val="4DA14649"/>
    <w:rsid w:val="4DB27413"/>
    <w:rsid w:val="4DD90D80"/>
    <w:rsid w:val="4DEA33F7"/>
    <w:rsid w:val="4DEC462C"/>
    <w:rsid w:val="4E4F6222"/>
    <w:rsid w:val="4E7C4112"/>
    <w:rsid w:val="4EC259C1"/>
    <w:rsid w:val="4EF200AF"/>
    <w:rsid w:val="4F381A17"/>
    <w:rsid w:val="4FAD1475"/>
    <w:rsid w:val="4FBC58D8"/>
    <w:rsid w:val="4FFA5C80"/>
    <w:rsid w:val="502040FA"/>
    <w:rsid w:val="503F6761"/>
    <w:rsid w:val="50421DCA"/>
    <w:rsid w:val="50755490"/>
    <w:rsid w:val="507A338E"/>
    <w:rsid w:val="507C4FC1"/>
    <w:rsid w:val="508569FA"/>
    <w:rsid w:val="50904F07"/>
    <w:rsid w:val="50972C96"/>
    <w:rsid w:val="50A26212"/>
    <w:rsid w:val="50C771D8"/>
    <w:rsid w:val="50E535BF"/>
    <w:rsid w:val="50E54771"/>
    <w:rsid w:val="51167641"/>
    <w:rsid w:val="5160549E"/>
    <w:rsid w:val="516532F7"/>
    <w:rsid w:val="51DF437C"/>
    <w:rsid w:val="51FB2D30"/>
    <w:rsid w:val="52144CB4"/>
    <w:rsid w:val="5262597E"/>
    <w:rsid w:val="527C2BC2"/>
    <w:rsid w:val="527D271D"/>
    <w:rsid w:val="5292273F"/>
    <w:rsid w:val="52A30310"/>
    <w:rsid w:val="52AD763A"/>
    <w:rsid w:val="52D54473"/>
    <w:rsid w:val="52F36228"/>
    <w:rsid w:val="530B0877"/>
    <w:rsid w:val="53226659"/>
    <w:rsid w:val="53423150"/>
    <w:rsid w:val="534C1F85"/>
    <w:rsid w:val="535469D4"/>
    <w:rsid w:val="53E77194"/>
    <w:rsid w:val="53EB5A67"/>
    <w:rsid w:val="540853DA"/>
    <w:rsid w:val="541A60F0"/>
    <w:rsid w:val="54264508"/>
    <w:rsid w:val="54354503"/>
    <w:rsid w:val="54775FE8"/>
    <w:rsid w:val="547C70C4"/>
    <w:rsid w:val="54DA60AE"/>
    <w:rsid w:val="54DE1B54"/>
    <w:rsid w:val="552E67F7"/>
    <w:rsid w:val="55764323"/>
    <w:rsid w:val="55A76204"/>
    <w:rsid w:val="55B5370E"/>
    <w:rsid w:val="55B85082"/>
    <w:rsid w:val="55EC5F49"/>
    <w:rsid w:val="560633C1"/>
    <w:rsid w:val="561206CA"/>
    <w:rsid w:val="561545AD"/>
    <w:rsid w:val="56492E22"/>
    <w:rsid w:val="565113CF"/>
    <w:rsid w:val="56A873BD"/>
    <w:rsid w:val="56B76C3F"/>
    <w:rsid w:val="56DA0BB2"/>
    <w:rsid w:val="574A26DF"/>
    <w:rsid w:val="575819DD"/>
    <w:rsid w:val="57C345D9"/>
    <w:rsid w:val="583B45C4"/>
    <w:rsid w:val="58496B54"/>
    <w:rsid w:val="58800C09"/>
    <w:rsid w:val="58825524"/>
    <w:rsid w:val="58A74FC8"/>
    <w:rsid w:val="58BE37F8"/>
    <w:rsid w:val="58CD62EA"/>
    <w:rsid w:val="59083BAB"/>
    <w:rsid w:val="591C716A"/>
    <w:rsid w:val="593819BB"/>
    <w:rsid w:val="593E3E9F"/>
    <w:rsid w:val="598E3C02"/>
    <w:rsid w:val="59A82A88"/>
    <w:rsid w:val="59D55A01"/>
    <w:rsid w:val="59E11B7A"/>
    <w:rsid w:val="59E706B3"/>
    <w:rsid w:val="5A574090"/>
    <w:rsid w:val="5A5E206B"/>
    <w:rsid w:val="5A6F6294"/>
    <w:rsid w:val="5A7C3A1B"/>
    <w:rsid w:val="5B2907B8"/>
    <w:rsid w:val="5B437C14"/>
    <w:rsid w:val="5B4C473C"/>
    <w:rsid w:val="5B677BF4"/>
    <w:rsid w:val="5B753AD1"/>
    <w:rsid w:val="5B8C3301"/>
    <w:rsid w:val="5B960358"/>
    <w:rsid w:val="5BA04847"/>
    <w:rsid w:val="5BF83264"/>
    <w:rsid w:val="5C0D626C"/>
    <w:rsid w:val="5C925A32"/>
    <w:rsid w:val="5CB912CF"/>
    <w:rsid w:val="5CCE781C"/>
    <w:rsid w:val="5CF60F2B"/>
    <w:rsid w:val="5D1C42B5"/>
    <w:rsid w:val="5D731F2B"/>
    <w:rsid w:val="5DEF3BB7"/>
    <w:rsid w:val="5E0D1F00"/>
    <w:rsid w:val="5E267589"/>
    <w:rsid w:val="5E6D5355"/>
    <w:rsid w:val="5E7F3DF2"/>
    <w:rsid w:val="5E8F507F"/>
    <w:rsid w:val="5EAC650D"/>
    <w:rsid w:val="5EB9642B"/>
    <w:rsid w:val="5EE43014"/>
    <w:rsid w:val="5EEA1034"/>
    <w:rsid w:val="5EEC598C"/>
    <w:rsid w:val="5F09172E"/>
    <w:rsid w:val="5F467E2A"/>
    <w:rsid w:val="5F6A6296"/>
    <w:rsid w:val="5F8F3360"/>
    <w:rsid w:val="5FCD73DD"/>
    <w:rsid w:val="5FDD7C60"/>
    <w:rsid w:val="60062096"/>
    <w:rsid w:val="601F4F65"/>
    <w:rsid w:val="604E7BFD"/>
    <w:rsid w:val="60FB3BBE"/>
    <w:rsid w:val="61543C41"/>
    <w:rsid w:val="6167418F"/>
    <w:rsid w:val="618978A6"/>
    <w:rsid w:val="61967F23"/>
    <w:rsid w:val="61B6163E"/>
    <w:rsid w:val="61BA5906"/>
    <w:rsid w:val="61E20FBC"/>
    <w:rsid w:val="61E810BC"/>
    <w:rsid w:val="61FE5754"/>
    <w:rsid w:val="620E23CA"/>
    <w:rsid w:val="62102818"/>
    <w:rsid w:val="624A2095"/>
    <w:rsid w:val="62836778"/>
    <w:rsid w:val="62857E0D"/>
    <w:rsid w:val="62AB7997"/>
    <w:rsid w:val="62CC02CB"/>
    <w:rsid w:val="62DE4166"/>
    <w:rsid w:val="62EF3833"/>
    <w:rsid w:val="63067ECF"/>
    <w:rsid w:val="631D61C5"/>
    <w:rsid w:val="638719D2"/>
    <w:rsid w:val="638A7448"/>
    <w:rsid w:val="63D32FA2"/>
    <w:rsid w:val="64327DAA"/>
    <w:rsid w:val="643915B0"/>
    <w:rsid w:val="646A006E"/>
    <w:rsid w:val="6470374C"/>
    <w:rsid w:val="647249BF"/>
    <w:rsid w:val="647B06F0"/>
    <w:rsid w:val="64F6554D"/>
    <w:rsid w:val="64F84E50"/>
    <w:rsid w:val="65212165"/>
    <w:rsid w:val="65280967"/>
    <w:rsid w:val="6529747B"/>
    <w:rsid w:val="654E2F30"/>
    <w:rsid w:val="655E4797"/>
    <w:rsid w:val="65722FD4"/>
    <w:rsid w:val="65820706"/>
    <w:rsid w:val="658B3251"/>
    <w:rsid w:val="659E6372"/>
    <w:rsid w:val="65C63FE3"/>
    <w:rsid w:val="66004F01"/>
    <w:rsid w:val="6609392E"/>
    <w:rsid w:val="660A6DB1"/>
    <w:rsid w:val="66250B19"/>
    <w:rsid w:val="66366EBA"/>
    <w:rsid w:val="664663AB"/>
    <w:rsid w:val="66501C40"/>
    <w:rsid w:val="66824240"/>
    <w:rsid w:val="669155F7"/>
    <w:rsid w:val="66A259D9"/>
    <w:rsid w:val="66AF0617"/>
    <w:rsid w:val="66C03D83"/>
    <w:rsid w:val="66D44B16"/>
    <w:rsid w:val="67010E02"/>
    <w:rsid w:val="6719485A"/>
    <w:rsid w:val="672107DF"/>
    <w:rsid w:val="67280241"/>
    <w:rsid w:val="67466BCF"/>
    <w:rsid w:val="67844ABD"/>
    <w:rsid w:val="67C07D22"/>
    <w:rsid w:val="67C61613"/>
    <w:rsid w:val="67D05EC2"/>
    <w:rsid w:val="67D36E8D"/>
    <w:rsid w:val="67DF4840"/>
    <w:rsid w:val="67F137D5"/>
    <w:rsid w:val="681A5D1F"/>
    <w:rsid w:val="68217A18"/>
    <w:rsid w:val="683547F7"/>
    <w:rsid w:val="683A7672"/>
    <w:rsid w:val="683D1973"/>
    <w:rsid w:val="683E761C"/>
    <w:rsid w:val="685E5676"/>
    <w:rsid w:val="68616631"/>
    <w:rsid w:val="68623CE4"/>
    <w:rsid w:val="686E6129"/>
    <w:rsid w:val="68A1687C"/>
    <w:rsid w:val="68D72FCD"/>
    <w:rsid w:val="68E11616"/>
    <w:rsid w:val="68EC5ADC"/>
    <w:rsid w:val="69135B83"/>
    <w:rsid w:val="6938587E"/>
    <w:rsid w:val="694C4A31"/>
    <w:rsid w:val="69856309"/>
    <w:rsid w:val="699232E1"/>
    <w:rsid w:val="699941C6"/>
    <w:rsid w:val="699976EA"/>
    <w:rsid w:val="69C5778F"/>
    <w:rsid w:val="69D27622"/>
    <w:rsid w:val="69ED3265"/>
    <w:rsid w:val="6A0224F5"/>
    <w:rsid w:val="6A5A31FC"/>
    <w:rsid w:val="6A770068"/>
    <w:rsid w:val="6A8207E0"/>
    <w:rsid w:val="6A9D3E35"/>
    <w:rsid w:val="6AA25366"/>
    <w:rsid w:val="6B1061BB"/>
    <w:rsid w:val="6B2F2FEA"/>
    <w:rsid w:val="6B7D035D"/>
    <w:rsid w:val="6B8A714F"/>
    <w:rsid w:val="6B9D695F"/>
    <w:rsid w:val="6BB31EA7"/>
    <w:rsid w:val="6BE1709B"/>
    <w:rsid w:val="6C154750"/>
    <w:rsid w:val="6CDE6CA9"/>
    <w:rsid w:val="6D1E65C7"/>
    <w:rsid w:val="6D3614C7"/>
    <w:rsid w:val="6D3B3476"/>
    <w:rsid w:val="6D3C5ABD"/>
    <w:rsid w:val="6E1566E0"/>
    <w:rsid w:val="6E3A2D66"/>
    <w:rsid w:val="6E95081C"/>
    <w:rsid w:val="6E9968FE"/>
    <w:rsid w:val="6EE64186"/>
    <w:rsid w:val="6EF42C77"/>
    <w:rsid w:val="6F6253E0"/>
    <w:rsid w:val="6F625A14"/>
    <w:rsid w:val="6FC90F0B"/>
    <w:rsid w:val="6FCA22A3"/>
    <w:rsid w:val="6FE55ACA"/>
    <w:rsid w:val="6FEB0581"/>
    <w:rsid w:val="706E50C0"/>
    <w:rsid w:val="70DA32A6"/>
    <w:rsid w:val="70E01009"/>
    <w:rsid w:val="70E317E7"/>
    <w:rsid w:val="70ED4246"/>
    <w:rsid w:val="70EE1F26"/>
    <w:rsid w:val="710B4B04"/>
    <w:rsid w:val="7117119A"/>
    <w:rsid w:val="71596AF6"/>
    <w:rsid w:val="71633430"/>
    <w:rsid w:val="71702154"/>
    <w:rsid w:val="717B7C26"/>
    <w:rsid w:val="71DA0900"/>
    <w:rsid w:val="72045BB5"/>
    <w:rsid w:val="722C40A6"/>
    <w:rsid w:val="727D4AF5"/>
    <w:rsid w:val="72AF0B9A"/>
    <w:rsid w:val="72C02149"/>
    <w:rsid w:val="73154FD7"/>
    <w:rsid w:val="73255EF8"/>
    <w:rsid w:val="73C20A5C"/>
    <w:rsid w:val="740B262A"/>
    <w:rsid w:val="74247876"/>
    <w:rsid w:val="74306D2C"/>
    <w:rsid w:val="74473732"/>
    <w:rsid w:val="74535CCA"/>
    <w:rsid w:val="746D3A32"/>
    <w:rsid w:val="747B1414"/>
    <w:rsid w:val="74E60282"/>
    <w:rsid w:val="75095F53"/>
    <w:rsid w:val="75441569"/>
    <w:rsid w:val="755A3C18"/>
    <w:rsid w:val="757E23E4"/>
    <w:rsid w:val="75AF03D0"/>
    <w:rsid w:val="75B149C7"/>
    <w:rsid w:val="75B45452"/>
    <w:rsid w:val="75BC51D0"/>
    <w:rsid w:val="75BE23F4"/>
    <w:rsid w:val="75EE0EF3"/>
    <w:rsid w:val="760F7A60"/>
    <w:rsid w:val="763F02DD"/>
    <w:rsid w:val="765E6ACD"/>
    <w:rsid w:val="76745605"/>
    <w:rsid w:val="76954CF7"/>
    <w:rsid w:val="76AE2875"/>
    <w:rsid w:val="76AF06E6"/>
    <w:rsid w:val="76B006CC"/>
    <w:rsid w:val="76CB6B69"/>
    <w:rsid w:val="76ED0B49"/>
    <w:rsid w:val="76EF1F9A"/>
    <w:rsid w:val="77426605"/>
    <w:rsid w:val="780E66BC"/>
    <w:rsid w:val="782228B7"/>
    <w:rsid w:val="78223E86"/>
    <w:rsid w:val="78305AE1"/>
    <w:rsid w:val="78733D12"/>
    <w:rsid w:val="78750F8D"/>
    <w:rsid w:val="787769B5"/>
    <w:rsid w:val="789471D5"/>
    <w:rsid w:val="789D638B"/>
    <w:rsid w:val="78B438F3"/>
    <w:rsid w:val="78DD1797"/>
    <w:rsid w:val="78DD1C79"/>
    <w:rsid w:val="78EF5568"/>
    <w:rsid w:val="790C708B"/>
    <w:rsid w:val="79432D09"/>
    <w:rsid w:val="797A5806"/>
    <w:rsid w:val="799105E9"/>
    <w:rsid w:val="79FB30DD"/>
    <w:rsid w:val="7A3F341B"/>
    <w:rsid w:val="7A7F58FF"/>
    <w:rsid w:val="7A8C6818"/>
    <w:rsid w:val="7A8E51C0"/>
    <w:rsid w:val="7A9F411A"/>
    <w:rsid w:val="7AAA77FD"/>
    <w:rsid w:val="7AE90A6B"/>
    <w:rsid w:val="7AEF02AD"/>
    <w:rsid w:val="7B180A13"/>
    <w:rsid w:val="7B1C0E5C"/>
    <w:rsid w:val="7B397573"/>
    <w:rsid w:val="7B514AAB"/>
    <w:rsid w:val="7B603DB0"/>
    <w:rsid w:val="7B7036F4"/>
    <w:rsid w:val="7B8A2718"/>
    <w:rsid w:val="7BCC6881"/>
    <w:rsid w:val="7BD54D49"/>
    <w:rsid w:val="7BEC55F2"/>
    <w:rsid w:val="7C0379C0"/>
    <w:rsid w:val="7C2A58B0"/>
    <w:rsid w:val="7C3330C8"/>
    <w:rsid w:val="7C5643D7"/>
    <w:rsid w:val="7C56536B"/>
    <w:rsid w:val="7C5A40DE"/>
    <w:rsid w:val="7CD940B5"/>
    <w:rsid w:val="7CE86CA7"/>
    <w:rsid w:val="7CE87FCB"/>
    <w:rsid w:val="7CF7325A"/>
    <w:rsid w:val="7D064990"/>
    <w:rsid w:val="7D0F66C2"/>
    <w:rsid w:val="7D291E5B"/>
    <w:rsid w:val="7D9A6DB2"/>
    <w:rsid w:val="7DAE05F7"/>
    <w:rsid w:val="7DCB32CB"/>
    <w:rsid w:val="7DD90E26"/>
    <w:rsid w:val="7DEA6B7B"/>
    <w:rsid w:val="7E4E2F22"/>
    <w:rsid w:val="7EA678AB"/>
    <w:rsid w:val="7ECF5E07"/>
    <w:rsid w:val="7ED36730"/>
    <w:rsid w:val="7EEE42B9"/>
    <w:rsid w:val="7F2B06EF"/>
    <w:rsid w:val="7F2E6D52"/>
    <w:rsid w:val="7F50406E"/>
    <w:rsid w:val="7F706DB9"/>
    <w:rsid w:val="7F885F46"/>
    <w:rsid w:val="7F900C80"/>
    <w:rsid w:val="7FD97D68"/>
    <w:rsid w:val="7FE703A8"/>
    <w:rsid w:val="7FF9230A"/>
    <w:rsid w:val="7FFE40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0"/>
    <w:qFormat/>
    <w:uiPriority w:val="99"/>
    <w:pPr>
      <w:spacing w:beforeLines="30"/>
    </w:pPr>
    <w:rPr>
      <w:rFonts w:ascii="仿宋_GB2312" w:eastAsia="仿宋_GB2312"/>
      <w:kern w:val="0"/>
      <w:sz w:val="30"/>
    </w:r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6"/>
    <w:semiHidden/>
    <w:unhideWhenUsed/>
    <w:qFormat/>
    <w:uiPriority w:val="99"/>
    <w:rPr>
      <w:sz w:val="18"/>
      <w:szCs w:val="18"/>
    </w:rPr>
  </w:style>
  <w:style w:type="paragraph" w:styleId="7">
    <w:name w:val="footer"/>
    <w:basedOn w:val="1"/>
    <w:link w:val="18"/>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link w:val="1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0">
    <w:name w:val="toc 2"/>
    <w:basedOn w:val="1"/>
    <w:next w:val="1"/>
    <w:unhideWhenUsed/>
    <w:qFormat/>
    <w:uiPriority w:val="39"/>
    <w:pPr>
      <w:tabs>
        <w:tab w:val="right" w:leader="dot" w:pos="8296"/>
      </w:tabs>
      <w:ind w:left="420" w:leftChars="200"/>
    </w:pPr>
  </w:style>
  <w:style w:type="character" w:styleId="13">
    <w:name w:val="Strong"/>
    <w:basedOn w:val="12"/>
    <w:qFormat/>
    <w:uiPriority w:val="99"/>
    <w:rPr>
      <w:b/>
    </w:rPr>
  </w:style>
  <w:style w:type="character" w:styleId="14">
    <w:name w:val="Hyperlink"/>
    <w:basedOn w:val="12"/>
    <w:unhideWhenUsed/>
    <w:qFormat/>
    <w:uiPriority w:val="99"/>
    <w:rPr>
      <w:color w:val="0000FF" w:themeColor="hyperlink"/>
      <w:u w:val="single"/>
      <w14:textFill>
        <w14:solidFill>
          <w14:schemeClr w14:val="hlink"/>
        </w14:solidFill>
      </w14:textFill>
    </w:rPr>
  </w:style>
  <w:style w:type="character" w:customStyle="1" w:styleId="15">
    <w:name w:val="Header Char"/>
    <w:basedOn w:val="12"/>
    <w:semiHidden/>
    <w:qFormat/>
    <w:uiPriority w:val="99"/>
    <w:rPr>
      <w:rFonts w:ascii="Times New Roman" w:hAnsi="Times New Roman"/>
      <w:sz w:val="18"/>
      <w:szCs w:val="18"/>
    </w:rPr>
  </w:style>
  <w:style w:type="character" w:customStyle="1" w:styleId="16">
    <w:name w:val="页眉 Char"/>
    <w:link w:val="8"/>
    <w:semiHidden/>
    <w:qFormat/>
    <w:locked/>
    <w:uiPriority w:val="99"/>
    <w:rPr>
      <w:sz w:val="18"/>
    </w:rPr>
  </w:style>
  <w:style w:type="character" w:customStyle="1" w:styleId="17">
    <w:name w:val="Footer Char"/>
    <w:basedOn w:val="12"/>
    <w:semiHidden/>
    <w:qFormat/>
    <w:uiPriority w:val="99"/>
    <w:rPr>
      <w:rFonts w:ascii="Times New Roman" w:hAnsi="Times New Roman"/>
      <w:sz w:val="18"/>
      <w:szCs w:val="18"/>
    </w:rPr>
  </w:style>
  <w:style w:type="character" w:customStyle="1" w:styleId="18">
    <w:name w:val="页脚 Char"/>
    <w:link w:val="7"/>
    <w:qFormat/>
    <w:locked/>
    <w:uiPriority w:val="99"/>
    <w:rPr>
      <w:sz w:val="18"/>
    </w:rPr>
  </w:style>
  <w:style w:type="character" w:customStyle="1" w:styleId="19">
    <w:name w:val="Body Text Char"/>
    <w:basedOn w:val="12"/>
    <w:semiHidden/>
    <w:qFormat/>
    <w:uiPriority w:val="99"/>
    <w:rPr>
      <w:rFonts w:ascii="Times New Roman" w:hAnsi="Times New Roman"/>
      <w:szCs w:val="24"/>
    </w:rPr>
  </w:style>
  <w:style w:type="character" w:customStyle="1" w:styleId="20">
    <w:name w:val="正文文本 Char"/>
    <w:link w:val="4"/>
    <w:qFormat/>
    <w:locked/>
    <w:uiPriority w:val="99"/>
    <w:rPr>
      <w:rFonts w:ascii="仿宋_GB2312" w:hAnsi="Times New Roman" w:eastAsia="仿宋_GB2312"/>
      <w:sz w:val="24"/>
    </w:rPr>
  </w:style>
  <w:style w:type="paragraph" w:customStyle="1" w:styleId="21">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2">
    <w:name w:val="List Paragraph"/>
    <w:basedOn w:val="1"/>
    <w:qFormat/>
    <w:uiPriority w:val="34"/>
    <w:pPr>
      <w:ind w:firstLine="420" w:firstLineChars="200"/>
    </w:pPr>
  </w:style>
  <w:style w:type="character" w:customStyle="1" w:styleId="23">
    <w:name w:val="标题 1 Char"/>
    <w:basedOn w:val="12"/>
    <w:link w:val="2"/>
    <w:qFormat/>
    <w:uiPriority w:val="9"/>
    <w:rPr>
      <w:rFonts w:ascii="Times New Roman" w:hAnsi="Times New Roman"/>
      <w:b/>
      <w:bCs/>
      <w:kern w:val="44"/>
      <w:sz w:val="44"/>
      <w:szCs w:val="44"/>
    </w:rPr>
  </w:style>
  <w:style w:type="character" w:customStyle="1" w:styleId="24">
    <w:name w:val="标题 2 Char"/>
    <w:basedOn w:val="12"/>
    <w:link w:val="3"/>
    <w:qFormat/>
    <w:uiPriority w:val="9"/>
    <w:rPr>
      <w:rFonts w:asciiTheme="majorHAnsi" w:hAnsiTheme="majorHAnsi" w:eastAsiaTheme="majorEastAsia" w:cstheme="majorBidi"/>
      <w:b/>
      <w:bCs/>
      <w:kern w:val="2"/>
      <w:sz w:val="32"/>
      <w:szCs w:val="32"/>
    </w:rPr>
  </w:style>
  <w:style w:type="paragraph" w:customStyle="1" w:styleId="2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6">
    <w:name w:val="批注框文本 Char"/>
    <w:basedOn w:val="12"/>
    <w:link w:val="6"/>
    <w:semiHidden/>
    <w:qFormat/>
    <w:uiPriority w:val="99"/>
    <w:rPr>
      <w:rFonts w:ascii="Times New Roman" w:hAnsi="Times New Roman"/>
      <w:kern w:val="2"/>
      <w:sz w:val="18"/>
      <w:szCs w:val="18"/>
    </w:rPr>
  </w:style>
  <w:style w:type="character" w:customStyle="1" w:styleId="27">
    <w:name w:val="font71"/>
    <w:basedOn w:val="12"/>
    <w:qFormat/>
    <w:uiPriority w:val="0"/>
    <w:rPr>
      <w:rFonts w:hint="eastAsia" w:ascii="宋体" w:hAnsi="宋体" w:eastAsia="宋体" w:cs="宋体"/>
      <w:color w:val="000000"/>
      <w:sz w:val="24"/>
      <w:szCs w:val="24"/>
      <w:u w:val="none"/>
    </w:rPr>
  </w:style>
  <w:style w:type="character" w:customStyle="1" w:styleId="28">
    <w:name w:val="font11"/>
    <w:basedOn w:val="12"/>
    <w:qFormat/>
    <w:uiPriority w:val="0"/>
    <w:rPr>
      <w:rFonts w:hint="default" w:ascii="Times New Roman" w:hAnsi="Times New Roman" w:cs="Times New Roman"/>
      <w:color w:val="000000"/>
      <w:sz w:val="24"/>
      <w:szCs w:val="24"/>
      <w:u w:val="none"/>
    </w:rPr>
  </w:style>
  <w:style w:type="character" w:customStyle="1" w:styleId="29">
    <w:name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A39B13-9B89-4114-8BE3-5344B93C7A90}">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14</Pages>
  <Words>3611</Words>
  <Characters>3916</Characters>
  <Lines>68</Lines>
  <Paragraphs>19</Paragraphs>
  <TotalTime>2</TotalTime>
  <ScaleCrop>false</ScaleCrop>
  <LinksUpToDate>false</LinksUpToDate>
  <CharactersWithSpaces>3975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贺堃</cp:lastModifiedBy>
  <cp:lastPrinted>2020-08-19T09:57:00Z</cp:lastPrinted>
  <dcterms:modified xsi:type="dcterms:W3CDTF">2022-11-14T01:01:59Z</dcterms:modified>
  <dc:title>四川省***</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291572335_embed</vt:lpwstr>
  </property>
  <property fmtid="{D5CDD505-2E9C-101B-9397-08002B2CF9AE}" pid="4" name="ICV">
    <vt:lpwstr>EE322517613D40818D0E44D8ED58DBF2</vt:lpwstr>
  </property>
</Properties>
</file>