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val="0"/>
        <w:snapToGrid w:val="0"/>
        <w:spacing w:line="360" w:lineRule="auto"/>
        <w:jc w:val="center"/>
        <w:outlineLvl w:val="0"/>
        <w:rPr>
          <w:rFonts w:hint="default" w:ascii="Times New Roman" w:hAnsi="Times New Roman" w:eastAsia="方正小标宋简体" w:cs="Times New Roman"/>
          <w:b/>
          <w:bCs/>
          <w:color w:val="000000"/>
          <w:sz w:val="72"/>
          <w:szCs w:val="72"/>
        </w:rPr>
      </w:pPr>
      <w:bookmarkStart w:id="0" w:name="_Toc15306267"/>
    </w:p>
    <w:p>
      <w:pPr>
        <w:pageBreakBefore w:val="0"/>
        <w:kinsoku/>
        <w:wordWrap/>
        <w:overflowPunct/>
        <w:topLinePunct w:val="0"/>
        <w:bidi w:val="0"/>
        <w:adjustRightInd w:val="0"/>
        <w:snapToGrid w:val="0"/>
        <w:spacing w:line="360" w:lineRule="auto"/>
        <w:jc w:val="center"/>
        <w:outlineLvl w:val="0"/>
        <w:rPr>
          <w:rFonts w:hint="default" w:ascii="Times New Roman" w:hAnsi="Times New Roman" w:eastAsia="方正小标宋简体" w:cs="Times New Roman"/>
          <w:b/>
          <w:bCs/>
          <w:color w:val="000000"/>
          <w:sz w:val="72"/>
          <w:szCs w:val="72"/>
        </w:rPr>
      </w:pPr>
    </w:p>
    <w:p>
      <w:pPr>
        <w:pageBreakBefore w:val="0"/>
        <w:kinsoku/>
        <w:wordWrap/>
        <w:overflowPunct/>
        <w:topLinePunct w:val="0"/>
        <w:bidi w:val="0"/>
        <w:adjustRightInd w:val="0"/>
        <w:snapToGrid w:val="0"/>
        <w:spacing w:line="360" w:lineRule="auto"/>
        <w:jc w:val="center"/>
        <w:outlineLvl w:val="0"/>
        <w:rPr>
          <w:rFonts w:hint="default" w:ascii="Times New Roman" w:hAnsi="Times New Roman" w:eastAsia="方正小标宋简体" w:cs="Times New Roman"/>
          <w:b/>
          <w:bCs/>
          <w:color w:val="000000"/>
          <w:sz w:val="72"/>
          <w:szCs w:val="72"/>
        </w:rPr>
      </w:pPr>
    </w:p>
    <w:p>
      <w:pPr>
        <w:pageBreakBefore w:val="0"/>
        <w:kinsoku/>
        <w:wordWrap/>
        <w:overflowPunct/>
        <w:topLinePunct w:val="0"/>
        <w:bidi w:val="0"/>
        <w:adjustRightInd w:val="0"/>
        <w:snapToGrid w:val="0"/>
        <w:spacing w:line="360" w:lineRule="auto"/>
        <w:jc w:val="center"/>
        <w:outlineLvl w:val="0"/>
        <w:rPr>
          <w:rFonts w:hint="default" w:ascii="Times New Roman" w:hAnsi="Times New Roman" w:eastAsia="方正小标宋简体" w:cs="Times New Roman"/>
          <w:b/>
          <w:bCs/>
          <w:color w:val="000000"/>
          <w:sz w:val="72"/>
          <w:szCs w:val="72"/>
        </w:rPr>
      </w:pPr>
    </w:p>
    <w:p>
      <w:pPr>
        <w:pageBreakBefore w:val="0"/>
        <w:kinsoku/>
        <w:wordWrap/>
        <w:overflowPunct/>
        <w:topLinePunct w:val="0"/>
        <w:bidi w:val="0"/>
        <w:adjustRightInd w:val="0"/>
        <w:snapToGrid w:val="0"/>
        <w:spacing w:line="360" w:lineRule="auto"/>
        <w:jc w:val="center"/>
        <w:outlineLvl w:val="0"/>
        <w:rPr>
          <w:rFonts w:hint="eastAsia" w:ascii="方正小标宋简体" w:hAnsi="方正小标宋简体" w:eastAsia="方正小标宋简体" w:cs="方正小标宋简体"/>
          <w:b/>
          <w:bCs/>
          <w:color w:val="000000"/>
          <w:sz w:val="72"/>
          <w:szCs w:val="72"/>
          <w:lang w:eastAsia="zh-CN"/>
        </w:rPr>
      </w:pPr>
      <w:bookmarkStart w:id="1" w:name="_Toc15377193"/>
      <w:bookmarkStart w:id="2" w:name="_Toc15378441"/>
      <w:bookmarkStart w:id="3" w:name="_Toc15396597"/>
      <w:bookmarkStart w:id="4" w:name="_Toc15377425"/>
      <w:bookmarkStart w:id="5" w:name="_Toc15396475"/>
      <w:bookmarkStart w:id="6" w:name="_Toc24726"/>
      <w:bookmarkStart w:id="7" w:name="_Toc23939"/>
      <w:bookmarkStart w:id="8" w:name="_Toc20864"/>
      <w:bookmarkStart w:id="9" w:name="_Toc8641"/>
      <w:r>
        <w:rPr>
          <w:rFonts w:hint="eastAsia" w:ascii="方正小标宋简体" w:hAnsi="方正小标宋简体" w:eastAsia="方正小标宋简体" w:cs="方正小标宋简体"/>
          <w:b/>
          <w:bCs/>
          <w:color w:val="000000"/>
          <w:sz w:val="72"/>
          <w:szCs w:val="72"/>
        </w:rPr>
        <w:t>201</w:t>
      </w:r>
      <w:r>
        <w:rPr>
          <w:rFonts w:hint="eastAsia" w:ascii="方正小标宋简体" w:hAnsi="方正小标宋简体" w:eastAsia="方正小标宋简体" w:cs="方正小标宋简体"/>
          <w:b/>
          <w:bCs/>
          <w:color w:val="000000"/>
          <w:sz w:val="72"/>
          <w:szCs w:val="72"/>
          <w:lang w:val="en-US" w:eastAsia="zh-CN"/>
        </w:rPr>
        <w:t>9</w:t>
      </w:r>
      <w:r>
        <w:rPr>
          <w:rFonts w:hint="eastAsia" w:ascii="方正小标宋简体" w:hAnsi="方正小标宋简体" w:eastAsia="方正小标宋简体" w:cs="方正小标宋简体"/>
          <w:b/>
          <w:bCs/>
          <w:color w:val="000000"/>
          <w:sz w:val="72"/>
          <w:szCs w:val="72"/>
        </w:rPr>
        <w:t>年度</w:t>
      </w:r>
      <w:bookmarkEnd w:id="1"/>
      <w:bookmarkEnd w:id="2"/>
      <w:bookmarkEnd w:id="3"/>
      <w:bookmarkEnd w:id="4"/>
      <w:bookmarkEnd w:id="5"/>
      <w:bookmarkStart w:id="10" w:name="_Toc15377426"/>
      <w:bookmarkStart w:id="11" w:name="_Toc15396476"/>
      <w:bookmarkStart w:id="12" w:name="_Toc15378442"/>
      <w:bookmarkStart w:id="13" w:name="_Toc15377194"/>
      <w:bookmarkStart w:id="14" w:name="_Toc15396598"/>
      <w:r>
        <w:rPr>
          <w:rFonts w:hint="eastAsia" w:ascii="方正小标宋简体" w:hAnsi="方正小标宋简体" w:eastAsia="方正小标宋简体" w:cs="方正小标宋简体"/>
          <w:b/>
          <w:bCs/>
          <w:color w:val="000000"/>
          <w:sz w:val="72"/>
          <w:szCs w:val="72"/>
          <w:lang w:eastAsia="zh-CN"/>
        </w:rPr>
        <w:t>中共</w:t>
      </w:r>
      <w:r>
        <w:rPr>
          <w:rFonts w:hint="eastAsia" w:ascii="方正小标宋简体" w:hAnsi="方正小标宋简体" w:eastAsia="方正小标宋简体" w:cs="方正小标宋简体"/>
          <w:b/>
          <w:bCs/>
          <w:color w:val="000000"/>
          <w:sz w:val="72"/>
          <w:szCs w:val="72"/>
        </w:rPr>
        <w:t>四川省</w:t>
      </w:r>
      <w:bookmarkEnd w:id="0"/>
      <w:bookmarkStart w:id="15" w:name="_Toc15306268"/>
      <w:r>
        <w:rPr>
          <w:rFonts w:hint="eastAsia" w:ascii="方正小标宋简体" w:hAnsi="方正小标宋简体" w:eastAsia="方正小标宋简体" w:cs="方正小标宋简体"/>
          <w:b/>
          <w:bCs/>
          <w:color w:val="000000"/>
          <w:sz w:val="72"/>
          <w:szCs w:val="72"/>
          <w:lang w:eastAsia="zh-CN"/>
        </w:rPr>
        <w:t>委</w:t>
      </w:r>
      <w:bookmarkEnd w:id="6"/>
      <w:bookmarkEnd w:id="7"/>
      <w:bookmarkEnd w:id="8"/>
      <w:bookmarkEnd w:id="9"/>
    </w:p>
    <w:p>
      <w:pPr>
        <w:pageBreakBefore w:val="0"/>
        <w:kinsoku/>
        <w:wordWrap/>
        <w:overflowPunct/>
        <w:topLinePunct w:val="0"/>
        <w:bidi w:val="0"/>
        <w:adjustRightInd w:val="0"/>
        <w:snapToGrid w:val="0"/>
        <w:spacing w:line="360" w:lineRule="auto"/>
        <w:jc w:val="center"/>
        <w:outlineLvl w:val="0"/>
        <w:rPr>
          <w:rFonts w:hint="default" w:ascii="Times New Roman" w:hAnsi="Times New Roman" w:eastAsia="方正小标宋简体" w:cs="Times New Roman"/>
          <w:b/>
          <w:bCs/>
          <w:color w:val="000000"/>
          <w:sz w:val="72"/>
          <w:szCs w:val="72"/>
        </w:rPr>
      </w:pPr>
      <w:bookmarkStart w:id="16" w:name="_Toc11522"/>
      <w:bookmarkStart w:id="17" w:name="_Toc5414"/>
      <w:bookmarkStart w:id="18" w:name="_Toc5019"/>
      <w:bookmarkStart w:id="19" w:name="_Toc20047"/>
      <w:r>
        <w:rPr>
          <w:rFonts w:hint="eastAsia" w:ascii="方正小标宋简体" w:hAnsi="方正小标宋简体" w:eastAsia="方正小标宋简体" w:cs="方正小标宋简体"/>
          <w:b/>
          <w:bCs/>
          <w:color w:val="000000"/>
          <w:sz w:val="72"/>
          <w:szCs w:val="72"/>
          <w:lang w:eastAsia="zh-CN"/>
        </w:rPr>
        <w:t>办公厅</w:t>
      </w:r>
      <w:r>
        <w:rPr>
          <w:rFonts w:hint="eastAsia" w:ascii="方正小标宋简体" w:hAnsi="方正小标宋简体" w:eastAsia="方正小标宋简体" w:cs="方正小标宋简体"/>
          <w:b/>
          <w:bCs/>
          <w:color w:val="000000"/>
          <w:sz w:val="72"/>
          <w:szCs w:val="72"/>
        </w:rPr>
        <w:t>部门决算</w:t>
      </w:r>
      <w:bookmarkEnd w:id="10"/>
      <w:bookmarkEnd w:id="11"/>
      <w:bookmarkEnd w:id="12"/>
      <w:bookmarkEnd w:id="13"/>
      <w:bookmarkEnd w:id="14"/>
      <w:bookmarkEnd w:id="15"/>
      <w:bookmarkEnd w:id="16"/>
      <w:bookmarkEnd w:id="17"/>
      <w:bookmarkEnd w:id="18"/>
      <w:bookmarkEnd w:id="19"/>
    </w:p>
    <w:p>
      <w:pPr>
        <w:pageBreakBefore w:val="0"/>
        <w:widowControl/>
        <w:kinsoku/>
        <w:wordWrap/>
        <w:overflowPunct/>
        <w:topLinePunct w:val="0"/>
        <w:bidi w:val="0"/>
        <w:adjustRightInd w:val="0"/>
        <w:snapToGrid w:val="0"/>
        <w:spacing w:line="360" w:lineRule="auto"/>
        <w:jc w:val="center"/>
        <w:rPr>
          <w:rFonts w:hint="default" w:ascii="Times New Roman" w:hAnsi="Times New Roman" w:eastAsia="黑体" w:cs="Times New Roman"/>
          <w:b/>
          <w:bCs/>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ageBreakBefore w:val="0"/>
        <w:widowControl/>
        <w:kinsoku/>
        <w:wordWrap/>
        <w:overflowPunct/>
        <w:topLinePunct w:val="0"/>
        <w:bidi w:val="0"/>
        <w:adjustRightInd w:val="0"/>
        <w:snapToGrid w:val="0"/>
        <w:spacing w:line="360" w:lineRule="auto"/>
        <w:jc w:val="center"/>
        <w:rPr>
          <w:rFonts w:hint="default" w:ascii="Times New Roman" w:hAnsi="Times New Roman" w:eastAsia="黑体" w:cs="Times New Roman"/>
          <w:b/>
          <w:bCs/>
          <w:color w:val="000000"/>
          <w:sz w:val="48"/>
          <w:szCs w:val="48"/>
        </w:rPr>
      </w:pPr>
      <w:r>
        <w:rPr>
          <w:rFonts w:hint="default" w:ascii="Times New Roman" w:hAnsi="Times New Roman" w:eastAsia="黑体" w:cs="Times New Roman"/>
          <w:b/>
          <w:bCs/>
          <w:color w:val="000000"/>
          <w:sz w:val="48"/>
          <w:szCs w:val="48"/>
        </w:rPr>
        <w:t>目录</w:t>
      </w:r>
    </w:p>
    <w:p>
      <w:pPr>
        <w:pageBreakBefore w:val="0"/>
        <w:widowControl/>
        <w:tabs>
          <w:tab w:val="right" w:leader="dot" w:pos="8306"/>
        </w:tabs>
        <w:kinsoku/>
        <w:wordWrap/>
        <w:overflowPunct/>
        <w:topLinePunct w:val="0"/>
        <w:bidi w:val="0"/>
        <w:adjustRightInd w:val="0"/>
        <w:snapToGrid w:val="0"/>
        <w:spacing w:line="360" w:lineRule="auto"/>
        <w:jc w:val="center"/>
        <w:rPr>
          <w:rFonts w:hint="default" w:ascii="Times New Roman" w:hAnsi="Times New Roman" w:eastAsia="仿宋" w:cs="Times New Roman"/>
          <w:bCs/>
          <w:color w:val="000000"/>
          <w:kern w:val="2"/>
          <w:sz w:val="21"/>
          <w:szCs w:val="24"/>
          <w:lang w:val="en-US" w:eastAsia="zh-CN" w:bidi="ar-SA"/>
        </w:rPr>
      </w:pPr>
      <w:r>
        <w:rPr>
          <w:rFonts w:hint="eastAsia" w:ascii="黑体" w:hAnsi="黑体" w:eastAsia="黑体" w:cs="黑体"/>
          <w:b/>
          <w:bCs/>
        </w:rPr>
        <w:t>公开时间：20</w:t>
      </w:r>
      <w:r>
        <w:rPr>
          <w:rFonts w:hint="eastAsia" w:ascii="黑体" w:hAnsi="黑体" w:eastAsia="黑体" w:cs="黑体"/>
          <w:b/>
          <w:bCs/>
          <w:lang w:val="en-US" w:eastAsia="zh-CN"/>
        </w:rPr>
        <w:t>20</w:t>
      </w:r>
      <w:r>
        <w:rPr>
          <w:rFonts w:hint="eastAsia" w:ascii="黑体" w:hAnsi="黑体" w:eastAsia="黑体" w:cs="黑体"/>
          <w:b/>
          <w:bCs/>
        </w:rPr>
        <w:t>年</w:t>
      </w:r>
      <w:r>
        <w:rPr>
          <w:rFonts w:hint="eastAsia" w:ascii="黑体" w:hAnsi="黑体" w:eastAsia="黑体" w:cs="黑体"/>
          <w:b/>
          <w:bCs/>
          <w:lang w:val="en-US" w:eastAsia="zh-CN"/>
        </w:rPr>
        <w:t>9</w:t>
      </w:r>
      <w:r>
        <w:rPr>
          <w:rFonts w:hint="eastAsia" w:ascii="黑体" w:hAnsi="黑体" w:eastAsia="黑体" w:cs="黑体"/>
          <w:b/>
          <w:bCs/>
        </w:rPr>
        <w:t>月</w:t>
      </w:r>
      <w:r>
        <w:rPr>
          <w:rFonts w:hint="eastAsia" w:ascii="黑体" w:hAnsi="黑体" w:eastAsia="黑体" w:cs="黑体"/>
          <w:b/>
          <w:bCs/>
          <w:lang w:val="en-US" w:eastAsia="zh-CN"/>
        </w:rPr>
        <w:t>3</w:t>
      </w:r>
      <w:r>
        <w:rPr>
          <w:rFonts w:hint="eastAsia" w:ascii="黑体" w:hAnsi="黑体" w:eastAsia="黑体" w:cs="黑体"/>
          <w:b/>
          <w:bCs/>
        </w:rPr>
        <w:t>日</w:t>
      </w:r>
      <w:r>
        <w:rPr>
          <w:rFonts w:hint="default" w:ascii="Times New Roman" w:hAnsi="Times New Roman" w:eastAsia="黑体" w:cs="Times New Roman"/>
          <w:b/>
          <w:bCs/>
          <w:color w:val="000000"/>
          <w:sz w:val="48"/>
          <w:szCs w:val="48"/>
        </w:rPr>
        <w:fldChar w:fldCharType="begin"/>
      </w:r>
      <w:r>
        <w:rPr>
          <w:rFonts w:hint="default" w:ascii="Times New Roman" w:hAnsi="Times New Roman" w:eastAsia="黑体" w:cs="Times New Roman"/>
          <w:b/>
          <w:bCs/>
          <w:color w:val="000000"/>
          <w:sz w:val="48"/>
          <w:szCs w:val="48"/>
        </w:rPr>
        <w:instrText xml:space="preserve"> TOC \o "1-2" \h \z \u </w:instrText>
      </w:r>
      <w:r>
        <w:rPr>
          <w:rFonts w:hint="default" w:ascii="Times New Roman" w:hAnsi="Times New Roman" w:eastAsia="黑体" w:cs="Times New Roman"/>
          <w:b/>
          <w:bCs/>
          <w:color w:val="000000"/>
          <w:sz w:val="48"/>
          <w:szCs w:val="48"/>
        </w:rPr>
        <w:fldChar w:fldCharType="separate"/>
      </w:r>
    </w:p>
    <w:p>
      <w:pPr>
        <w:pStyle w:val="9"/>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_Toc14371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第一部分 部门概况</w:t>
      </w:r>
      <w:r>
        <w:tab/>
      </w:r>
      <w:r>
        <w:rPr>
          <w:sz w:val="21"/>
          <w:szCs w:val="21"/>
        </w:rPr>
        <w:fldChar w:fldCharType="begin"/>
      </w:r>
      <w:r>
        <w:rPr>
          <w:sz w:val="21"/>
          <w:szCs w:val="21"/>
        </w:rPr>
        <w:instrText xml:space="preserve"> PAGEREF _Toc14371 </w:instrText>
      </w:r>
      <w:r>
        <w:rPr>
          <w:sz w:val="21"/>
          <w:szCs w:val="21"/>
        </w:rPr>
        <w:fldChar w:fldCharType="separate"/>
      </w:r>
      <w:r>
        <w:rPr>
          <w:sz w:val="21"/>
          <w:szCs w:val="21"/>
        </w:rPr>
        <w:t>1</w:t>
      </w:r>
      <w:r>
        <w:rPr>
          <w:sz w:val="21"/>
          <w:szCs w:val="21"/>
        </w:rP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_Toc21807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一、基本职能及主要工作</w:t>
      </w:r>
      <w:r>
        <w:tab/>
      </w:r>
      <w:r>
        <w:fldChar w:fldCharType="begin"/>
      </w:r>
      <w:r>
        <w:instrText xml:space="preserve"> PAGEREF _Toc21807 </w:instrText>
      </w:r>
      <w:r>
        <w:fldChar w:fldCharType="separate"/>
      </w:r>
      <w:r>
        <w:t>1</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_Toc30205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二、机构设置</w:t>
      </w:r>
      <w:r>
        <w:tab/>
      </w:r>
      <w:r>
        <w:fldChar w:fldCharType="begin"/>
      </w:r>
      <w:r>
        <w:instrText xml:space="preserve"> PAGEREF _Toc30205 </w:instrText>
      </w:r>
      <w:r>
        <w:fldChar w:fldCharType="separate"/>
      </w:r>
      <w:r>
        <w:t>3</w:t>
      </w:r>
      <w:r>
        <w:fldChar w:fldCharType="end"/>
      </w:r>
      <w:r>
        <w:rPr>
          <w:rFonts w:hint="default" w:ascii="Times New Roman" w:hAnsi="Times New Roman" w:eastAsia="仿宋" w:cs="Times New Roman"/>
          <w:bCs/>
          <w:color w:val="000000"/>
        </w:rPr>
        <w:fldChar w:fldCharType="end"/>
      </w:r>
    </w:p>
    <w:p>
      <w:pPr>
        <w:pStyle w:val="9"/>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_Toc27188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 xml:space="preserve">第二部分 </w:t>
      </w:r>
      <w:r>
        <w:rPr>
          <w:rFonts w:hint="eastAsia" w:ascii="黑体" w:hAnsi="黑体" w:eastAsia="黑体" w:cs="黑体"/>
          <w:bCs/>
        </w:rPr>
        <w:t>201</w:t>
      </w:r>
      <w:r>
        <w:rPr>
          <w:rFonts w:hint="eastAsia" w:ascii="黑体" w:hAnsi="黑体" w:eastAsia="黑体" w:cs="黑体"/>
          <w:bCs/>
          <w:lang w:val="en-US" w:eastAsia="zh-CN"/>
        </w:rPr>
        <w:t>9</w:t>
      </w:r>
      <w:r>
        <w:rPr>
          <w:rFonts w:hint="default" w:ascii="Times New Roman" w:hAnsi="Times New Roman" w:eastAsia="黑体" w:cs="Times New Roman"/>
          <w:bCs/>
        </w:rPr>
        <w:t>年度部门决算情况说明</w:t>
      </w:r>
      <w:r>
        <w:tab/>
      </w:r>
      <w:r>
        <w:rPr>
          <w:sz w:val="21"/>
          <w:szCs w:val="21"/>
        </w:rPr>
        <w:fldChar w:fldCharType="begin"/>
      </w:r>
      <w:r>
        <w:rPr>
          <w:sz w:val="21"/>
          <w:szCs w:val="21"/>
        </w:rPr>
        <w:instrText xml:space="preserve"> PAGEREF _Toc27188 </w:instrText>
      </w:r>
      <w:r>
        <w:rPr>
          <w:sz w:val="21"/>
          <w:szCs w:val="21"/>
        </w:rPr>
        <w:fldChar w:fldCharType="separate"/>
      </w:r>
      <w:r>
        <w:rPr>
          <w:sz w:val="21"/>
          <w:szCs w:val="21"/>
        </w:rPr>
        <w:t>4</w:t>
      </w:r>
      <w:r>
        <w:rPr>
          <w:sz w:val="21"/>
          <w:szCs w:val="21"/>
        </w:rP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_Toc7800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 xml:space="preserve">一、 </w:t>
      </w:r>
      <w:r>
        <w:rPr>
          <w:rFonts w:hint="default" w:ascii="Times New Roman" w:hAnsi="Times New Roman" w:eastAsia="黑体" w:cs="Times New Roman"/>
          <w:bCs/>
          <w:szCs w:val="32"/>
        </w:rPr>
        <w:t>收</w:t>
      </w:r>
      <w:r>
        <w:rPr>
          <w:rFonts w:hint="default" w:ascii="Times New Roman" w:hAnsi="Times New Roman" w:eastAsia="黑体" w:cs="Times New Roman"/>
          <w:bCs/>
        </w:rPr>
        <w:t>入支出决算总体情况说明</w:t>
      </w:r>
      <w:r>
        <w:tab/>
      </w:r>
      <w:r>
        <w:fldChar w:fldCharType="begin"/>
      </w:r>
      <w:r>
        <w:instrText xml:space="preserve"> PAGEREF _Toc7800 </w:instrText>
      </w:r>
      <w:r>
        <w:fldChar w:fldCharType="separate"/>
      </w:r>
      <w:r>
        <w:t>4</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_Toc28389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 xml:space="preserve">二、 </w:t>
      </w:r>
      <w:r>
        <w:rPr>
          <w:rFonts w:hint="default" w:ascii="Times New Roman" w:hAnsi="Times New Roman" w:eastAsia="黑体" w:cs="Times New Roman"/>
          <w:bCs/>
          <w:szCs w:val="32"/>
        </w:rPr>
        <w:t>收</w:t>
      </w:r>
      <w:r>
        <w:rPr>
          <w:rFonts w:hint="default" w:ascii="Times New Roman" w:hAnsi="Times New Roman" w:eastAsia="黑体" w:cs="Times New Roman"/>
          <w:bCs/>
        </w:rPr>
        <w:t>入决算情况说明</w:t>
      </w:r>
      <w:r>
        <w:tab/>
      </w:r>
      <w:r>
        <w:fldChar w:fldCharType="begin"/>
      </w:r>
      <w:r>
        <w:instrText xml:space="preserve"> PAGEREF _Toc28389 </w:instrText>
      </w:r>
      <w:r>
        <w:fldChar w:fldCharType="separate"/>
      </w:r>
      <w:r>
        <w:t>4</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_Toc5664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 xml:space="preserve">三、 </w:t>
      </w:r>
      <w:r>
        <w:rPr>
          <w:rFonts w:hint="default" w:ascii="Times New Roman" w:hAnsi="Times New Roman" w:eastAsia="黑体" w:cs="Times New Roman"/>
          <w:bCs/>
          <w:szCs w:val="32"/>
        </w:rPr>
        <w:t>支</w:t>
      </w:r>
      <w:r>
        <w:rPr>
          <w:rFonts w:hint="default" w:ascii="Times New Roman" w:hAnsi="Times New Roman" w:eastAsia="黑体" w:cs="Times New Roman"/>
          <w:bCs/>
        </w:rPr>
        <w:t>出决算情况说明</w:t>
      </w:r>
      <w:r>
        <w:tab/>
      </w:r>
      <w:r>
        <w:fldChar w:fldCharType="begin"/>
      </w:r>
      <w:r>
        <w:instrText xml:space="preserve"> PAGEREF _Toc5664 </w:instrText>
      </w:r>
      <w:r>
        <w:fldChar w:fldCharType="separate"/>
      </w:r>
      <w:r>
        <w:t>5</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_Toc30299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szCs w:val="32"/>
        </w:rPr>
        <w:t>四、财</w:t>
      </w:r>
      <w:r>
        <w:rPr>
          <w:rFonts w:hint="default" w:ascii="Times New Roman" w:hAnsi="Times New Roman" w:eastAsia="黑体" w:cs="Times New Roman"/>
          <w:bCs/>
        </w:rPr>
        <w:t>政拨款收入支出决算总体情况说明</w:t>
      </w:r>
      <w:r>
        <w:tab/>
      </w:r>
      <w:r>
        <w:fldChar w:fldCharType="begin"/>
      </w:r>
      <w:r>
        <w:instrText xml:space="preserve"> PAGEREF _Toc30299 </w:instrText>
      </w:r>
      <w:r>
        <w:fldChar w:fldCharType="separate"/>
      </w:r>
      <w:r>
        <w:t>6</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_Toc13717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szCs w:val="32"/>
        </w:rPr>
        <w:t>五、一</w:t>
      </w:r>
      <w:r>
        <w:rPr>
          <w:rFonts w:hint="default" w:ascii="Times New Roman" w:hAnsi="Times New Roman" w:eastAsia="黑体" w:cs="Times New Roman"/>
          <w:bCs/>
        </w:rPr>
        <w:t>般公共预算财政拨款支出决算情况说明</w:t>
      </w:r>
      <w:r>
        <w:tab/>
      </w:r>
      <w:r>
        <w:fldChar w:fldCharType="begin"/>
      </w:r>
      <w:r>
        <w:instrText xml:space="preserve"> PAGEREF _Toc13717 </w:instrText>
      </w:r>
      <w:r>
        <w:fldChar w:fldCharType="separate"/>
      </w:r>
      <w:r>
        <w:t>6</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_Toc29464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szCs w:val="32"/>
        </w:rPr>
        <w:t>六、一</w:t>
      </w:r>
      <w:r>
        <w:rPr>
          <w:rFonts w:hint="default" w:ascii="Times New Roman" w:hAnsi="Times New Roman" w:eastAsia="黑体" w:cs="Times New Roman"/>
          <w:bCs/>
        </w:rPr>
        <w:t>般公共预算财政拨款基本支出决算情况说明</w:t>
      </w:r>
      <w:r>
        <w:tab/>
      </w:r>
      <w:r>
        <w:fldChar w:fldCharType="begin"/>
      </w:r>
      <w:r>
        <w:instrText xml:space="preserve"> PAGEREF _Toc29464 </w:instrText>
      </w:r>
      <w:r>
        <w:fldChar w:fldCharType="separate"/>
      </w:r>
      <w:r>
        <w:t>11</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_Toc14376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szCs w:val="32"/>
        </w:rPr>
        <w:t>七、</w:t>
      </w:r>
      <w:r>
        <w:rPr>
          <w:rFonts w:hint="default" w:ascii="Times New Roman" w:hAnsi="Times New Roman" w:eastAsia="黑体" w:cs="Times New Roman"/>
          <w:bCs/>
        </w:rPr>
        <w:t>“三公”经费财政拨款支出决算情况说明</w:t>
      </w:r>
      <w:r>
        <w:tab/>
      </w:r>
      <w:r>
        <w:fldChar w:fldCharType="begin"/>
      </w:r>
      <w:r>
        <w:instrText xml:space="preserve"> PAGEREF _Toc14376 </w:instrText>
      </w:r>
      <w:r>
        <w:fldChar w:fldCharType="separate"/>
      </w:r>
      <w:r>
        <w:t>11</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_Toc25244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szCs w:val="32"/>
        </w:rPr>
        <w:t>八、</w:t>
      </w:r>
      <w:r>
        <w:rPr>
          <w:rFonts w:hint="default" w:ascii="Times New Roman" w:hAnsi="Times New Roman" w:eastAsia="黑体" w:cs="Times New Roman"/>
          <w:bCs/>
        </w:rPr>
        <w:t>政府性基金预算支出决算情况说明</w:t>
      </w:r>
      <w:r>
        <w:tab/>
      </w:r>
      <w:r>
        <w:fldChar w:fldCharType="begin"/>
      </w:r>
      <w:r>
        <w:instrText xml:space="preserve"> PAGEREF _Toc25244 </w:instrText>
      </w:r>
      <w:r>
        <w:fldChar w:fldCharType="separate"/>
      </w:r>
      <w:r>
        <w:t>14</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_Toc24327 </w:instrText>
      </w:r>
      <w:r>
        <w:rPr>
          <w:rFonts w:hint="default" w:ascii="Times New Roman" w:hAnsi="Times New Roman" w:eastAsia="仿宋" w:cs="Times New Roman"/>
          <w:bCs/>
        </w:rPr>
        <w:fldChar w:fldCharType="separate"/>
      </w:r>
      <w:r>
        <w:rPr>
          <w:rFonts w:hint="eastAsia" w:ascii="Times New Roman" w:hAnsi="Times New Roman" w:eastAsia="黑体" w:cs="Times New Roman"/>
          <w:bCs/>
        </w:rPr>
        <w:t xml:space="preserve">九、 </w:t>
      </w:r>
      <w:r>
        <w:rPr>
          <w:rFonts w:hint="default" w:ascii="Times New Roman" w:hAnsi="Times New Roman" w:eastAsia="黑体" w:cs="Times New Roman"/>
          <w:bCs/>
        </w:rPr>
        <w:t>国有资本经营预算支出决算情况说明</w:t>
      </w:r>
      <w:r>
        <w:tab/>
      </w:r>
      <w:r>
        <w:fldChar w:fldCharType="begin"/>
      </w:r>
      <w:r>
        <w:instrText xml:space="preserve"> PAGEREF _Toc24327 </w:instrText>
      </w:r>
      <w:r>
        <w:fldChar w:fldCharType="separate"/>
      </w:r>
      <w:r>
        <w:t>14</w:t>
      </w:r>
      <w: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_Toc31836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rPr>
        <w:t xml:space="preserve">十、 </w:t>
      </w:r>
      <w:r>
        <w:rPr>
          <w:rFonts w:hint="eastAsia" w:ascii="黑体" w:hAnsi="黑体" w:eastAsia="黑体"/>
          <w:bCs w:val="0"/>
        </w:rPr>
        <w:t>其他重要事项的情况</w:t>
      </w:r>
      <w:r>
        <w:rPr>
          <w:rFonts w:hint="default" w:ascii="Times New Roman" w:hAnsi="Times New Roman" w:eastAsia="黑体" w:cs="Times New Roman"/>
          <w:bCs/>
        </w:rPr>
        <w:t>说明</w:t>
      </w:r>
      <w:r>
        <w:tab/>
      </w:r>
      <w:r>
        <w:fldChar w:fldCharType="begin"/>
      </w:r>
      <w:r>
        <w:instrText xml:space="preserve"> PAGEREF _Toc31836 </w:instrText>
      </w:r>
      <w:r>
        <w:fldChar w:fldCharType="separate"/>
      </w:r>
      <w:r>
        <w:t>14</w:t>
      </w:r>
      <w:r>
        <w:fldChar w:fldCharType="end"/>
      </w:r>
      <w:r>
        <w:rPr>
          <w:rFonts w:hint="default" w:ascii="Times New Roman" w:hAnsi="Times New Roman" w:eastAsia="仿宋" w:cs="Times New Roman"/>
          <w:bCs/>
          <w:color w:val="000000"/>
        </w:rPr>
        <w:fldChar w:fldCharType="end"/>
      </w:r>
    </w:p>
    <w:p>
      <w:pPr>
        <w:pStyle w:val="9"/>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_Toc6862 </w:instrText>
      </w:r>
      <w:r>
        <w:rPr>
          <w:rFonts w:hint="default" w:ascii="Times New Roman" w:hAnsi="Times New Roman" w:eastAsia="仿宋" w:cs="Times New Roman"/>
          <w:bCs/>
        </w:rPr>
        <w:fldChar w:fldCharType="separate"/>
      </w:r>
      <w:r>
        <w:rPr>
          <w:rFonts w:hint="eastAsia" w:ascii="Times New Roman" w:hAnsi="Times New Roman" w:eastAsia="黑体" w:cs="Times New Roman"/>
          <w:bCs/>
        </w:rPr>
        <w:t xml:space="preserve">第三部分 </w:t>
      </w:r>
      <w:r>
        <w:rPr>
          <w:rFonts w:hint="default" w:ascii="Times New Roman" w:hAnsi="Times New Roman" w:eastAsia="黑体" w:cs="Times New Roman"/>
          <w:bCs/>
          <w:szCs w:val="44"/>
        </w:rPr>
        <w:t>名</w:t>
      </w:r>
      <w:r>
        <w:rPr>
          <w:rFonts w:hint="default" w:ascii="Times New Roman" w:hAnsi="Times New Roman" w:eastAsia="黑体" w:cs="Times New Roman"/>
          <w:bCs/>
        </w:rPr>
        <w:t>词解释</w:t>
      </w:r>
      <w:r>
        <w:tab/>
      </w:r>
      <w:r>
        <w:rPr>
          <w:sz w:val="21"/>
          <w:szCs w:val="21"/>
        </w:rPr>
        <w:fldChar w:fldCharType="begin"/>
      </w:r>
      <w:r>
        <w:rPr>
          <w:sz w:val="21"/>
          <w:szCs w:val="21"/>
        </w:rPr>
        <w:instrText xml:space="preserve"> PAGEREF _Toc6862 </w:instrText>
      </w:r>
      <w:r>
        <w:rPr>
          <w:sz w:val="21"/>
          <w:szCs w:val="21"/>
        </w:rPr>
        <w:fldChar w:fldCharType="separate"/>
      </w:r>
      <w:r>
        <w:rPr>
          <w:sz w:val="21"/>
          <w:szCs w:val="21"/>
        </w:rPr>
        <w:t>22</w:t>
      </w:r>
      <w:r>
        <w:rPr>
          <w:sz w:val="21"/>
          <w:szCs w:val="21"/>
        </w:rPr>
        <w:fldChar w:fldCharType="end"/>
      </w:r>
      <w:r>
        <w:rPr>
          <w:rFonts w:hint="default" w:ascii="Times New Roman" w:hAnsi="Times New Roman" w:eastAsia="仿宋" w:cs="Times New Roman"/>
          <w:bCs/>
          <w:color w:val="000000"/>
        </w:rPr>
        <w:fldChar w:fldCharType="end"/>
      </w:r>
    </w:p>
    <w:p>
      <w:pPr>
        <w:pStyle w:val="9"/>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_Toc4508 </w:instrText>
      </w:r>
      <w:r>
        <w:rPr>
          <w:rFonts w:hint="default" w:ascii="Times New Roman" w:hAnsi="Times New Roman" w:eastAsia="仿宋" w:cs="Times New Roman"/>
          <w:bCs/>
        </w:rPr>
        <w:fldChar w:fldCharType="separate"/>
      </w:r>
      <w:r>
        <w:rPr>
          <w:rFonts w:hint="eastAsia" w:ascii="Times New Roman" w:hAnsi="Times New Roman" w:eastAsia="黑体" w:cs="Times New Roman"/>
          <w:bCs/>
        </w:rPr>
        <w:t xml:space="preserve">第四部分 </w:t>
      </w:r>
      <w:r>
        <w:rPr>
          <w:rFonts w:hint="eastAsia" w:eastAsia="黑体" w:cs="Times New Roman"/>
          <w:bCs/>
          <w:lang w:eastAsia="zh-CN"/>
        </w:rPr>
        <w:t>附件</w:t>
      </w:r>
      <w:r>
        <w:tab/>
      </w:r>
      <w:r>
        <w:rPr>
          <w:sz w:val="21"/>
          <w:szCs w:val="21"/>
        </w:rPr>
        <w:fldChar w:fldCharType="begin"/>
      </w:r>
      <w:r>
        <w:rPr>
          <w:sz w:val="21"/>
          <w:szCs w:val="21"/>
        </w:rPr>
        <w:instrText xml:space="preserve"> PAGEREF _Toc4508 </w:instrText>
      </w:r>
      <w:r>
        <w:rPr>
          <w:sz w:val="21"/>
          <w:szCs w:val="21"/>
        </w:rPr>
        <w:fldChar w:fldCharType="separate"/>
      </w:r>
      <w:r>
        <w:rPr>
          <w:sz w:val="21"/>
          <w:szCs w:val="21"/>
        </w:rPr>
        <w:t>26</w:t>
      </w:r>
      <w:r>
        <w:rPr>
          <w:sz w:val="21"/>
          <w:szCs w:val="21"/>
        </w:rPr>
        <w:fldChar w:fldCharType="end"/>
      </w:r>
      <w:r>
        <w:rPr>
          <w:rFonts w:hint="default" w:ascii="Times New Roman" w:hAnsi="Times New Roman" w:eastAsia="仿宋" w:cs="Times New Roman"/>
          <w:bCs/>
          <w:color w:val="000000"/>
        </w:rPr>
        <w:fldChar w:fldCharType="end"/>
      </w:r>
    </w:p>
    <w:p>
      <w:pPr>
        <w:pStyle w:val="9"/>
        <w:tabs>
          <w:tab w:val="right" w:leader="dot" w:pos="8306"/>
          <w:tab w:val="clear" w:pos="8296"/>
        </w:tabs>
      </w:pPr>
      <w:r>
        <w:rPr>
          <w:rFonts w:hint="default" w:ascii="Times New Roman" w:hAnsi="Times New Roman" w:eastAsia="仿宋" w:cs="Times New Roman"/>
          <w:bCs/>
          <w:color w:val="000000"/>
        </w:rPr>
        <w:fldChar w:fldCharType="begin"/>
      </w:r>
      <w:r>
        <w:rPr>
          <w:rFonts w:hint="default" w:ascii="Times New Roman" w:hAnsi="Times New Roman" w:eastAsia="仿宋" w:cs="Times New Roman"/>
          <w:bCs/>
        </w:rPr>
        <w:instrText xml:space="preserve"> HYPERLINK \l _Toc22133 </w:instrText>
      </w:r>
      <w:r>
        <w:rPr>
          <w:rFonts w:hint="default" w:ascii="Times New Roman" w:hAnsi="Times New Roman" w:eastAsia="仿宋" w:cs="Times New Roman"/>
          <w:bCs/>
        </w:rPr>
        <w:fldChar w:fldCharType="separate"/>
      </w:r>
      <w:r>
        <w:rPr>
          <w:rFonts w:hint="default" w:ascii="Times New Roman" w:hAnsi="Times New Roman" w:eastAsia="黑体" w:cs="Times New Roman"/>
          <w:bCs/>
          <w:szCs w:val="44"/>
        </w:rPr>
        <w:t>第</w:t>
      </w:r>
      <w:r>
        <w:rPr>
          <w:rFonts w:hint="default" w:ascii="Times New Roman" w:hAnsi="Times New Roman" w:eastAsia="黑体" w:cs="Times New Roman"/>
          <w:bCs/>
        </w:rPr>
        <w:t>五部分 附表</w:t>
      </w:r>
      <w:r>
        <w:tab/>
      </w:r>
      <w:r>
        <w:rPr>
          <w:sz w:val="21"/>
          <w:szCs w:val="21"/>
        </w:rPr>
        <w:fldChar w:fldCharType="begin"/>
      </w:r>
      <w:r>
        <w:rPr>
          <w:sz w:val="21"/>
          <w:szCs w:val="21"/>
        </w:rPr>
        <w:instrText xml:space="preserve"> PAGEREF _Toc22133 </w:instrText>
      </w:r>
      <w:r>
        <w:rPr>
          <w:sz w:val="21"/>
          <w:szCs w:val="21"/>
        </w:rPr>
        <w:fldChar w:fldCharType="separate"/>
      </w:r>
      <w:r>
        <w:rPr>
          <w:sz w:val="21"/>
          <w:szCs w:val="21"/>
        </w:rPr>
        <w:t>31</w:t>
      </w:r>
      <w:r>
        <w:rPr>
          <w:sz w:val="21"/>
          <w:szCs w:val="21"/>
        </w:rPr>
        <w:fldChar w:fldCharType="end"/>
      </w:r>
      <w:r>
        <w:rPr>
          <w:rFonts w:hint="default" w:ascii="Times New Roman" w:hAnsi="Times New Roman" w:eastAsia="仿宋" w:cs="Times New Roman"/>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_Toc27919 </w:instrText>
      </w:r>
      <w:r>
        <w:rPr>
          <w:rFonts w:hint="eastAsia" w:ascii="黑体" w:hAnsi="黑体" w:eastAsia="黑体" w:cs="黑体"/>
          <w:bCs/>
        </w:rPr>
        <w:fldChar w:fldCharType="separate"/>
      </w:r>
      <w:r>
        <w:rPr>
          <w:rFonts w:hint="eastAsia" w:ascii="黑体" w:hAnsi="黑体" w:eastAsia="黑体" w:cs="黑体"/>
          <w:bCs/>
        </w:rPr>
        <w:t>一、收入支出决算总表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_Toc27919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_Toc5888 </w:instrText>
      </w:r>
      <w:r>
        <w:rPr>
          <w:rFonts w:hint="eastAsia" w:ascii="黑体" w:hAnsi="黑体" w:eastAsia="黑体" w:cs="黑体"/>
          <w:bCs/>
        </w:rPr>
        <w:fldChar w:fldCharType="separate"/>
      </w:r>
      <w:r>
        <w:rPr>
          <w:rFonts w:hint="eastAsia" w:ascii="黑体" w:hAnsi="黑体" w:eastAsia="黑体" w:cs="黑体"/>
          <w:bCs/>
        </w:rPr>
        <w:t>二、收入</w:t>
      </w:r>
      <w:r>
        <w:rPr>
          <w:rFonts w:hint="eastAsia" w:ascii="黑体" w:hAnsi="黑体" w:eastAsia="黑体" w:cs="黑体"/>
          <w:bCs/>
          <w:lang w:eastAsia="zh-CN"/>
        </w:rPr>
        <w:t>决算</w:t>
      </w:r>
      <w:r>
        <w:rPr>
          <w:rFonts w:hint="eastAsia" w:ascii="黑体" w:hAnsi="黑体" w:eastAsia="黑体" w:cs="黑体"/>
          <w:bCs/>
        </w:rPr>
        <w:t>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_Toc5888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_Toc14432 </w:instrText>
      </w:r>
      <w:r>
        <w:rPr>
          <w:rFonts w:hint="eastAsia" w:ascii="黑体" w:hAnsi="黑体" w:eastAsia="黑体" w:cs="黑体"/>
          <w:bCs/>
        </w:rPr>
        <w:fldChar w:fldCharType="separate"/>
      </w:r>
      <w:r>
        <w:rPr>
          <w:rFonts w:hint="eastAsia" w:ascii="黑体" w:hAnsi="黑体" w:eastAsia="黑体" w:cs="黑体"/>
          <w:bCs/>
        </w:rPr>
        <w:t>三、支出</w:t>
      </w:r>
      <w:r>
        <w:rPr>
          <w:rFonts w:hint="eastAsia" w:ascii="黑体" w:hAnsi="黑体" w:eastAsia="黑体" w:cs="黑体"/>
          <w:bCs/>
          <w:lang w:eastAsia="zh-CN"/>
        </w:rPr>
        <w:t>决算</w:t>
      </w:r>
      <w:r>
        <w:rPr>
          <w:rFonts w:hint="eastAsia" w:ascii="黑体" w:hAnsi="黑体" w:eastAsia="黑体" w:cs="黑体"/>
          <w:bCs/>
        </w:rPr>
        <w:t>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_Toc14432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_Toc32089 </w:instrText>
      </w:r>
      <w:r>
        <w:rPr>
          <w:rFonts w:hint="eastAsia" w:ascii="黑体" w:hAnsi="黑体" w:eastAsia="黑体" w:cs="黑体"/>
          <w:bCs/>
        </w:rPr>
        <w:fldChar w:fldCharType="separate"/>
      </w:r>
      <w:r>
        <w:rPr>
          <w:rFonts w:hint="eastAsia" w:ascii="黑体" w:hAnsi="黑体" w:eastAsia="黑体" w:cs="黑体"/>
          <w:bCs/>
        </w:rPr>
        <w:t>四、财政拨款收入支出决算总表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_Toc32089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_Toc24337 </w:instrText>
      </w:r>
      <w:r>
        <w:rPr>
          <w:rFonts w:hint="eastAsia" w:ascii="黑体" w:hAnsi="黑体" w:eastAsia="黑体" w:cs="黑体"/>
          <w:bCs/>
        </w:rPr>
        <w:fldChar w:fldCharType="separate"/>
      </w:r>
      <w:r>
        <w:rPr>
          <w:rFonts w:hint="eastAsia" w:ascii="黑体" w:hAnsi="黑体" w:eastAsia="黑体" w:cs="黑体"/>
          <w:bCs/>
        </w:rPr>
        <w:t>五、财政拨款支出决算明细表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_Toc24337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_Toc25652 </w:instrText>
      </w:r>
      <w:r>
        <w:rPr>
          <w:rFonts w:hint="eastAsia" w:ascii="黑体" w:hAnsi="黑体" w:eastAsia="黑体" w:cs="黑体"/>
          <w:bCs/>
        </w:rPr>
        <w:fldChar w:fldCharType="separate"/>
      </w:r>
      <w:r>
        <w:rPr>
          <w:rFonts w:hint="eastAsia" w:ascii="黑体" w:hAnsi="黑体" w:eastAsia="黑体" w:cs="黑体"/>
          <w:bCs/>
        </w:rPr>
        <w:t>六、一般公共预算财政拨款支出决算表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_Toc25652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_Toc24920 </w:instrText>
      </w:r>
      <w:r>
        <w:rPr>
          <w:rFonts w:hint="eastAsia" w:ascii="黑体" w:hAnsi="黑体" w:eastAsia="黑体" w:cs="黑体"/>
          <w:bCs/>
        </w:rPr>
        <w:fldChar w:fldCharType="separate"/>
      </w:r>
      <w:r>
        <w:rPr>
          <w:rFonts w:hint="eastAsia" w:ascii="黑体" w:hAnsi="黑体" w:eastAsia="黑体" w:cs="黑体"/>
          <w:bCs/>
        </w:rPr>
        <w:t>七、一般公共预算财政拨款支出决算明细表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_Toc24920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_Toc25080 </w:instrText>
      </w:r>
      <w:r>
        <w:rPr>
          <w:rFonts w:hint="eastAsia" w:ascii="黑体" w:hAnsi="黑体" w:eastAsia="黑体" w:cs="黑体"/>
          <w:bCs/>
        </w:rPr>
        <w:fldChar w:fldCharType="separate"/>
      </w:r>
      <w:r>
        <w:rPr>
          <w:rFonts w:hint="eastAsia" w:ascii="黑体" w:hAnsi="黑体" w:eastAsia="黑体" w:cs="黑体"/>
          <w:bCs/>
        </w:rPr>
        <w:t>八、一般公共预算财政拨款基本支出决算表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_Toc25080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_Toc24289 </w:instrText>
      </w:r>
      <w:r>
        <w:rPr>
          <w:rFonts w:hint="eastAsia" w:ascii="黑体" w:hAnsi="黑体" w:eastAsia="黑体" w:cs="黑体"/>
          <w:bCs/>
        </w:rPr>
        <w:fldChar w:fldCharType="separate"/>
      </w:r>
      <w:r>
        <w:rPr>
          <w:rFonts w:hint="eastAsia" w:ascii="黑体" w:hAnsi="黑体" w:eastAsia="黑体" w:cs="黑体"/>
          <w:bCs/>
        </w:rPr>
        <w:t>九、一般公共预算财政拨款项目支出决算表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_Toc24289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_Toc30460 </w:instrText>
      </w:r>
      <w:r>
        <w:rPr>
          <w:rFonts w:hint="eastAsia" w:ascii="黑体" w:hAnsi="黑体" w:eastAsia="黑体" w:cs="黑体"/>
          <w:bCs/>
        </w:rPr>
        <w:fldChar w:fldCharType="separate"/>
      </w:r>
      <w:r>
        <w:rPr>
          <w:rFonts w:hint="eastAsia" w:ascii="黑体" w:hAnsi="黑体" w:eastAsia="黑体" w:cs="黑体"/>
          <w:bCs/>
        </w:rPr>
        <w:t>十、一般公共预算财政拨款“三公”经费支出决算表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_Toc30460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_Toc8348 </w:instrText>
      </w:r>
      <w:r>
        <w:rPr>
          <w:rFonts w:hint="eastAsia" w:ascii="黑体" w:hAnsi="黑体" w:eastAsia="黑体" w:cs="黑体"/>
          <w:bCs/>
        </w:rPr>
        <w:fldChar w:fldCharType="separate"/>
      </w:r>
      <w:r>
        <w:rPr>
          <w:rFonts w:hint="eastAsia" w:ascii="黑体" w:hAnsi="黑体" w:eastAsia="黑体" w:cs="黑体"/>
          <w:bCs/>
        </w:rPr>
        <w:t>十一、政府性基金预算财政拨款收入支出决算表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_Toc8348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rPr>
          <w:rFonts w:hint="eastAsia" w:ascii="黑体" w:hAnsi="黑体" w:eastAsia="黑体" w:cs="黑体"/>
        </w:rPr>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_Toc12951 </w:instrText>
      </w:r>
      <w:r>
        <w:rPr>
          <w:rFonts w:hint="eastAsia" w:ascii="黑体" w:hAnsi="黑体" w:eastAsia="黑体" w:cs="黑体"/>
          <w:bCs/>
        </w:rPr>
        <w:fldChar w:fldCharType="separate"/>
      </w:r>
      <w:r>
        <w:rPr>
          <w:rFonts w:hint="eastAsia" w:ascii="黑体" w:hAnsi="黑体" w:eastAsia="黑体" w:cs="黑体"/>
          <w:bCs/>
        </w:rPr>
        <w:t>十二、政府性基金预算财政拨款“三公”经费支出决算表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_Toc12951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10"/>
        <w:tabs>
          <w:tab w:val="right" w:leader="dot" w:pos="8306"/>
          <w:tab w:val="clear" w:pos="8296"/>
        </w:tabs>
      </w:pPr>
      <w:r>
        <w:rPr>
          <w:rFonts w:hint="eastAsia" w:ascii="黑体" w:hAnsi="黑体" w:eastAsia="黑体" w:cs="黑体"/>
          <w:bCs/>
          <w:color w:val="000000"/>
        </w:rPr>
        <w:fldChar w:fldCharType="begin"/>
      </w:r>
      <w:r>
        <w:rPr>
          <w:rFonts w:hint="eastAsia" w:ascii="黑体" w:hAnsi="黑体" w:eastAsia="黑体" w:cs="黑体"/>
          <w:bCs/>
        </w:rPr>
        <w:instrText xml:space="preserve"> HYPERLINK \l _Toc25090 </w:instrText>
      </w:r>
      <w:r>
        <w:rPr>
          <w:rFonts w:hint="eastAsia" w:ascii="黑体" w:hAnsi="黑体" w:eastAsia="黑体" w:cs="黑体"/>
          <w:bCs/>
        </w:rPr>
        <w:fldChar w:fldCharType="separate"/>
      </w:r>
      <w:r>
        <w:rPr>
          <w:rFonts w:hint="eastAsia" w:ascii="黑体" w:hAnsi="黑体" w:eastAsia="黑体" w:cs="黑体"/>
          <w:bCs/>
        </w:rPr>
        <w:t>十三、国有资本经营预算支出决算表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_Toc25090 </w:instrText>
      </w:r>
      <w:r>
        <w:rPr>
          <w:rFonts w:hint="eastAsia" w:ascii="黑体" w:hAnsi="黑体" w:eastAsia="黑体" w:cs="黑体"/>
        </w:rPr>
        <w:fldChar w:fldCharType="separate"/>
      </w:r>
      <w:r>
        <w:rPr>
          <w:rFonts w:hint="eastAsia" w:ascii="黑体" w:hAnsi="黑体" w:eastAsia="黑体" w:cs="黑体"/>
        </w:rPr>
        <w:t>31</w:t>
      </w:r>
      <w:r>
        <w:rPr>
          <w:rFonts w:hint="eastAsia" w:ascii="黑体" w:hAnsi="黑体" w:eastAsia="黑体" w:cs="黑体"/>
        </w:rPr>
        <w:fldChar w:fldCharType="end"/>
      </w:r>
      <w:r>
        <w:rPr>
          <w:rFonts w:hint="eastAsia" w:ascii="黑体" w:hAnsi="黑体" w:eastAsia="黑体" w:cs="黑体"/>
          <w:bCs/>
          <w:color w:val="000000"/>
        </w:rPr>
        <w:fldChar w:fldCharType="end"/>
      </w:r>
    </w:p>
    <w:p>
      <w:pPr>
        <w:pStyle w:val="9"/>
        <w:pageBreakBefore w:val="0"/>
        <w:widowControl/>
        <w:tabs>
          <w:tab w:val="right" w:leader="dot" w:pos="8306"/>
          <w:tab w:val="clear" w:pos="8296"/>
        </w:tabs>
        <w:kinsoku/>
        <w:wordWrap/>
        <w:overflowPunct/>
        <w:topLinePunct w:val="0"/>
        <w:bidi w:val="0"/>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仿宋" w:cs="Times New Roman"/>
          <w:bCs/>
          <w:color w:val="000000"/>
        </w:rPr>
        <w:fldChar w:fldCharType="end"/>
      </w:r>
      <w:bookmarkStart w:id="20" w:name="_Toc15377196"/>
    </w:p>
    <w:p>
      <w:pPr>
        <w:pStyle w:val="2"/>
        <w:pageBreakBefore w:val="0"/>
        <w:kinsoku/>
        <w:wordWrap/>
        <w:overflowPunct/>
        <w:topLinePunct w:val="0"/>
        <w:bidi w:val="0"/>
        <w:adjustRightInd w:val="0"/>
        <w:snapToGrid w:val="0"/>
        <w:spacing w:line="360" w:lineRule="auto"/>
        <w:jc w:val="center"/>
        <w:rPr>
          <w:rFonts w:hint="default" w:ascii="Times New Roman" w:hAnsi="Times New Roman" w:eastAsia="黑体" w:cs="Times New Roman"/>
          <w:b/>
          <w:bCs/>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2"/>
        <w:pageBreakBefore w:val="0"/>
        <w:widowControl w:val="0"/>
        <w:kinsoku/>
        <w:wordWrap/>
        <w:overflowPunct/>
        <w:topLinePunct w:val="0"/>
        <w:autoSpaceDE/>
        <w:autoSpaceDN/>
        <w:bidi w:val="0"/>
        <w:adjustRightInd w:val="0"/>
        <w:snapToGrid w:val="0"/>
        <w:spacing w:after="0" w:afterAutospacing="0" w:line="600" w:lineRule="exact"/>
        <w:jc w:val="center"/>
        <w:textAlignment w:val="auto"/>
        <w:rPr>
          <w:rFonts w:hint="default" w:ascii="Times New Roman" w:hAnsi="Times New Roman" w:eastAsia="黑体" w:cs="Times New Roman"/>
          <w:b/>
          <w:bCs/>
          <w:color w:val="000000"/>
          <w:sz w:val="32"/>
          <w:szCs w:val="32"/>
        </w:rPr>
      </w:pPr>
      <w:bookmarkStart w:id="21" w:name="_Toc14371"/>
      <w:r>
        <w:rPr>
          <w:rFonts w:hint="default" w:ascii="Times New Roman" w:hAnsi="Times New Roman" w:eastAsia="黑体" w:cs="Times New Roman"/>
          <w:b/>
          <w:bCs/>
        </w:rPr>
        <w:t xml:space="preserve">第一部分 </w:t>
      </w:r>
      <w:r>
        <w:rPr>
          <w:rStyle w:val="23"/>
          <w:rFonts w:hint="default" w:ascii="Times New Roman" w:hAnsi="Times New Roman" w:eastAsia="黑体" w:cs="Times New Roman"/>
          <w:b/>
          <w:bCs/>
        </w:rPr>
        <w:t>部门概况</w:t>
      </w:r>
      <w:bookmarkEnd w:id="20"/>
      <w:bookmarkEnd w:id="21"/>
    </w:p>
    <w:p>
      <w:pPr>
        <w:pStyle w:val="3"/>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textAlignment w:val="auto"/>
        <w:rPr>
          <w:rStyle w:val="24"/>
          <w:rFonts w:hint="default" w:ascii="Times New Roman" w:hAnsi="Times New Roman" w:eastAsia="黑体" w:cs="Times New Roman"/>
          <w:b/>
          <w:bCs/>
        </w:rPr>
      </w:pPr>
      <w:bookmarkStart w:id="22" w:name="_Toc21807"/>
      <w:bookmarkStart w:id="23" w:name="_Toc15377197"/>
      <w:r>
        <w:rPr>
          <w:rFonts w:hint="default" w:ascii="Times New Roman" w:hAnsi="Times New Roman" w:eastAsia="黑体" w:cs="Times New Roman"/>
          <w:b/>
          <w:bCs/>
          <w:color w:val="000000"/>
        </w:rPr>
        <w:t>一、基</w:t>
      </w:r>
      <w:r>
        <w:rPr>
          <w:rStyle w:val="24"/>
          <w:rFonts w:hint="default" w:ascii="Times New Roman" w:hAnsi="Times New Roman" w:eastAsia="黑体" w:cs="Times New Roman"/>
          <w:b/>
          <w:bCs/>
        </w:rPr>
        <w:t>本职能及主要工作</w:t>
      </w:r>
      <w:bookmarkEnd w:id="22"/>
      <w:bookmarkEnd w:id="23"/>
      <w:bookmarkStart w:id="24" w:name="_Toc15377198"/>
      <w:bookmarkStart w:id="25" w:name="_Toc15378445"/>
    </w:p>
    <w:p>
      <w:pPr>
        <w:pStyle w:val="3"/>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textAlignment w:val="auto"/>
        <w:rPr>
          <w:rFonts w:hint="eastAsia" w:ascii="楷体" w:hAnsi="楷体" w:eastAsia="楷体" w:cs="楷体"/>
          <w:b/>
          <w:bCs/>
          <w:color w:val="000000"/>
          <w:sz w:val="32"/>
          <w:szCs w:val="32"/>
        </w:rPr>
      </w:pPr>
      <w:bookmarkStart w:id="26" w:name="_Toc6951"/>
      <w:bookmarkStart w:id="27" w:name="_Toc21403"/>
      <w:bookmarkStart w:id="28" w:name="_Toc249"/>
      <w:r>
        <w:rPr>
          <w:rFonts w:hint="eastAsia" w:ascii="楷体" w:hAnsi="楷体" w:eastAsia="楷体" w:cs="楷体"/>
          <w:b/>
          <w:bCs/>
          <w:color w:val="000000"/>
          <w:sz w:val="32"/>
          <w:szCs w:val="32"/>
        </w:rPr>
        <w:t>（一）主要职能</w:t>
      </w:r>
      <w:bookmarkEnd w:id="24"/>
      <w:bookmarkEnd w:id="25"/>
      <w:bookmarkEnd w:id="26"/>
      <w:bookmarkEnd w:id="27"/>
      <w:bookmarkEnd w:id="28"/>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（1）负责中央和省委重要工作部署，中央和省委领导重要指示批示的贯彻落实、统筹协调、督促检查，承担中央巡视整改有关工作。</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（2）负责省委会议、重大活动的准备和实施工作，省委领导活动的协调安排，服务省委有关文稿。</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（3）负责省委文件的审核、送签、印制、分发、管理、清退、销毁等工作。</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（4）负责各地、各部门报送省委的请示、报告等公文办理工作。</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（5）负责省委党内法规和规范性文件报送中央备案、解释、评估、清理工作，以及各市（州）党委、省委部委和省直各部门党组（党委）</w:t>
      </w:r>
      <w:r>
        <w:rPr>
          <w:rFonts w:hint="eastAsia" w:ascii="仿宋" w:hAnsi="仿宋" w:eastAsia="仿宋" w:cs="仿宋"/>
          <w:b/>
          <w:bCs/>
          <w:kern w:val="2"/>
          <w:sz w:val="32"/>
          <w:szCs w:val="32"/>
          <w:lang w:val="en-US" w:eastAsia="zh-CN" w:bidi="ar-SA"/>
        </w:rPr>
        <w:t>、各人民团体党组</w:t>
      </w:r>
      <w:r>
        <w:rPr>
          <w:rFonts w:hint="eastAsia" w:ascii="仿宋" w:hAnsi="仿宋" w:eastAsia="仿宋" w:cs="仿宋"/>
          <w:b/>
          <w:bCs/>
          <w:color w:val="auto"/>
          <w:kern w:val="2"/>
          <w:sz w:val="32"/>
          <w:szCs w:val="32"/>
          <w:lang w:val="en-US" w:eastAsia="zh-CN" w:bidi="ar-SA"/>
        </w:rPr>
        <w:t>规范性文件的备案审查工作。</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（6）负责推动省委重要会议、重要文件精神和重要工作情况等公开。</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（7）围绕中央和省委工作部署，收集信息、反映动态、开展调研。</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FF0000"/>
          <w:kern w:val="2"/>
          <w:sz w:val="32"/>
          <w:szCs w:val="32"/>
          <w:lang w:val="en-US" w:eastAsia="zh-CN" w:bidi="ar-SA"/>
        </w:rPr>
      </w:pPr>
      <w:r>
        <w:rPr>
          <w:rFonts w:hint="eastAsia" w:ascii="仿宋" w:hAnsi="仿宋" w:eastAsia="仿宋" w:cs="仿宋"/>
          <w:b/>
          <w:bCs/>
          <w:color w:val="auto"/>
          <w:kern w:val="2"/>
          <w:sz w:val="32"/>
          <w:szCs w:val="32"/>
          <w:lang w:val="en-US" w:eastAsia="zh-CN" w:bidi="ar-SA"/>
        </w:rPr>
        <w:t>（8）负责处理国家安全委员会办公室日常事务，领导、组织、协调涉及国家安全的各项工作。</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（9）负责档案行政审批、行政执法等工作，指导监督全省档案工作。</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（10）管理部门管理机构、直属事业单位。</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default" w:ascii="Times New Roman" w:hAnsi="Times New Roman" w:eastAsia="方正仿宋简体" w:cs="Times New Roman"/>
          <w:b/>
          <w:bCs/>
          <w:color w:val="000000"/>
          <w:sz w:val="32"/>
          <w:szCs w:val="32"/>
        </w:rPr>
      </w:pPr>
      <w:r>
        <w:rPr>
          <w:rFonts w:hint="eastAsia" w:ascii="仿宋" w:hAnsi="仿宋" w:eastAsia="仿宋" w:cs="仿宋"/>
          <w:b/>
          <w:bCs/>
          <w:color w:val="auto"/>
          <w:kern w:val="2"/>
          <w:sz w:val="32"/>
          <w:szCs w:val="32"/>
          <w:lang w:val="en-US" w:eastAsia="zh-CN" w:bidi="ar-SA"/>
        </w:rPr>
        <w:t>（11）完成省委交办的其他工作。</w:t>
      </w:r>
    </w:p>
    <w:p>
      <w:pPr>
        <w:pStyle w:val="4"/>
        <w:pageBreakBefore w:val="0"/>
        <w:widowControl w:val="0"/>
        <w:kinsoku/>
        <w:wordWrap/>
        <w:overflowPunct/>
        <w:topLinePunct w:val="0"/>
        <w:autoSpaceDE/>
        <w:autoSpaceDN/>
        <w:bidi w:val="0"/>
        <w:adjustRightInd w:val="0"/>
        <w:snapToGrid w:val="0"/>
        <w:spacing w:beforeLines="0" w:beforeAutospacing="0" w:line="600" w:lineRule="exact"/>
        <w:ind w:firstLine="675" w:firstLineChars="210"/>
        <w:textAlignment w:val="auto"/>
        <w:outlineLvl w:val="2"/>
        <w:rPr>
          <w:rFonts w:hint="eastAsia" w:ascii="楷体" w:hAnsi="楷体" w:eastAsia="楷体" w:cs="楷体"/>
          <w:b/>
          <w:bCs/>
          <w:color w:val="000000"/>
          <w:sz w:val="32"/>
          <w:szCs w:val="32"/>
        </w:rPr>
      </w:pPr>
      <w:bookmarkStart w:id="29" w:name="_Toc15378446"/>
      <w:bookmarkStart w:id="30" w:name="_Toc15377199"/>
      <w:r>
        <w:rPr>
          <w:rFonts w:hint="eastAsia" w:ascii="楷体" w:hAnsi="楷体" w:eastAsia="楷体" w:cs="楷体"/>
          <w:b/>
          <w:bCs/>
          <w:color w:val="000000"/>
          <w:sz w:val="32"/>
          <w:szCs w:val="32"/>
        </w:rPr>
        <w:t>（二）201</w:t>
      </w:r>
      <w:r>
        <w:rPr>
          <w:rFonts w:hint="eastAsia" w:ascii="楷体" w:hAnsi="楷体" w:eastAsia="楷体" w:cs="楷体"/>
          <w:b/>
          <w:bCs/>
          <w:color w:val="000000"/>
          <w:sz w:val="32"/>
          <w:szCs w:val="32"/>
          <w:lang w:val="en-US" w:eastAsia="zh-CN"/>
        </w:rPr>
        <w:t>9</w:t>
      </w:r>
      <w:r>
        <w:rPr>
          <w:rFonts w:hint="eastAsia" w:ascii="楷体" w:hAnsi="楷体" w:eastAsia="楷体" w:cs="楷体"/>
          <w:b/>
          <w:bCs/>
          <w:color w:val="000000"/>
          <w:sz w:val="32"/>
          <w:szCs w:val="32"/>
        </w:rPr>
        <w:t>年重点工作完成情况</w:t>
      </w:r>
      <w:bookmarkEnd w:id="29"/>
      <w:bookmarkEnd w:id="30"/>
    </w:p>
    <w:p>
      <w:pPr>
        <w:keepNext w:val="0"/>
        <w:keepLines w:val="0"/>
        <w:pageBreakBefore w:val="0"/>
        <w:widowControl w:val="0"/>
        <w:kinsoku/>
        <w:wordWrap/>
        <w:overflowPunct/>
        <w:topLinePunct w:val="0"/>
        <w:autoSpaceDE/>
        <w:autoSpaceDN/>
        <w:bidi w:val="0"/>
        <w:adjustRightInd w:val="0"/>
        <w:snapToGrid w:val="0"/>
        <w:spacing w:afterAutospacing="0" w:line="600" w:lineRule="exact"/>
        <w:ind w:firstLine="643" w:firstLineChars="200"/>
        <w:textAlignment w:val="auto"/>
        <w:rPr>
          <w:rFonts w:hint="default" w:ascii="Times New Roman" w:hAnsi="Times New Roman" w:eastAsia="方正仿宋简体" w:cs="Times New Roman"/>
          <w:b/>
          <w:bCs/>
          <w:color w:val="000000"/>
          <w:sz w:val="32"/>
          <w:szCs w:val="32"/>
        </w:rPr>
      </w:pPr>
      <w:r>
        <w:rPr>
          <w:rFonts w:hint="eastAsia" w:ascii="仿宋" w:hAnsi="仿宋" w:eastAsia="仿宋" w:cs="仿宋"/>
          <w:b/>
          <w:bCs/>
          <w:color w:val="auto"/>
          <w:sz w:val="32"/>
          <w:szCs w:val="32"/>
        </w:rPr>
        <w:t>以习近平新时代中国特色社会主义思想为指导，全面贯彻党的十九大和十九届二中、三中</w:t>
      </w:r>
      <w:r>
        <w:rPr>
          <w:rFonts w:hint="eastAsia" w:ascii="仿宋" w:hAnsi="仿宋" w:eastAsia="仿宋" w:cs="仿宋"/>
          <w:b/>
          <w:bCs/>
          <w:color w:val="auto"/>
          <w:sz w:val="32"/>
          <w:szCs w:val="32"/>
          <w:lang w:eastAsia="zh-CN"/>
        </w:rPr>
        <w:t>、四中</w:t>
      </w:r>
      <w:r>
        <w:rPr>
          <w:rFonts w:hint="eastAsia" w:ascii="仿宋" w:hAnsi="仿宋" w:eastAsia="仿宋" w:cs="仿宋"/>
          <w:b/>
          <w:bCs/>
          <w:color w:val="auto"/>
          <w:sz w:val="32"/>
          <w:szCs w:val="32"/>
        </w:rPr>
        <w:t>全会精神，深入学习贯彻习近平总书记对四川工作系列重要指示精神，</w:t>
      </w:r>
      <w:r>
        <w:rPr>
          <w:rFonts w:hint="eastAsia" w:ascii="仿宋" w:hAnsi="仿宋" w:eastAsia="仿宋" w:cs="仿宋"/>
          <w:b/>
          <w:bCs/>
          <w:color w:val="auto"/>
          <w:sz w:val="32"/>
          <w:szCs w:val="32"/>
          <w:lang w:eastAsia="zh-CN"/>
        </w:rPr>
        <w:t>在省委坚强领导下</w:t>
      </w:r>
      <w:r>
        <w:rPr>
          <w:rFonts w:hint="eastAsia" w:ascii="仿宋" w:hAnsi="仿宋" w:eastAsia="仿宋" w:cs="仿宋"/>
          <w:b/>
          <w:bCs/>
          <w:color w:val="auto"/>
          <w:sz w:val="32"/>
          <w:szCs w:val="32"/>
        </w:rPr>
        <w:t>，增强</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四个意识</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，坚定</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四个自信</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，做到</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两个维护</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深入践行</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五个坚持</w:t>
      </w:r>
      <w:r>
        <w:rPr>
          <w:rFonts w:hint="eastAsia" w:ascii="仿宋" w:hAnsi="仿宋" w:eastAsia="仿宋" w:cs="仿宋"/>
          <w:b/>
          <w:bCs/>
          <w:color w:val="auto"/>
          <w:sz w:val="32"/>
          <w:szCs w:val="32"/>
          <w:lang w:eastAsia="zh-CN"/>
        </w:rPr>
        <w:t>”，全力推动中央和省委各项决策部署落地落实。坚持围绕中心、服务大局，</w:t>
      </w:r>
      <w:r>
        <w:rPr>
          <w:rFonts w:hint="eastAsia" w:ascii="仿宋" w:hAnsi="仿宋" w:eastAsia="仿宋" w:cs="仿宋"/>
          <w:b/>
          <w:bCs/>
          <w:color w:val="auto"/>
          <w:sz w:val="32"/>
          <w:szCs w:val="32"/>
        </w:rPr>
        <w:t>充分发挥抓落实基本职能</w:t>
      </w:r>
      <w:r>
        <w:rPr>
          <w:rFonts w:hint="eastAsia" w:ascii="仿宋" w:hAnsi="仿宋" w:eastAsia="仿宋" w:cs="仿宋"/>
          <w:b/>
          <w:bCs/>
          <w:color w:val="auto"/>
          <w:sz w:val="32"/>
          <w:szCs w:val="32"/>
          <w:lang w:eastAsia="zh-CN"/>
        </w:rPr>
        <w:t>职责</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精心服务省委“不忘初心、牢记使命”主题教育和新中国成立</w:t>
      </w:r>
      <w:r>
        <w:rPr>
          <w:rFonts w:hint="eastAsia" w:ascii="仿宋" w:hAnsi="仿宋" w:eastAsia="仿宋" w:cs="仿宋"/>
          <w:b/>
          <w:bCs/>
          <w:color w:val="auto"/>
          <w:sz w:val="32"/>
          <w:szCs w:val="32"/>
          <w:lang w:val="en-US" w:eastAsia="zh-CN"/>
        </w:rPr>
        <w:t>70周年系列庆祝活动</w:t>
      </w:r>
      <w:r>
        <w:rPr>
          <w:rFonts w:hint="eastAsia" w:ascii="仿宋" w:hAnsi="仿宋" w:eastAsia="仿宋" w:cs="仿宋"/>
          <w:b/>
          <w:bCs/>
          <w:color w:val="auto"/>
          <w:sz w:val="32"/>
          <w:szCs w:val="32"/>
          <w:lang w:eastAsia="zh-CN"/>
        </w:rPr>
        <w:t>，全力助推</w:t>
      </w:r>
      <w:r>
        <w:rPr>
          <w:rFonts w:hint="eastAsia" w:ascii="仿宋" w:hAnsi="仿宋" w:eastAsia="仿宋" w:cs="仿宋"/>
          <w:b/>
          <w:bCs/>
          <w:color w:val="auto"/>
          <w:sz w:val="32"/>
          <w:szCs w:val="32"/>
        </w:rPr>
        <w:t>省委</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一干多支、五区协同</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四向拓展、全域开放</w:t>
      </w:r>
      <w:r>
        <w:rPr>
          <w:rFonts w:hint="eastAsia" w:ascii="仿宋" w:hAnsi="仿宋" w:eastAsia="仿宋" w:cs="仿宋"/>
          <w:b/>
          <w:bCs/>
          <w:color w:val="auto"/>
          <w:sz w:val="32"/>
          <w:szCs w:val="32"/>
          <w:lang w:eastAsia="zh-CN"/>
        </w:rPr>
        <w:t>”和文化旅游、县域经济</w:t>
      </w:r>
      <w:r>
        <w:rPr>
          <w:rFonts w:hint="eastAsia" w:ascii="仿宋" w:hAnsi="仿宋" w:eastAsia="仿宋" w:cs="仿宋"/>
          <w:b/>
          <w:bCs/>
          <w:color w:val="auto"/>
          <w:sz w:val="32"/>
          <w:szCs w:val="32"/>
        </w:rPr>
        <w:t>等</w:t>
      </w:r>
      <w:r>
        <w:rPr>
          <w:rFonts w:hint="eastAsia" w:ascii="仿宋" w:hAnsi="仿宋" w:eastAsia="仿宋" w:cs="仿宋"/>
          <w:b/>
          <w:bCs/>
          <w:color w:val="auto"/>
          <w:sz w:val="32"/>
          <w:szCs w:val="32"/>
          <w:lang w:eastAsia="zh-CN"/>
        </w:rPr>
        <w:t>部署终端</w:t>
      </w:r>
      <w:r>
        <w:rPr>
          <w:rFonts w:hint="eastAsia" w:ascii="仿宋" w:hAnsi="仿宋" w:eastAsia="仿宋" w:cs="仿宋"/>
          <w:b/>
          <w:bCs/>
          <w:color w:val="auto"/>
          <w:sz w:val="32"/>
          <w:szCs w:val="32"/>
        </w:rPr>
        <w:t>见效。</w:t>
      </w:r>
      <w:r>
        <w:rPr>
          <w:rFonts w:hint="eastAsia" w:ascii="仿宋" w:hAnsi="仿宋" w:eastAsia="仿宋" w:cs="仿宋"/>
          <w:b/>
          <w:bCs/>
          <w:color w:val="auto"/>
          <w:sz w:val="32"/>
          <w:szCs w:val="32"/>
          <w:lang w:eastAsia="zh-CN"/>
        </w:rPr>
        <w:t>对标“三个更高”要求</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精心服务省委全会、经济工作会等重要会议活动，力戒形式主义、官僚主义，大力精文简会</w:t>
      </w:r>
      <w:r>
        <w:rPr>
          <w:rFonts w:hint="eastAsia" w:ascii="仿宋" w:hAnsi="仿宋" w:eastAsia="仿宋" w:cs="仿宋"/>
          <w:b/>
          <w:bCs/>
          <w:color w:val="auto"/>
          <w:sz w:val="32"/>
          <w:szCs w:val="32"/>
        </w:rPr>
        <w:t>，统筹规范督查检查考核，提升文稿服务、公文</w:t>
      </w:r>
      <w:r>
        <w:rPr>
          <w:rFonts w:hint="eastAsia" w:ascii="仿宋" w:hAnsi="仿宋" w:eastAsia="仿宋" w:cs="仿宋"/>
          <w:b/>
          <w:bCs/>
          <w:color w:val="auto"/>
          <w:sz w:val="32"/>
          <w:szCs w:val="32"/>
          <w:lang w:eastAsia="zh-CN"/>
        </w:rPr>
        <w:t>处</w:t>
      </w:r>
      <w:r>
        <w:rPr>
          <w:rFonts w:hint="eastAsia" w:ascii="仿宋" w:hAnsi="仿宋" w:eastAsia="仿宋" w:cs="仿宋"/>
          <w:b/>
          <w:bCs/>
          <w:color w:val="auto"/>
          <w:sz w:val="32"/>
          <w:szCs w:val="32"/>
        </w:rPr>
        <w:t>理、党内法规、信息服务</w:t>
      </w:r>
      <w:r>
        <w:rPr>
          <w:rFonts w:hint="eastAsia" w:ascii="仿宋" w:hAnsi="仿宋" w:eastAsia="仿宋" w:cs="仿宋"/>
          <w:b/>
          <w:bCs/>
          <w:color w:val="auto"/>
          <w:sz w:val="32"/>
          <w:szCs w:val="32"/>
          <w:lang w:eastAsia="zh-CN"/>
        </w:rPr>
        <w:t>、党务公开</w:t>
      </w:r>
      <w:r>
        <w:rPr>
          <w:rFonts w:hint="eastAsia" w:ascii="仿宋" w:hAnsi="仿宋" w:eastAsia="仿宋" w:cs="仿宋"/>
          <w:b/>
          <w:bCs/>
          <w:color w:val="auto"/>
          <w:sz w:val="32"/>
          <w:szCs w:val="32"/>
        </w:rPr>
        <w:t>等工作质效，</w:t>
      </w:r>
      <w:r>
        <w:rPr>
          <w:rFonts w:hint="eastAsia" w:ascii="仿宋" w:hAnsi="仿宋" w:eastAsia="仿宋" w:cs="仿宋"/>
          <w:b/>
          <w:bCs/>
          <w:color w:val="auto"/>
          <w:sz w:val="32"/>
          <w:szCs w:val="32"/>
          <w:lang w:eastAsia="zh-CN"/>
        </w:rPr>
        <w:t>统筹做好省委国家安全工作，</w:t>
      </w:r>
      <w:r>
        <w:rPr>
          <w:rFonts w:hint="eastAsia" w:ascii="仿宋" w:hAnsi="仿宋" w:eastAsia="仿宋" w:cs="仿宋"/>
          <w:b/>
          <w:bCs/>
          <w:color w:val="auto"/>
          <w:sz w:val="32"/>
          <w:szCs w:val="32"/>
        </w:rPr>
        <w:t>抓好机要密码、机要交通、专用通信和保密工作，做好应急值守和安全保卫，深化干部队伍建设和离退休人员工作</w:t>
      </w:r>
      <w:r>
        <w:rPr>
          <w:rFonts w:hint="eastAsia" w:ascii="仿宋" w:hAnsi="仿宋" w:eastAsia="仿宋" w:cs="仿宋"/>
          <w:b/>
          <w:bCs/>
          <w:color w:val="auto"/>
          <w:sz w:val="32"/>
          <w:szCs w:val="32"/>
          <w:lang w:eastAsia="zh-CN"/>
        </w:rPr>
        <w:t>，统筹推进办公厅机构改革</w:t>
      </w:r>
      <w:r>
        <w:rPr>
          <w:rFonts w:hint="eastAsia" w:ascii="仿宋" w:hAnsi="仿宋" w:eastAsia="仿宋" w:cs="仿宋"/>
          <w:b/>
          <w:bCs/>
          <w:color w:val="auto"/>
          <w:sz w:val="32"/>
          <w:szCs w:val="32"/>
        </w:rPr>
        <w:t>，提高机关后勤</w:t>
      </w:r>
      <w:r>
        <w:rPr>
          <w:rFonts w:hint="eastAsia" w:ascii="仿宋" w:hAnsi="仿宋" w:eastAsia="仿宋" w:cs="仿宋"/>
          <w:b/>
          <w:bCs/>
          <w:color w:val="auto"/>
          <w:sz w:val="32"/>
          <w:szCs w:val="32"/>
          <w:lang w:eastAsia="zh-CN"/>
        </w:rPr>
        <w:t>保障能力</w:t>
      </w:r>
      <w:r>
        <w:rPr>
          <w:rFonts w:hint="eastAsia" w:ascii="仿宋" w:hAnsi="仿宋" w:eastAsia="仿宋" w:cs="仿宋"/>
          <w:b/>
          <w:bCs/>
          <w:color w:val="auto"/>
          <w:sz w:val="32"/>
          <w:szCs w:val="32"/>
        </w:rPr>
        <w:t>。持续用力正风肃纪，</w:t>
      </w:r>
      <w:r>
        <w:rPr>
          <w:rFonts w:hint="eastAsia" w:ascii="仿宋" w:hAnsi="仿宋" w:eastAsia="仿宋" w:cs="仿宋"/>
          <w:b/>
          <w:bCs/>
          <w:color w:val="auto"/>
          <w:sz w:val="32"/>
          <w:szCs w:val="32"/>
          <w:lang w:eastAsia="zh-CN"/>
        </w:rPr>
        <w:t>严格</w:t>
      </w:r>
      <w:r>
        <w:rPr>
          <w:rFonts w:hint="eastAsia" w:ascii="仿宋" w:hAnsi="仿宋" w:eastAsia="仿宋" w:cs="仿宋"/>
          <w:b/>
          <w:bCs/>
          <w:color w:val="auto"/>
          <w:sz w:val="32"/>
          <w:szCs w:val="32"/>
        </w:rPr>
        <w:t>执行中央八项规定精神和省委、省政府十项规定及其实施细则。</w:t>
      </w:r>
      <w:r>
        <w:rPr>
          <w:rFonts w:hint="eastAsia" w:ascii="仿宋" w:hAnsi="仿宋" w:eastAsia="仿宋" w:cs="仿宋"/>
          <w:b/>
          <w:bCs/>
          <w:color w:val="auto"/>
          <w:sz w:val="32"/>
          <w:szCs w:val="32"/>
          <w:lang w:eastAsia="zh-CN"/>
        </w:rPr>
        <w:t>落实</w:t>
      </w:r>
      <w:r>
        <w:rPr>
          <w:rFonts w:hint="eastAsia" w:ascii="仿宋" w:hAnsi="仿宋" w:eastAsia="仿宋" w:cs="仿宋"/>
          <w:b/>
          <w:bCs/>
          <w:color w:val="auto"/>
          <w:sz w:val="32"/>
          <w:szCs w:val="32"/>
        </w:rPr>
        <w:t>精准扶贫、精准脱贫</w:t>
      </w:r>
      <w:r>
        <w:rPr>
          <w:rFonts w:hint="eastAsia" w:ascii="仿宋" w:hAnsi="仿宋" w:eastAsia="仿宋" w:cs="仿宋"/>
          <w:b/>
          <w:bCs/>
          <w:color w:val="auto"/>
          <w:sz w:val="32"/>
          <w:szCs w:val="32"/>
          <w:lang w:eastAsia="zh-CN"/>
        </w:rPr>
        <w:t>要求，抓好定点帮扶工作。</w:t>
      </w:r>
      <w:r>
        <w:rPr>
          <w:rFonts w:hint="eastAsia" w:ascii="仿宋" w:hAnsi="仿宋" w:eastAsia="仿宋" w:cs="仿宋"/>
          <w:b/>
          <w:bCs/>
          <w:color w:val="auto"/>
          <w:sz w:val="32"/>
          <w:szCs w:val="32"/>
        </w:rPr>
        <w:t>健全制度机制，锻造过硬作风，</w:t>
      </w:r>
      <w:r>
        <w:rPr>
          <w:rFonts w:hint="eastAsia" w:ascii="仿宋" w:hAnsi="仿宋" w:eastAsia="仿宋" w:cs="仿宋"/>
          <w:b/>
          <w:bCs/>
          <w:color w:val="auto"/>
          <w:sz w:val="32"/>
          <w:szCs w:val="32"/>
          <w:lang w:eastAsia="zh-CN"/>
        </w:rPr>
        <w:t>持续</w:t>
      </w:r>
      <w:r>
        <w:rPr>
          <w:rFonts w:hint="eastAsia" w:ascii="仿宋" w:hAnsi="仿宋" w:eastAsia="仿宋" w:cs="仿宋"/>
          <w:b/>
          <w:bCs/>
          <w:color w:val="auto"/>
          <w:sz w:val="32"/>
          <w:szCs w:val="32"/>
        </w:rPr>
        <w:t>深化</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工作无差错</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活动，深入推进</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六个机关</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建设，</w:t>
      </w:r>
      <w:r>
        <w:rPr>
          <w:rFonts w:hint="eastAsia" w:ascii="仿宋" w:hAnsi="仿宋" w:eastAsia="仿宋" w:cs="仿宋"/>
          <w:b/>
          <w:bCs/>
          <w:color w:val="auto"/>
          <w:sz w:val="32"/>
          <w:szCs w:val="32"/>
          <w:lang w:eastAsia="zh-CN"/>
        </w:rPr>
        <w:t>不断提升“三服务”工作制度化规范化科学化水平，</w:t>
      </w:r>
      <w:r>
        <w:rPr>
          <w:rFonts w:hint="eastAsia" w:ascii="仿宋" w:hAnsi="仿宋" w:eastAsia="仿宋" w:cs="仿宋"/>
          <w:b/>
          <w:bCs/>
          <w:color w:val="auto"/>
          <w:sz w:val="32"/>
          <w:szCs w:val="32"/>
        </w:rPr>
        <w:t>努力建设让党放心、让人民满意的模范机关。</w:t>
      </w:r>
    </w:p>
    <w:p>
      <w:pPr>
        <w:pStyle w:val="3"/>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3" w:firstLineChars="200"/>
        <w:textAlignment w:val="auto"/>
        <w:rPr>
          <w:rStyle w:val="24"/>
          <w:rFonts w:hint="default" w:ascii="Times New Roman" w:hAnsi="Times New Roman" w:cs="Times New Roman"/>
          <w:b/>
          <w:bCs/>
        </w:rPr>
      </w:pPr>
      <w:bookmarkStart w:id="31" w:name="_Toc30205"/>
      <w:bookmarkStart w:id="32" w:name="_Toc15377200"/>
      <w:r>
        <w:rPr>
          <w:rFonts w:hint="default" w:ascii="Times New Roman" w:hAnsi="Times New Roman" w:eastAsia="黑体" w:cs="Times New Roman"/>
          <w:b/>
          <w:bCs/>
          <w:color w:val="000000"/>
        </w:rPr>
        <w:t>二、机</w:t>
      </w:r>
      <w:r>
        <w:rPr>
          <w:rStyle w:val="24"/>
          <w:rFonts w:hint="default" w:ascii="Times New Roman" w:hAnsi="Times New Roman" w:eastAsia="黑体" w:cs="Times New Roman"/>
          <w:b/>
          <w:bCs/>
        </w:rPr>
        <w:t>构设置</w:t>
      </w:r>
      <w:bookmarkEnd w:id="31"/>
      <w:bookmarkEnd w:id="32"/>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省委办公厅下属二级预算单位共有5个，其中行政单位1个；参照公务员法管理的事业单位1个；其他事业单位3个。</w:t>
      </w:r>
    </w:p>
    <w:p>
      <w:pPr>
        <w:pStyle w:val="4"/>
        <w:keepNext w:val="0"/>
        <w:keepLines w:val="0"/>
        <w:pageBreakBefore w:val="0"/>
        <w:widowControl w:val="0"/>
        <w:kinsoku/>
        <w:wordWrap/>
        <w:overflowPunct/>
        <w:topLinePunct w:val="0"/>
        <w:autoSpaceDE/>
        <w:autoSpaceDN/>
        <w:bidi w:val="0"/>
        <w:adjustRightInd w:val="0"/>
        <w:snapToGrid w:val="0"/>
        <w:spacing w:beforeLines="0" w:beforeAutospacing="0" w:afterAutospacing="0" w:line="600" w:lineRule="exact"/>
        <w:ind w:firstLine="675" w:firstLineChars="21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纳入省委办公厅2019年度部门决算编制范围的二级预算单位包括：</w:t>
      </w:r>
    </w:p>
    <w:p>
      <w:pPr>
        <w:pStyle w:val="4"/>
        <w:pageBreakBefore w:val="0"/>
        <w:widowControl w:val="0"/>
        <w:numPr>
          <w:ilvl w:val="0"/>
          <w:numId w:val="0"/>
        </w:numPr>
        <w:kinsoku/>
        <w:wordWrap/>
        <w:overflowPunct/>
        <w:topLinePunct w:val="0"/>
        <w:autoSpaceDE/>
        <w:autoSpaceDN/>
        <w:bidi w:val="0"/>
        <w:adjustRightInd w:val="0"/>
        <w:snapToGrid w:val="0"/>
        <w:spacing w:beforeLines="0" w:beforeAutospacing="0" w:afterAutospacing="0" w:line="600" w:lineRule="exact"/>
        <w:ind w:left="672" w:leftChars="0"/>
        <w:textAlignment w:val="auto"/>
        <w:outlineLvl w:val="2"/>
        <w:rPr>
          <w:rFonts w:hint="eastAsia" w:ascii="仿宋" w:hAnsi="仿宋" w:eastAsia="仿宋" w:cs="仿宋"/>
          <w:b/>
          <w:bCs/>
          <w:color w:val="000000"/>
          <w:sz w:val="32"/>
          <w:szCs w:val="32"/>
        </w:rPr>
      </w:pPr>
      <w:bookmarkStart w:id="33" w:name="_Toc15377202"/>
      <w:bookmarkStart w:id="34" w:name="_Toc15378449"/>
      <w:bookmarkStart w:id="35" w:name="_Toc15377433"/>
      <w:bookmarkStart w:id="36" w:name="_Toc15306276"/>
      <w:r>
        <w:rPr>
          <w:rFonts w:hint="eastAsia" w:ascii="仿宋" w:hAnsi="仿宋" w:eastAsia="仿宋" w:cs="仿宋"/>
          <w:b/>
          <w:bCs/>
          <w:kern w:val="2"/>
          <w:sz w:val="32"/>
          <w:szCs w:val="32"/>
          <w:lang w:val="en-US" w:eastAsia="zh-CN" w:bidi="ar-SA"/>
        </w:rPr>
        <w:t>1.省委办公厅机关</w:t>
      </w:r>
      <w:bookmarkEnd w:id="33"/>
      <w:bookmarkEnd w:id="34"/>
      <w:bookmarkEnd w:id="35"/>
      <w:bookmarkEnd w:id="36"/>
    </w:p>
    <w:p>
      <w:pPr>
        <w:pStyle w:val="4"/>
        <w:pageBreakBefore w:val="0"/>
        <w:widowControl w:val="0"/>
        <w:numPr>
          <w:ilvl w:val="0"/>
          <w:numId w:val="0"/>
        </w:numPr>
        <w:kinsoku/>
        <w:wordWrap/>
        <w:overflowPunct/>
        <w:topLinePunct w:val="0"/>
        <w:autoSpaceDE/>
        <w:autoSpaceDN/>
        <w:bidi w:val="0"/>
        <w:adjustRightInd w:val="0"/>
        <w:snapToGrid w:val="0"/>
        <w:spacing w:beforeLines="0" w:beforeAutospacing="0" w:afterAutospacing="0" w:line="600" w:lineRule="exact"/>
        <w:ind w:left="672" w:leftChars="0"/>
        <w:textAlignment w:val="auto"/>
        <w:outlineLvl w:val="2"/>
        <w:rPr>
          <w:rFonts w:hint="eastAsia" w:ascii="仿宋" w:hAnsi="仿宋" w:eastAsia="仿宋" w:cs="仿宋"/>
          <w:b/>
          <w:bCs/>
          <w:color w:val="000000"/>
          <w:sz w:val="32"/>
          <w:szCs w:val="32"/>
        </w:rPr>
      </w:pPr>
      <w:r>
        <w:rPr>
          <w:rFonts w:hint="eastAsia" w:ascii="仿宋" w:hAnsi="仿宋" w:eastAsia="仿宋" w:cs="仿宋"/>
          <w:b/>
          <w:bCs/>
          <w:kern w:val="2"/>
          <w:sz w:val="32"/>
          <w:szCs w:val="32"/>
          <w:lang w:val="en-US" w:eastAsia="zh-CN" w:bidi="ar-SA"/>
        </w:rPr>
        <w:t>2.省密钥管理中心</w:t>
      </w:r>
    </w:p>
    <w:p>
      <w:pPr>
        <w:pStyle w:val="4"/>
        <w:pageBreakBefore w:val="0"/>
        <w:widowControl w:val="0"/>
        <w:numPr>
          <w:ilvl w:val="0"/>
          <w:numId w:val="0"/>
        </w:numPr>
        <w:kinsoku/>
        <w:wordWrap/>
        <w:overflowPunct/>
        <w:topLinePunct w:val="0"/>
        <w:autoSpaceDE/>
        <w:autoSpaceDN/>
        <w:bidi w:val="0"/>
        <w:adjustRightInd w:val="0"/>
        <w:snapToGrid w:val="0"/>
        <w:spacing w:beforeLines="0" w:beforeAutospacing="0" w:afterAutospacing="0" w:line="600" w:lineRule="exact"/>
        <w:ind w:left="672" w:leftChars="0"/>
        <w:textAlignment w:val="auto"/>
        <w:outlineLvl w:val="2"/>
        <w:rPr>
          <w:rFonts w:hint="eastAsia" w:ascii="仿宋" w:hAnsi="仿宋" w:eastAsia="仿宋" w:cs="仿宋"/>
          <w:b/>
          <w:bCs/>
          <w:color w:val="000000"/>
          <w:sz w:val="32"/>
          <w:szCs w:val="32"/>
        </w:rPr>
      </w:pPr>
      <w:r>
        <w:rPr>
          <w:rFonts w:hint="eastAsia" w:ascii="仿宋" w:hAnsi="仿宋" w:eastAsia="仿宋" w:cs="仿宋"/>
          <w:b/>
          <w:bCs/>
          <w:kern w:val="2"/>
          <w:sz w:val="32"/>
          <w:szCs w:val="32"/>
          <w:lang w:val="en-US" w:eastAsia="zh-CN" w:bidi="ar-SA"/>
        </w:rPr>
        <w:t>3.省委办公厅机关服务中心</w:t>
      </w:r>
    </w:p>
    <w:p>
      <w:pPr>
        <w:pStyle w:val="4"/>
        <w:pageBreakBefore w:val="0"/>
        <w:widowControl w:val="0"/>
        <w:numPr>
          <w:ilvl w:val="0"/>
          <w:numId w:val="0"/>
        </w:numPr>
        <w:kinsoku/>
        <w:wordWrap/>
        <w:overflowPunct/>
        <w:topLinePunct w:val="0"/>
        <w:autoSpaceDE/>
        <w:autoSpaceDN/>
        <w:bidi w:val="0"/>
        <w:adjustRightInd w:val="0"/>
        <w:snapToGrid w:val="0"/>
        <w:spacing w:beforeLines="0" w:beforeAutospacing="0" w:afterAutospacing="0" w:line="600" w:lineRule="exact"/>
        <w:ind w:left="672" w:leftChars="0"/>
        <w:textAlignment w:val="auto"/>
        <w:outlineLvl w:val="2"/>
        <w:rPr>
          <w:rFonts w:hint="eastAsia" w:ascii="仿宋" w:hAnsi="仿宋" w:eastAsia="仿宋" w:cs="仿宋"/>
          <w:b/>
          <w:bCs/>
          <w:color w:val="000000"/>
          <w:sz w:val="32"/>
          <w:szCs w:val="32"/>
        </w:rPr>
      </w:pPr>
      <w:r>
        <w:rPr>
          <w:rFonts w:hint="eastAsia" w:ascii="仿宋" w:hAnsi="仿宋" w:eastAsia="仿宋" w:cs="仿宋"/>
          <w:b/>
          <w:bCs/>
          <w:kern w:val="2"/>
          <w:sz w:val="32"/>
          <w:szCs w:val="32"/>
          <w:lang w:val="en-US" w:eastAsia="zh-CN" w:bidi="ar-SA"/>
        </w:rPr>
        <w:t>4.省委办公厅互联网信息中心</w:t>
      </w:r>
    </w:p>
    <w:p>
      <w:pPr>
        <w:pStyle w:val="4"/>
        <w:pageBreakBefore w:val="0"/>
        <w:widowControl w:val="0"/>
        <w:numPr>
          <w:ilvl w:val="0"/>
          <w:numId w:val="0"/>
        </w:numPr>
        <w:kinsoku/>
        <w:wordWrap/>
        <w:overflowPunct/>
        <w:topLinePunct w:val="0"/>
        <w:autoSpaceDE/>
        <w:autoSpaceDN/>
        <w:bidi w:val="0"/>
        <w:adjustRightInd w:val="0"/>
        <w:snapToGrid w:val="0"/>
        <w:spacing w:beforeLines="0" w:beforeAutospacing="0" w:line="600" w:lineRule="exact"/>
        <w:ind w:left="672" w:leftChars="0"/>
        <w:textAlignment w:val="auto"/>
        <w:outlineLvl w:val="2"/>
        <w:rPr>
          <w:rFonts w:hint="default" w:ascii="Times New Roman" w:hAnsi="Times New Roman" w:eastAsia="仿宋" w:cs="Times New Roman"/>
          <w:b/>
          <w:bCs/>
          <w:color w:val="000000"/>
          <w:kern w:val="0"/>
          <w:sz w:val="32"/>
          <w:szCs w:val="32"/>
        </w:rPr>
      </w:pPr>
      <w:r>
        <w:rPr>
          <w:rFonts w:hint="eastAsia" w:ascii="仿宋" w:hAnsi="仿宋" w:eastAsia="仿宋" w:cs="仿宋"/>
          <w:b/>
          <w:bCs/>
          <w:kern w:val="2"/>
          <w:sz w:val="32"/>
          <w:szCs w:val="32"/>
          <w:lang w:val="en-US" w:eastAsia="zh-CN" w:bidi="ar-SA"/>
        </w:rPr>
        <w:t>5.省委办公厅幼儿园</w:t>
      </w:r>
      <w:r>
        <w:rPr>
          <w:rFonts w:hint="default" w:ascii="Times New Roman" w:hAnsi="Times New Roman" w:eastAsia="仿宋" w:cs="Times New Roman"/>
          <w:b/>
          <w:bCs/>
          <w:color w:val="000000"/>
          <w:sz w:val="32"/>
          <w:szCs w:val="32"/>
        </w:rPr>
        <w:br w:type="page"/>
      </w:r>
    </w:p>
    <w:p>
      <w:pPr>
        <w:pStyle w:val="2"/>
        <w:pageBreakBefore w:val="0"/>
        <w:widowControl w:val="0"/>
        <w:kinsoku/>
        <w:wordWrap/>
        <w:overflowPunct/>
        <w:topLinePunct w:val="0"/>
        <w:autoSpaceDE/>
        <w:autoSpaceDN/>
        <w:bidi w:val="0"/>
        <w:adjustRightInd w:val="0"/>
        <w:snapToGrid w:val="0"/>
        <w:spacing w:after="0" w:afterAutospacing="0" w:line="600" w:lineRule="exact"/>
        <w:ind w:right="440"/>
        <w:jc w:val="right"/>
        <w:textAlignment w:val="auto"/>
        <w:rPr>
          <w:rFonts w:hint="default" w:ascii="Times New Roman" w:hAnsi="Times New Roman" w:cs="Times New Roman"/>
          <w:b/>
          <w:bCs/>
        </w:rPr>
      </w:pPr>
      <w:bookmarkStart w:id="37" w:name="_Toc27188"/>
      <w:bookmarkStart w:id="38" w:name="_Toc15377204"/>
      <w:r>
        <w:rPr>
          <w:rFonts w:hint="default" w:ascii="Times New Roman" w:hAnsi="Times New Roman" w:eastAsia="黑体" w:cs="Times New Roman"/>
          <w:b/>
          <w:bCs/>
          <w:color w:val="000000"/>
        </w:rPr>
        <w:t xml:space="preserve">第二部分 </w:t>
      </w:r>
      <w:r>
        <w:rPr>
          <w:rStyle w:val="23"/>
          <w:rFonts w:hint="eastAsia" w:ascii="黑体" w:hAnsi="黑体" w:eastAsia="黑体" w:cs="黑体"/>
          <w:b/>
          <w:bCs/>
        </w:rPr>
        <w:t>201</w:t>
      </w:r>
      <w:r>
        <w:rPr>
          <w:rStyle w:val="23"/>
          <w:rFonts w:hint="eastAsia" w:ascii="黑体" w:hAnsi="黑体" w:eastAsia="黑体" w:cs="黑体"/>
          <w:b/>
          <w:bCs/>
          <w:lang w:val="en-US" w:eastAsia="zh-CN"/>
        </w:rPr>
        <w:t>9</w:t>
      </w:r>
      <w:r>
        <w:rPr>
          <w:rStyle w:val="23"/>
          <w:rFonts w:hint="default" w:ascii="Times New Roman" w:hAnsi="Times New Roman" w:eastAsia="黑体" w:cs="Times New Roman"/>
          <w:b/>
          <w:bCs/>
        </w:rPr>
        <w:t>年度部门决算情况说明</w:t>
      </w:r>
      <w:bookmarkEnd w:id="37"/>
      <w:bookmarkEnd w:id="38"/>
    </w:p>
    <w:p>
      <w:pPr>
        <w:pStyle w:val="22"/>
        <w:pageBreakBefore w:val="0"/>
        <w:widowControl w:val="0"/>
        <w:numPr>
          <w:ilvl w:val="0"/>
          <w:numId w:val="1"/>
        </w:numPr>
        <w:kinsoku/>
        <w:wordWrap/>
        <w:overflowPunct/>
        <w:topLinePunct w:val="0"/>
        <w:autoSpaceDE/>
        <w:autoSpaceDN/>
        <w:bidi w:val="0"/>
        <w:adjustRightInd w:val="0"/>
        <w:snapToGrid w:val="0"/>
        <w:spacing w:beforeAutospacing="0" w:line="600" w:lineRule="exact"/>
        <w:ind w:firstLineChars="0"/>
        <w:textAlignment w:val="auto"/>
        <w:outlineLvl w:val="1"/>
        <w:rPr>
          <w:rStyle w:val="24"/>
          <w:rFonts w:hint="default" w:ascii="Times New Roman" w:hAnsi="Times New Roman" w:eastAsia="黑体" w:cs="Times New Roman"/>
          <w:b/>
          <w:bCs/>
        </w:rPr>
      </w:pPr>
      <w:bookmarkStart w:id="39" w:name="_Toc7800"/>
      <w:bookmarkStart w:id="40" w:name="_Toc15377205"/>
      <w:r>
        <w:rPr>
          <w:rFonts w:hint="default" w:ascii="Times New Roman" w:hAnsi="Times New Roman" w:eastAsia="黑体" w:cs="Times New Roman"/>
          <w:b/>
          <w:bCs/>
          <w:color w:val="000000"/>
          <w:sz w:val="32"/>
          <w:szCs w:val="32"/>
        </w:rPr>
        <w:t>收</w:t>
      </w:r>
      <w:r>
        <w:rPr>
          <w:rStyle w:val="24"/>
          <w:rFonts w:hint="default" w:ascii="Times New Roman" w:hAnsi="Times New Roman" w:eastAsia="黑体" w:cs="Times New Roman"/>
          <w:b/>
          <w:bCs/>
        </w:rPr>
        <w:t>入支出决算总体情况说明</w:t>
      </w:r>
      <w:bookmarkEnd w:id="39"/>
      <w:bookmarkEnd w:id="40"/>
    </w:p>
    <w:p>
      <w:pPr>
        <w:pageBreakBefore w:val="0"/>
        <w:widowControl w:val="0"/>
        <w:kinsoku/>
        <w:wordWrap/>
        <w:overflowPunct/>
        <w:topLinePunct w:val="0"/>
        <w:autoSpaceDE/>
        <w:autoSpaceDN/>
        <w:bidi w:val="0"/>
        <w:adjustRightInd w:val="0"/>
        <w:snapToGrid w:val="0"/>
        <w:spacing w:after="211" w:afterLines="67" w:afterAutospacing="0"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2019年度收、支总计为21356.16万元，与2018年相比，收、支总计各增加974.18万元，增长4.78%。主要变动原因是2019年预算执行中追加了一次性基建项目经费。</w:t>
      </w:r>
    </w:p>
    <w:p>
      <w:pPr>
        <w:pageBreakBefore w:val="0"/>
        <w:kinsoku/>
        <w:wordWrap/>
        <w:overflowPunct/>
        <w:topLinePunct w:val="0"/>
        <w:bidi w:val="0"/>
        <w:adjustRightInd w:val="0"/>
        <w:snapToGrid w:val="0"/>
        <w:spacing w:beforeAutospacing="0" w:line="360" w:lineRule="auto"/>
        <w:jc w:val="center"/>
        <w:rPr>
          <w:rFonts w:hint="default" w:ascii="Times New Roman" w:hAnsi="Times New Roman" w:eastAsia="仿宋_GB2312" w:cs="Times New Roman"/>
          <w:b/>
          <w:bCs/>
          <w:sz w:val="32"/>
          <w:szCs w:val="32"/>
          <w:lang w:val="en-US" w:eastAsia="zh-CN"/>
        </w:rPr>
      </w:pPr>
      <w:r>
        <w:drawing>
          <wp:inline distT="0" distB="0" distL="114300" distR="114300">
            <wp:extent cx="3558540" cy="2933065"/>
            <wp:effectExtent l="0" t="0" r="381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3558540" cy="2933065"/>
                    </a:xfrm>
                    <a:prstGeom prst="rect">
                      <a:avLst/>
                    </a:prstGeom>
                    <a:noFill/>
                    <a:ln>
                      <a:noFill/>
                    </a:ln>
                  </pic:spPr>
                </pic:pic>
              </a:graphicData>
            </a:graphic>
          </wp:inline>
        </w:drawing>
      </w:r>
    </w:p>
    <w:p>
      <w:pPr>
        <w:pStyle w:val="22"/>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Chars="0"/>
        <w:textAlignment w:val="auto"/>
        <w:outlineLvl w:val="1"/>
        <w:rPr>
          <w:rStyle w:val="24"/>
          <w:rFonts w:hint="default" w:ascii="Times New Roman" w:hAnsi="Times New Roman" w:eastAsia="黑体" w:cs="Times New Roman"/>
          <w:b/>
          <w:bCs/>
        </w:rPr>
      </w:pPr>
      <w:bookmarkStart w:id="41" w:name="_Toc28389"/>
      <w:bookmarkStart w:id="42" w:name="_Toc15377206"/>
      <w:r>
        <w:rPr>
          <w:rFonts w:hint="default" w:ascii="Times New Roman" w:hAnsi="Times New Roman" w:eastAsia="黑体" w:cs="Times New Roman"/>
          <w:b/>
          <w:bCs/>
          <w:color w:val="000000"/>
          <w:sz w:val="32"/>
          <w:szCs w:val="32"/>
        </w:rPr>
        <w:t>收</w:t>
      </w:r>
      <w:r>
        <w:rPr>
          <w:rStyle w:val="24"/>
          <w:rFonts w:hint="default" w:ascii="Times New Roman" w:hAnsi="Times New Roman" w:eastAsia="黑体" w:cs="Times New Roman"/>
          <w:b/>
          <w:bCs/>
        </w:rPr>
        <w:t>入决算情况说明</w:t>
      </w:r>
      <w:bookmarkEnd w:id="41"/>
      <w:bookmarkEnd w:id="42"/>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b/>
          <w:bCs/>
          <w:color w:val="auto"/>
          <w:sz w:val="32"/>
          <w:szCs w:val="32"/>
          <w:lang w:val="en-US" w:eastAsia="zh-CN"/>
        </w:rPr>
      </w:pPr>
      <w:r>
        <w:rPr>
          <w:rFonts w:hint="eastAsia" w:ascii="仿宋" w:hAnsi="仿宋" w:eastAsia="仿宋" w:cs="仿宋"/>
          <w:b/>
          <w:bCs/>
          <w:color w:val="auto"/>
          <w:sz w:val="32"/>
          <w:szCs w:val="32"/>
          <w:lang w:val="en-US" w:eastAsia="zh-CN"/>
        </w:rPr>
        <w:t>2019年本年收入合计</w:t>
      </w:r>
      <w:r>
        <w:rPr>
          <w:rFonts w:hint="eastAsia" w:ascii="仿宋" w:hAnsi="仿宋" w:eastAsia="仿宋" w:cs="仿宋"/>
          <w:b/>
          <w:bCs/>
          <w:sz w:val="32"/>
          <w:szCs w:val="32"/>
          <w:lang w:val="en-US" w:eastAsia="zh-CN"/>
        </w:rPr>
        <w:t>21356.16</w:t>
      </w:r>
      <w:r>
        <w:rPr>
          <w:rFonts w:hint="eastAsia" w:ascii="仿宋" w:hAnsi="仿宋" w:eastAsia="仿宋" w:cs="仿宋"/>
          <w:b/>
          <w:bCs/>
          <w:color w:val="auto"/>
          <w:sz w:val="32"/>
          <w:szCs w:val="32"/>
          <w:lang w:val="en-US" w:eastAsia="zh-CN"/>
        </w:rPr>
        <w:t>万元，其中：一般公共预算拨款收入21118.10万元，占98.89%；事业收入104.89万元，占0.49%；其他收入133.17万元，占0.62%；政府性基金预算财政拨款收入0万元，占0%；上级补助收入0万元，占0%；经营收入0万元，占0%；附属单位上缴收入0万元，占0%。</w:t>
      </w:r>
    </w:p>
    <w:p>
      <w:pPr>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kern w:val="0"/>
          <w:sz w:val="32"/>
          <w:szCs w:val="32"/>
          <w:lang w:val="en-US" w:eastAsia="zh-CN" w:bidi="ar"/>
        </w:rPr>
      </w:pPr>
      <w:r>
        <w:drawing>
          <wp:inline distT="0" distB="0" distL="114300" distR="114300">
            <wp:extent cx="3528060" cy="3033395"/>
            <wp:effectExtent l="0" t="0" r="15240" b="1460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3528060" cy="3033395"/>
                    </a:xfrm>
                    <a:prstGeom prst="rect">
                      <a:avLst/>
                    </a:prstGeom>
                    <a:noFill/>
                    <a:ln>
                      <a:noFill/>
                    </a:ln>
                  </pic:spPr>
                </pic:pic>
              </a:graphicData>
            </a:graphic>
          </wp:inline>
        </w:drawing>
      </w:r>
    </w:p>
    <w:p>
      <w:pPr>
        <w:pStyle w:val="22"/>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Chars="0"/>
        <w:textAlignment w:val="auto"/>
        <w:outlineLvl w:val="1"/>
        <w:rPr>
          <w:rStyle w:val="24"/>
          <w:rFonts w:hint="default" w:ascii="Times New Roman" w:hAnsi="Times New Roman" w:eastAsia="黑体" w:cs="Times New Roman"/>
          <w:b/>
          <w:bCs/>
        </w:rPr>
      </w:pPr>
      <w:bookmarkStart w:id="43" w:name="_Toc5664"/>
      <w:bookmarkStart w:id="44" w:name="_Toc15377207"/>
      <w:r>
        <w:rPr>
          <w:rFonts w:hint="default" w:ascii="Times New Roman" w:hAnsi="Times New Roman" w:eastAsia="黑体" w:cs="Times New Roman"/>
          <w:b/>
          <w:bCs/>
          <w:color w:val="000000"/>
          <w:sz w:val="32"/>
          <w:szCs w:val="32"/>
        </w:rPr>
        <w:t>支</w:t>
      </w:r>
      <w:r>
        <w:rPr>
          <w:rStyle w:val="24"/>
          <w:rFonts w:hint="default" w:ascii="Times New Roman" w:hAnsi="Times New Roman" w:eastAsia="黑体" w:cs="Times New Roman"/>
          <w:b/>
          <w:bCs/>
        </w:rPr>
        <w:t>出决算情况说明</w:t>
      </w:r>
      <w:bookmarkEnd w:id="43"/>
      <w:bookmarkEnd w:id="44"/>
    </w:p>
    <w:p>
      <w:pPr>
        <w:keepNext w:val="0"/>
        <w:keepLines w:val="0"/>
        <w:pageBreakBefore w:val="0"/>
        <w:widowControl w:val="0"/>
        <w:kinsoku/>
        <w:wordWrap/>
        <w:overflowPunct/>
        <w:topLinePunct w:val="0"/>
        <w:autoSpaceDE/>
        <w:autoSpaceDN/>
        <w:bidi w:val="0"/>
        <w:adjustRightInd w:val="0"/>
        <w:snapToGrid w:val="0"/>
        <w:spacing w:after="315" w:afterLines="100" w:afterAutospacing="0" w:line="600" w:lineRule="exact"/>
        <w:ind w:firstLine="64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2019年本年支出合计</w:t>
      </w:r>
      <w:r>
        <w:rPr>
          <w:rFonts w:hint="eastAsia" w:ascii="仿宋" w:hAnsi="仿宋" w:eastAsia="仿宋" w:cs="仿宋"/>
          <w:b/>
          <w:bCs/>
          <w:sz w:val="32"/>
          <w:szCs w:val="32"/>
          <w:lang w:val="en-US" w:eastAsia="zh-CN"/>
        </w:rPr>
        <w:t>21316.97</w:t>
      </w:r>
      <w:r>
        <w:rPr>
          <w:rFonts w:hint="eastAsia" w:ascii="仿宋" w:hAnsi="仿宋" w:eastAsia="仿宋" w:cs="仿宋"/>
          <w:b/>
          <w:bCs/>
          <w:color w:val="auto"/>
          <w:sz w:val="32"/>
          <w:szCs w:val="32"/>
          <w:lang w:val="en-US" w:eastAsia="zh-CN"/>
        </w:rPr>
        <w:t>万元，其中：基本支出12413.48万元，占58.23%；项目支出8903.49万元，占41.77%；上缴上级支出0万元，占0%；经营支出0万元，占0%；对附属单位补助支出0万元，占0%。</w:t>
      </w:r>
    </w:p>
    <w:p>
      <w:pPr>
        <w:pageBreakBefore w:val="0"/>
        <w:kinsoku/>
        <w:wordWrap/>
        <w:overflowPunct/>
        <w:topLinePunct w:val="0"/>
        <w:bidi w:val="0"/>
        <w:adjustRightInd w:val="0"/>
        <w:snapToGrid w:val="0"/>
        <w:spacing w:beforeAutospacing="0" w:line="360" w:lineRule="auto"/>
        <w:jc w:val="center"/>
        <w:rPr>
          <w:rFonts w:hint="default" w:ascii="Times New Roman" w:hAnsi="Times New Roman" w:eastAsia="黑体" w:cs="Times New Roman"/>
          <w:b/>
          <w:bCs/>
          <w:color w:val="000000"/>
          <w:sz w:val="32"/>
          <w:szCs w:val="32"/>
        </w:rPr>
      </w:pPr>
      <w:r>
        <w:drawing>
          <wp:inline distT="0" distB="0" distL="114300" distR="114300">
            <wp:extent cx="3550920" cy="3104515"/>
            <wp:effectExtent l="0" t="0" r="11430" b="63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3"/>
                    <a:stretch>
                      <a:fillRect/>
                    </a:stretch>
                  </pic:blipFill>
                  <pic:spPr>
                    <a:xfrm>
                      <a:off x="0" y="0"/>
                      <a:ext cx="3550920" cy="3104515"/>
                    </a:xfrm>
                    <a:prstGeom prst="rect">
                      <a:avLst/>
                    </a:prstGeom>
                    <a:noFill/>
                    <a:ln>
                      <a:noFill/>
                    </a:ln>
                  </pic:spPr>
                </pic:pic>
              </a:graphicData>
            </a:graphic>
          </wp:inline>
        </w:drawing>
      </w:r>
      <w:bookmarkStart w:id="45" w:name="_Toc30299"/>
      <w:bookmarkStart w:id="46" w:name="_Toc15377208"/>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Style w:val="24"/>
          <w:rFonts w:hint="default" w:ascii="Times New Roman" w:hAnsi="Times New Roman" w:eastAsia="黑体" w:cs="Times New Roman"/>
          <w:b/>
          <w:bCs/>
        </w:rPr>
      </w:pPr>
      <w:r>
        <w:rPr>
          <w:rFonts w:hint="default" w:ascii="Times New Roman" w:hAnsi="Times New Roman" w:eastAsia="黑体" w:cs="Times New Roman"/>
          <w:b/>
          <w:bCs/>
          <w:color w:val="000000"/>
          <w:sz w:val="32"/>
          <w:szCs w:val="32"/>
        </w:rPr>
        <w:t>四、财</w:t>
      </w:r>
      <w:r>
        <w:rPr>
          <w:rStyle w:val="24"/>
          <w:rFonts w:hint="default" w:ascii="Times New Roman" w:hAnsi="Times New Roman" w:eastAsia="黑体" w:cs="Times New Roman"/>
          <w:b/>
          <w:bCs/>
        </w:rPr>
        <w:t>政拨款收入支出决算总体情况说明</w:t>
      </w:r>
      <w:bookmarkEnd w:id="45"/>
      <w:bookmarkEnd w:id="46"/>
    </w:p>
    <w:p>
      <w:pPr>
        <w:keepNext w:val="0"/>
        <w:keepLines w:val="0"/>
        <w:pageBreakBefore w:val="0"/>
        <w:widowControl w:val="0"/>
        <w:kinsoku/>
        <w:wordWrap/>
        <w:overflowPunct/>
        <w:topLinePunct w:val="0"/>
        <w:autoSpaceDE/>
        <w:autoSpaceDN/>
        <w:bidi w:val="0"/>
        <w:adjustRightInd w:val="0"/>
        <w:snapToGrid w:val="0"/>
        <w:spacing w:after="315" w:afterLines="100" w:afterAutospacing="0" w:line="600" w:lineRule="exact"/>
        <w:ind w:firstLine="64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2019年财政拨款收、支总计21118.10万元。与2018年相比，财政拨款收、支总计各增加929.26万元，增长4.6%。</w:t>
      </w:r>
      <w:r>
        <w:rPr>
          <w:rFonts w:hint="eastAsia" w:ascii="仿宋" w:hAnsi="仿宋" w:eastAsia="仿宋" w:cs="仿宋"/>
          <w:b/>
          <w:bCs/>
          <w:sz w:val="32"/>
          <w:szCs w:val="32"/>
          <w:lang w:val="en-US" w:eastAsia="zh-CN"/>
        </w:rPr>
        <w:t>主要变动原因是2019年预算执行中追加了一次性基建项目经费</w:t>
      </w:r>
      <w:r>
        <w:rPr>
          <w:rFonts w:hint="eastAsia" w:ascii="仿宋" w:hAnsi="仿宋" w:eastAsia="仿宋" w:cs="仿宋"/>
          <w:b/>
          <w:bCs/>
          <w:color w:val="auto"/>
          <w:sz w:val="32"/>
          <w:szCs w:val="32"/>
          <w:lang w:val="en-US" w:eastAsia="zh-CN"/>
        </w:rPr>
        <w:t>。</w:t>
      </w:r>
    </w:p>
    <w:p>
      <w:pPr>
        <w:pageBreakBefore w:val="0"/>
        <w:kinsoku/>
        <w:wordWrap/>
        <w:overflowPunct/>
        <w:topLinePunct w:val="0"/>
        <w:bidi w:val="0"/>
        <w:adjustRightInd w:val="0"/>
        <w:snapToGrid w:val="0"/>
        <w:spacing w:beforeAutospacing="0" w:line="360" w:lineRule="auto"/>
        <w:jc w:val="center"/>
        <w:rPr>
          <w:rFonts w:hint="default" w:ascii="Times New Roman" w:hAnsi="Times New Roman" w:eastAsia="仿宋" w:cs="Times New Roman"/>
          <w:b/>
          <w:bCs/>
          <w:color w:val="000000" w:themeColor="text1"/>
          <w:sz w:val="32"/>
          <w:szCs w:val="32"/>
          <w:lang w:eastAsia="zh-CN"/>
          <w14:textFill>
            <w14:solidFill>
              <w14:schemeClr w14:val="tx1"/>
            </w14:solidFill>
          </w14:textFill>
        </w:rPr>
      </w:pPr>
      <w:r>
        <w:drawing>
          <wp:inline distT="0" distB="0" distL="114300" distR="114300">
            <wp:extent cx="3556635" cy="2789555"/>
            <wp:effectExtent l="0" t="0" r="5715" b="1079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4"/>
                    <a:stretch>
                      <a:fillRect/>
                    </a:stretch>
                  </pic:blipFill>
                  <pic:spPr>
                    <a:xfrm>
                      <a:off x="0" y="0"/>
                      <a:ext cx="3556635" cy="27895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Style w:val="24"/>
          <w:rFonts w:hint="default" w:ascii="Times New Roman" w:hAnsi="Times New Roman" w:eastAsia="黑体" w:cs="Times New Roman"/>
          <w:b/>
          <w:bCs/>
        </w:rPr>
      </w:pPr>
      <w:bookmarkStart w:id="47" w:name="_Toc15377209"/>
      <w:bookmarkStart w:id="48" w:name="_Toc13717"/>
      <w:r>
        <w:rPr>
          <w:rFonts w:hint="default" w:ascii="Times New Roman" w:hAnsi="Times New Roman" w:eastAsia="黑体" w:cs="Times New Roman"/>
          <w:b/>
          <w:bCs/>
          <w:color w:val="000000"/>
          <w:sz w:val="32"/>
          <w:szCs w:val="32"/>
        </w:rPr>
        <w:t>五、一</w:t>
      </w:r>
      <w:r>
        <w:rPr>
          <w:rStyle w:val="24"/>
          <w:rFonts w:hint="default" w:ascii="Times New Roman" w:hAnsi="Times New Roman" w:eastAsia="黑体" w:cs="Times New Roman"/>
          <w:b/>
          <w:bCs/>
        </w:rPr>
        <w:t>般公共预算财政拨款支出决算情况说明</w:t>
      </w:r>
      <w:bookmarkEnd w:id="47"/>
      <w:bookmarkEnd w:id="48"/>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ascii="楷体" w:hAnsi="楷体" w:eastAsia="楷体" w:cs="楷体"/>
          <w:b/>
          <w:bCs/>
          <w:color w:val="000000"/>
          <w:sz w:val="32"/>
          <w:szCs w:val="32"/>
        </w:rPr>
      </w:pPr>
      <w:bookmarkStart w:id="49" w:name="_Toc15377210"/>
      <w:r>
        <w:rPr>
          <w:rFonts w:hint="eastAsia" w:ascii="楷体" w:hAnsi="楷体" w:eastAsia="楷体" w:cs="楷体"/>
          <w:b/>
          <w:bCs/>
          <w:color w:val="000000"/>
          <w:sz w:val="32"/>
          <w:szCs w:val="32"/>
        </w:rPr>
        <w:t>（一）一般公共预算财政拨款支出决算总体情况</w:t>
      </w:r>
      <w:bookmarkEnd w:id="49"/>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2019年一般公共预算财政拨款支出21118.10万元，占本年支出合计的98.89%。与2018年相比，一般公共预算财政拨款增加929.26万元，增长4.6%。</w:t>
      </w:r>
      <w:r>
        <w:rPr>
          <w:rFonts w:hint="eastAsia" w:ascii="仿宋" w:hAnsi="仿宋" w:eastAsia="仿宋" w:cs="仿宋"/>
          <w:b/>
          <w:bCs/>
          <w:sz w:val="32"/>
          <w:szCs w:val="32"/>
          <w:lang w:val="en-US" w:eastAsia="zh-CN"/>
        </w:rPr>
        <w:t>主要变动原因是2019年预算执行中追加了一次性基建项目经费</w:t>
      </w:r>
      <w:r>
        <w:rPr>
          <w:rFonts w:hint="eastAsia" w:ascii="仿宋" w:hAnsi="仿宋" w:eastAsia="仿宋" w:cs="仿宋"/>
          <w:b/>
          <w:bCs/>
          <w:color w:val="auto"/>
          <w:sz w:val="32"/>
          <w:szCs w:val="32"/>
          <w:lang w:val="en-US" w:eastAsia="zh-CN"/>
        </w:rPr>
        <w:t>。</w:t>
      </w:r>
    </w:p>
    <w:p>
      <w:pPr>
        <w:pageBreakBefore w:val="0"/>
        <w:kinsoku/>
        <w:wordWrap/>
        <w:overflowPunct/>
        <w:topLinePunct w:val="0"/>
        <w:bidi w:val="0"/>
        <w:adjustRightInd w:val="0"/>
        <w:snapToGrid w:val="0"/>
        <w:spacing w:line="360" w:lineRule="auto"/>
        <w:jc w:val="center"/>
        <w:rPr>
          <w:rFonts w:hint="default" w:ascii="Times New Roman" w:hAnsi="Times New Roman" w:eastAsia="仿宋" w:cs="Times New Roman"/>
          <w:b/>
          <w:bCs/>
          <w:color w:val="000000"/>
          <w:sz w:val="32"/>
          <w:szCs w:val="32"/>
        </w:rPr>
      </w:pPr>
      <w:bookmarkStart w:id="50" w:name="_Toc15377211"/>
      <w:r>
        <w:drawing>
          <wp:inline distT="0" distB="0" distL="114300" distR="114300">
            <wp:extent cx="3545840" cy="2809875"/>
            <wp:effectExtent l="0" t="0" r="16510" b="952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5"/>
                    <a:stretch>
                      <a:fillRect/>
                    </a:stretch>
                  </pic:blipFill>
                  <pic:spPr>
                    <a:xfrm>
                      <a:off x="0" y="0"/>
                      <a:ext cx="3545840" cy="28098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（二）一般公共预算财政拨款支出决算结构情况</w:t>
      </w:r>
      <w:bookmarkEnd w:id="50"/>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color w:val="000000"/>
          <w:sz w:val="32"/>
          <w:szCs w:val="32"/>
          <w:lang w:val="en-US"/>
        </w:rPr>
      </w:pPr>
      <w:r>
        <w:rPr>
          <w:rFonts w:hint="eastAsia" w:ascii="仿宋" w:hAnsi="仿宋" w:eastAsia="仿宋" w:cs="仿宋"/>
          <w:b/>
          <w:bCs/>
          <w:color w:val="auto"/>
          <w:sz w:val="32"/>
          <w:szCs w:val="32"/>
          <w:lang w:val="en-US" w:eastAsia="zh-CN"/>
        </w:rPr>
        <w:t>2019年一般公共预算财政拨款支出21118.10万元，主要用于以下方面：一般公共服务（类）支出17575.31万元，占83.22%；教育支出（类）372.31万元，占1.76%；科学技术（类）支出36.79万元，占0.17%；社会保障和就业（类）支出1840.89万元，占8.72%；</w:t>
      </w:r>
      <w:r>
        <w:rPr>
          <w:rFonts w:hint="eastAsia" w:ascii="仿宋" w:hAnsi="仿宋" w:eastAsia="仿宋" w:cs="仿宋"/>
          <w:b/>
          <w:bCs/>
          <w:color w:val="auto"/>
          <w:kern w:val="2"/>
          <w:sz w:val="32"/>
          <w:szCs w:val="32"/>
          <w:lang w:val="en-US" w:eastAsia="zh-CN" w:bidi="ar-SA"/>
        </w:rPr>
        <w:t>卫生健康（类）</w:t>
      </w:r>
      <w:r>
        <w:rPr>
          <w:rFonts w:hint="eastAsia" w:ascii="仿宋" w:hAnsi="仿宋" w:eastAsia="仿宋" w:cs="仿宋"/>
          <w:b/>
          <w:bCs/>
          <w:color w:val="auto"/>
          <w:sz w:val="32"/>
          <w:szCs w:val="32"/>
          <w:lang w:val="en-US" w:eastAsia="zh-CN"/>
        </w:rPr>
        <w:t>支出480.81万元，占2.28%；住房保障（类）支出780.27万元，占3.7%；灾害防治及应急管理（类）支出8万元，占0.04%；其他（类）支出23.72万元，占0.11%。</w:t>
      </w:r>
    </w:p>
    <w:p>
      <w:pPr>
        <w:pageBreakBefore w:val="0"/>
        <w:kinsoku/>
        <w:wordWrap/>
        <w:overflowPunct/>
        <w:topLinePunct w:val="0"/>
        <w:bidi w:val="0"/>
        <w:adjustRightInd w:val="0"/>
        <w:snapToGrid w:val="0"/>
        <w:spacing w:line="360" w:lineRule="auto"/>
        <w:jc w:val="center"/>
        <w:rPr>
          <w:rFonts w:hint="default" w:ascii="Times New Roman" w:hAnsi="Times New Roman" w:eastAsia="仿宋" w:cs="Times New Roman"/>
          <w:b/>
          <w:bCs/>
          <w:color w:val="000000"/>
          <w:sz w:val="32"/>
          <w:szCs w:val="32"/>
          <w:lang w:eastAsia="zh-CN"/>
        </w:rPr>
      </w:pPr>
      <w:r>
        <w:drawing>
          <wp:inline distT="0" distB="0" distL="114300" distR="114300">
            <wp:extent cx="3522345" cy="3370580"/>
            <wp:effectExtent l="0" t="0" r="1905" b="127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6"/>
                    <a:stretch>
                      <a:fillRect/>
                    </a:stretch>
                  </pic:blipFill>
                  <pic:spPr>
                    <a:xfrm>
                      <a:off x="0" y="0"/>
                      <a:ext cx="3522345" cy="3370580"/>
                    </a:xfrm>
                    <a:prstGeom prst="rect">
                      <a:avLst/>
                    </a:prstGeom>
                    <a:noFill/>
                    <a:ln>
                      <a:noFill/>
                    </a:ln>
                  </pic:spPr>
                </pic:pic>
              </a:graphicData>
            </a:graphic>
          </wp:inline>
        </w:drawing>
      </w:r>
    </w:p>
    <w:p>
      <w:pPr>
        <w:pageBreakBefore w:val="0"/>
        <w:kinsoku/>
        <w:wordWrap/>
        <w:overflowPunct/>
        <w:topLinePunct w:val="0"/>
        <w:bidi w:val="0"/>
        <w:adjustRightInd w:val="0"/>
        <w:snapToGrid w:val="0"/>
        <w:spacing w:line="360" w:lineRule="auto"/>
        <w:ind w:firstLine="643" w:firstLineChars="200"/>
        <w:outlineLvl w:val="2"/>
        <w:rPr>
          <w:rFonts w:hint="eastAsia" w:ascii="楷体" w:hAnsi="楷体" w:eastAsia="楷体" w:cs="楷体"/>
          <w:b/>
          <w:bCs/>
          <w:color w:val="000000"/>
          <w:sz w:val="32"/>
          <w:szCs w:val="32"/>
        </w:rPr>
      </w:pPr>
      <w:bookmarkStart w:id="51" w:name="_Toc15377212"/>
      <w:r>
        <w:rPr>
          <w:rFonts w:hint="eastAsia" w:ascii="楷体" w:hAnsi="楷体" w:eastAsia="楷体" w:cs="楷体"/>
          <w:b/>
          <w:bCs/>
          <w:color w:val="000000"/>
          <w:sz w:val="32"/>
          <w:szCs w:val="32"/>
        </w:rPr>
        <w:t>（三）一般公共预算财政拨款支出决算具体情况</w:t>
      </w:r>
      <w:bookmarkEnd w:id="51"/>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bookmarkStart w:id="52" w:name="_Toc15377213"/>
      <w:bookmarkStart w:id="53" w:name="_Toc15377444"/>
      <w:bookmarkStart w:id="54" w:name="_Toc15378460"/>
      <w:r>
        <w:rPr>
          <w:rFonts w:hint="eastAsia" w:ascii="仿宋" w:hAnsi="仿宋" w:eastAsia="仿宋" w:cs="仿宋"/>
          <w:b/>
          <w:bCs/>
          <w:color w:val="auto"/>
          <w:sz w:val="32"/>
          <w:szCs w:val="32"/>
          <w:lang w:val="en-US" w:eastAsia="zh-CN"/>
        </w:rPr>
        <w:t>2019年一般公共预算支出决算数为21118.10万元，完成预算93.63%。其中：</w:t>
      </w:r>
      <w:bookmarkEnd w:id="52"/>
      <w:bookmarkEnd w:id="53"/>
      <w:bookmarkEnd w:id="54"/>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一般公共服务支出（类）党委办公厅（室）及相关机构事务（款）行政运行（项）: 支出决算为8365.51万元，完成预算97.1%。决算数小于预算数的主要原因是严控“三公”经费支出。</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一般公共服务支出（类）党委办公厅（室）及相关机构事务（款）一般行政管理事务（项）: 支出决算为4774.99万元，完成预算95.57%。决算数小于预算数的主要原因是工作计划有所调整，剩余经费财政收回。</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一般公共服务支出（类）党委办公厅（室）及相关机构事务（款）专项业务（项）: 支出决算为46.64万元，完成预算97.16%。决算数小于预算数的主要原因是工作计划有所调整，剩余经费财政收回。</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一般公共服务支出（类）党委办公厅（室）及相关机构事务（款）事业运行（项）: 支出决算为374.82万元，完成预算97.09%。决算数小于预算数的主要原因是人员变动所致。</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一般公共服务支出（类）党委办公厅（室）及相关机构事务（款）其他党委办公厅（室）及相关机构事务支出（项）: 支出决算为4013.36万元，完成预算83.60%。决算数小于预算数的主要原因是一次性基建项目概算较高，剩余经费财政收回。</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教育支出（类）普通教育（款）学前教育（项）: 支出决算为230.31万元，完成预算97.83%。决算数小于预算数的主要原因是工作计划有所调整，剩余经费财政收回。</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教育支出（类）进修及培训（款）培训支出（项）: 支出决算为142万元，完成预算100%。</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科学技术支出（类）其他科学技术支出（款）其他科学技术支出（项）: 支出决算为36.78万元，完成预算43.15%。决算数小于预算数的主要原因是科研项目未结题，剩余经费结转至下年度使用。</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社会保障和就业支出（类）行政事业单位离退休（款）事业单位离退休（项）: 支出决算为13.78万元，完成预算100%。</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社会保障和就业支出（类）行政事业单位离退休（款）未归口管理的行政单位离退休（项）: 支出决算为1069.83万元，完成预算98.53%。决算数小于预算数的主要原因是人员变动所致。</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社会保障和就业支出（类）行政事业单位离退休（款）机关事业单位基本养老保险缴费支出（项）: 支出决算为534.38万元，完成预算85.34%。决算数小于预算数的主要原因是养老保险单位缴费比例有所调整。</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社会保障和就业支出（类）行政事业单位离退休（款）机关事业单位职业年金缴费支出（项）: 支出决算为44.77万元，完成预算96.07%。决算数小于预算数的主要原因是人员变动所致。</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社会保障和就业支出（类）抚恤（款）死亡抚恤（项）: 支出决算为178.13万元，完成预算100%。</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卫生健康</w:t>
      </w:r>
      <w:r>
        <w:rPr>
          <w:rFonts w:hint="eastAsia" w:ascii="仿宋" w:hAnsi="仿宋" w:eastAsia="仿宋" w:cs="仿宋"/>
          <w:b/>
          <w:bCs/>
          <w:color w:val="auto"/>
          <w:sz w:val="32"/>
          <w:szCs w:val="32"/>
          <w:lang w:val="en-US" w:eastAsia="zh-CN"/>
        </w:rPr>
        <w:t>支出（类）行政事业单位医疗（款）行政单位医疗（项）: 支出决算为348.86万元，完成预算96.10%。决算数小于预算数的主要原因是人员变动所致。</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卫生健康</w:t>
      </w:r>
      <w:r>
        <w:rPr>
          <w:rFonts w:hint="eastAsia" w:ascii="仿宋" w:hAnsi="仿宋" w:eastAsia="仿宋" w:cs="仿宋"/>
          <w:b/>
          <w:bCs/>
          <w:color w:val="auto"/>
          <w:sz w:val="32"/>
          <w:szCs w:val="32"/>
          <w:lang w:val="en-US" w:eastAsia="zh-CN"/>
        </w:rPr>
        <w:t>支出（类）行政事业单位医疗（款）事业单位医疗（项）: 支出决算为29.65万元，完成预算97.95%。决算数小于预算数的主要原因是人员变动所致。</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卫生健康</w:t>
      </w:r>
      <w:r>
        <w:rPr>
          <w:rFonts w:hint="eastAsia" w:ascii="仿宋" w:hAnsi="仿宋" w:eastAsia="仿宋" w:cs="仿宋"/>
          <w:b/>
          <w:bCs/>
          <w:color w:val="auto"/>
          <w:sz w:val="32"/>
          <w:szCs w:val="32"/>
          <w:lang w:val="en-US" w:eastAsia="zh-CN"/>
        </w:rPr>
        <w:t>支出（类）行政事业单位医疗（款）公务员医疗补助（项）: 支出决算为102.30万元，完成预算99.82%。决算数小于预算数的主要原因是人员变动所致。</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住房保障支出（类）住房改革支出（款）住房公积金（项）: 支出决算为518.15万元，完成预算100%。</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auto"/>
          <w:sz w:val="32"/>
          <w:szCs w:val="32"/>
          <w:lang w:val="en-US" w:eastAsia="zh-CN"/>
        </w:rPr>
        <w:t>住房保障支出（类）住房改革支出（款）购房补贴（项）: 支出决算为262.12万元，完成预算100%。</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灾害防治及应急管理支出</w:t>
      </w:r>
      <w:r>
        <w:rPr>
          <w:rFonts w:hint="eastAsia" w:ascii="仿宋" w:hAnsi="仿宋" w:eastAsia="仿宋" w:cs="仿宋"/>
          <w:b/>
          <w:bCs/>
          <w:color w:val="000000"/>
          <w:sz w:val="32"/>
          <w:szCs w:val="32"/>
          <w:lang w:eastAsia="zh-CN"/>
        </w:rPr>
        <w:t>（类）应急管理事务（款）  其他应急管理支出（项）：</w:t>
      </w:r>
      <w:r>
        <w:rPr>
          <w:rFonts w:hint="eastAsia" w:ascii="仿宋" w:hAnsi="仿宋" w:eastAsia="仿宋" w:cs="仿宋"/>
          <w:b/>
          <w:bCs/>
          <w:color w:val="auto"/>
          <w:sz w:val="32"/>
          <w:szCs w:val="32"/>
          <w:lang w:val="en-US" w:eastAsia="zh-CN"/>
        </w:rPr>
        <w:t>支出决算为8万元，完成预算100%。</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其他支出</w:t>
      </w:r>
      <w:r>
        <w:rPr>
          <w:rFonts w:hint="eastAsia" w:ascii="仿宋" w:hAnsi="仿宋" w:eastAsia="仿宋" w:cs="仿宋"/>
          <w:b/>
          <w:bCs/>
          <w:color w:val="000000"/>
          <w:sz w:val="32"/>
          <w:szCs w:val="32"/>
          <w:lang w:eastAsia="zh-CN"/>
        </w:rPr>
        <w:t>（类）其他支出（款）其他支出（项）：</w:t>
      </w:r>
      <w:r>
        <w:rPr>
          <w:rFonts w:hint="eastAsia" w:ascii="仿宋" w:hAnsi="仿宋" w:eastAsia="仿宋" w:cs="仿宋"/>
          <w:b/>
          <w:bCs/>
          <w:color w:val="auto"/>
          <w:sz w:val="32"/>
          <w:szCs w:val="32"/>
          <w:lang w:val="en-US" w:eastAsia="zh-CN"/>
        </w:rPr>
        <w:t>支出决算为23.72万元，完成预算100%。</w:t>
      </w:r>
    </w:p>
    <w:p>
      <w:pPr>
        <w:keepNext w:val="0"/>
        <w:keepLines w:val="0"/>
        <w:pageBreakBefore w:val="0"/>
        <w:widowControl w:val="0"/>
        <w:tabs>
          <w:tab w:val="right" w:pos="8306"/>
        </w:tabs>
        <w:kinsoku/>
        <w:wordWrap/>
        <w:overflowPunct/>
        <w:topLinePunct w:val="0"/>
        <w:autoSpaceDE/>
        <w:autoSpaceDN/>
        <w:bidi w:val="0"/>
        <w:adjustRightInd w:val="0"/>
        <w:snapToGrid w:val="0"/>
        <w:spacing w:line="600" w:lineRule="exact"/>
        <w:ind w:firstLine="640"/>
        <w:textAlignment w:val="auto"/>
        <w:outlineLvl w:val="1"/>
        <w:rPr>
          <w:rStyle w:val="24"/>
          <w:rFonts w:hint="default" w:ascii="Times New Roman" w:hAnsi="Times New Roman" w:cs="Times New Roman"/>
          <w:b/>
          <w:bCs/>
        </w:rPr>
      </w:pPr>
      <w:bookmarkStart w:id="55" w:name="_Toc15377214"/>
      <w:bookmarkStart w:id="56" w:name="_Toc29464"/>
      <w:r>
        <w:rPr>
          <w:rFonts w:hint="default" w:ascii="Times New Roman" w:hAnsi="Times New Roman" w:eastAsia="黑体" w:cs="Times New Roman"/>
          <w:b/>
          <w:bCs/>
          <w:color w:val="000000"/>
          <w:sz w:val="32"/>
          <w:szCs w:val="32"/>
        </w:rPr>
        <w:t>六、一</w:t>
      </w:r>
      <w:r>
        <w:rPr>
          <w:rStyle w:val="24"/>
          <w:rFonts w:hint="default" w:ascii="Times New Roman" w:hAnsi="Times New Roman" w:eastAsia="黑体" w:cs="Times New Roman"/>
          <w:b/>
          <w:bCs/>
        </w:rPr>
        <w:t>般公共预算财政拨款基本支出决算情况说明</w:t>
      </w:r>
      <w:bookmarkEnd w:id="55"/>
      <w:bookmarkEnd w:id="56"/>
      <w:r>
        <w:rPr>
          <w:rStyle w:val="24"/>
          <w:rFonts w:hint="default" w:ascii="Times New Roman" w:hAnsi="Times New Roman" w:eastAsia="黑体" w:cs="Times New Roman"/>
          <w:b/>
          <w:bCs/>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2019年一般公共预算财政拨款基本支出12214.61万元，其中：</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人员经费7459.93万元，包括：基本工资、津贴补贴、奖金、绩效工资、机关事业单位基本养老保险缴费、职业年金缴费、职工基本医疗保险缴费、公务员医疗补助缴费、其他社会保障缴费、住房公积金、其他工资福利支出、离休费、抚恤金、生活补助、奖励金、其他对个人和家庭的补助支出。</w:t>
      </w:r>
      <w:r>
        <w:rPr>
          <w:rFonts w:hint="eastAsia" w:ascii="仿宋" w:hAnsi="仿宋" w:eastAsia="仿宋" w:cs="仿宋"/>
          <w:b/>
          <w:bCs/>
          <w:color w:val="auto"/>
          <w:sz w:val="32"/>
          <w:szCs w:val="32"/>
          <w:lang w:val="en-US" w:eastAsia="zh-CN"/>
        </w:rPr>
        <w:br w:type="textWrapping"/>
      </w:r>
      <w:r>
        <w:rPr>
          <w:rFonts w:hint="eastAsia" w:ascii="仿宋" w:hAnsi="仿宋" w:eastAsia="仿宋" w:cs="仿宋"/>
          <w:b/>
          <w:bCs/>
          <w:color w:val="auto"/>
          <w:sz w:val="32"/>
          <w:szCs w:val="32"/>
          <w:lang w:val="en-US" w:eastAsia="zh-CN"/>
        </w:rPr>
        <w:t>　　2. 公用经费4754.68万元，主要包括：办公费、印刷费、手续费、水费、电费、邮电费、取暖费、物业管理费、差旅费、因公出国（境）费用、维修（护）费、会议费、培训费、公务接待费、劳务费、工会经费、福利费、公务用车运行维护费、其他交通费、其他商品和服务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1"/>
        <w:rPr>
          <w:rStyle w:val="24"/>
          <w:rFonts w:hint="default" w:ascii="Times New Roman" w:hAnsi="Times New Roman" w:eastAsia="黑体" w:cs="Times New Roman"/>
          <w:b/>
          <w:bCs/>
        </w:rPr>
      </w:pPr>
      <w:bookmarkStart w:id="57" w:name="_Toc15377215"/>
      <w:bookmarkStart w:id="58" w:name="_Toc14376"/>
      <w:r>
        <w:rPr>
          <w:rFonts w:hint="default" w:ascii="Times New Roman" w:hAnsi="Times New Roman" w:eastAsia="黑体" w:cs="Times New Roman"/>
          <w:b/>
          <w:bCs/>
          <w:color w:val="000000"/>
          <w:sz w:val="32"/>
          <w:szCs w:val="32"/>
        </w:rPr>
        <w:t>七、</w:t>
      </w:r>
      <w:r>
        <w:rPr>
          <w:rStyle w:val="24"/>
          <w:rFonts w:hint="default" w:ascii="Times New Roman" w:hAnsi="Times New Roman" w:eastAsia="黑体" w:cs="Times New Roman"/>
          <w:b/>
          <w:bCs/>
        </w:rPr>
        <w:t>“三公”经费财政拨款支出决算情况说明</w:t>
      </w:r>
      <w:bookmarkEnd w:id="57"/>
      <w:bookmarkEnd w:id="58"/>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2"/>
        <w:rPr>
          <w:rFonts w:hint="eastAsia" w:ascii="楷体" w:hAnsi="楷体" w:eastAsia="楷体" w:cs="楷体"/>
          <w:b/>
          <w:bCs/>
          <w:color w:val="000000"/>
          <w:sz w:val="32"/>
          <w:szCs w:val="32"/>
        </w:rPr>
      </w:pPr>
      <w:bookmarkStart w:id="59" w:name="_Toc15377216"/>
      <w:r>
        <w:rPr>
          <w:rFonts w:hint="eastAsia" w:ascii="楷体" w:hAnsi="楷体" w:eastAsia="楷体" w:cs="楷体"/>
          <w:b/>
          <w:bCs/>
          <w:color w:val="000000"/>
          <w:sz w:val="32"/>
          <w:szCs w:val="32"/>
        </w:rPr>
        <w:t>（一）“三公”经费财政拨款支出决算总体情况说明</w:t>
      </w:r>
      <w:bookmarkEnd w:id="59"/>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2019年“三公”经费财政拨款支出决算为443.90万元，完成预算77.80%，决算数小于预算数的主要原因是持续强化“三公”经费管理。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outlineLvl w:val="2"/>
        <w:rPr>
          <w:rFonts w:hint="eastAsia" w:ascii="楷体" w:hAnsi="楷体" w:eastAsia="楷体" w:cs="楷体"/>
          <w:b/>
          <w:bCs/>
          <w:color w:val="000000"/>
          <w:sz w:val="32"/>
          <w:szCs w:val="32"/>
        </w:rPr>
      </w:pPr>
      <w:bookmarkStart w:id="60" w:name="_Toc15377217"/>
      <w:r>
        <w:rPr>
          <w:rFonts w:hint="eastAsia" w:ascii="楷体" w:hAnsi="楷体" w:eastAsia="楷体" w:cs="楷体"/>
          <w:b/>
          <w:bCs/>
          <w:color w:val="000000"/>
          <w:sz w:val="32"/>
          <w:szCs w:val="32"/>
        </w:rPr>
        <w:t>（二）“三公”经费财政拨款支出决算具体情况说明</w:t>
      </w:r>
      <w:bookmarkEnd w:id="60"/>
    </w:p>
    <w:p>
      <w:pPr>
        <w:keepNext w:val="0"/>
        <w:keepLines w:val="0"/>
        <w:pageBreakBefore w:val="0"/>
        <w:widowControl w:val="0"/>
        <w:numPr>
          <w:ilvl w:val="0"/>
          <w:numId w:val="0"/>
        </w:numPr>
        <w:kinsoku/>
        <w:wordWrap/>
        <w:overflowPunct/>
        <w:topLinePunct w:val="0"/>
        <w:autoSpaceDE/>
        <w:autoSpaceDN/>
        <w:bidi w:val="0"/>
        <w:adjustRightInd w:val="0"/>
        <w:snapToGrid w:val="0"/>
        <w:spacing w:after="269" w:afterLines="86" w:afterAutospacing="0"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2019年“三公”经费财政拨款支出决算中，因公出国（境）经费支出决算42.76万元，占9.63%；公务用车购置及运行维护费支出决算396.75万元，占89.38%；公务接待费支出决算4.39万元，占0.99%。具体情况如下：</w:t>
      </w:r>
    </w:p>
    <w:p>
      <w:pPr>
        <w:pageBreakBefore w:val="0"/>
        <w:numPr>
          <w:ilvl w:val="0"/>
          <w:numId w:val="0"/>
        </w:numPr>
        <w:kinsoku/>
        <w:wordWrap/>
        <w:overflowPunct/>
        <w:topLinePunct w:val="0"/>
        <w:bidi w:val="0"/>
        <w:adjustRightInd w:val="0"/>
        <w:snapToGrid w:val="0"/>
        <w:spacing w:beforeAutospacing="0" w:line="360" w:lineRule="auto"/>
        <w:jc w:val="center"/>
        <w:rPr>
          <w:rFonts w:hint="default" w:ascii="Times New Roman" w:hAnsi="Times New Roman" w:eastAsia="仿宋_GB2312" w:cs="Times New Roman"/>
          <w:b/>
          <w:bCs/>
          <w:color w:val="auto"/>
          <w:sz w:val="32"/>
          <w:szCs w:val="32"/>
          <w:lang w:val="en-US" w:eastAsia="zh-CN"/>
        </w:rPr>
      </w:pPr>
      <w:r>
        <w:drawing>
          <wp:inline distT="0" distB="0" distL="114300" distR="114300">
            <wp:extent cx="3548380" cy="3023235"/>
            <wp:effectExtent l="0" t="0" r="1397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3548380" cy="3023235"/>
                    </a:xfrm>
                    <a:prstGeom prst="rect">
                      <a:avLst/>
                    </a:prstGeom>
                    <a:noFill/>
                    <a:ln>
                      <a:noFill/>
                    </a:ln>
                  </pic:spPr>
                </pic:pic>
              </a:graphicData>
            </a:graphic>
          </wp:inline>
        </w:drawing>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因公出国（境）经费支出42.76万元，完成预算35.63%。全年安排因公出国（境）团组6次，出国（境）11人。因公出国（境）支出决算比2018年减少12.62万元，下降22.79%。主要原因是2019年外事活动有所减少。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开支内容包括：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（1）团组名称：香港赛马会川港人才交流计划项目四川省公共管理研修交流团，出访地点：香港，赴香港赛马会开展公共管理方面的研修交流。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（2）团组名称：第六届川台农业合作论坛四川代表团，出访地点：台湾，参加第六届川台农业合作论坛并参访交流。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团组名称：赴荷兰、德国、以色列代表团，出访地点：荷兰、德国、以色列，拓展我省与荷兰、德国、以色列的友好交流，巩固与相关友城地区友好关系，推动我省与上述国家在经贸、科技、旅游、医学、农业、物流等领域的合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团组名称：赴英国、匈牙利、俄罗斯代表团，出访地点：英国、匈牙利、俄罗斯，拓宽川英经贸合作渠道，深化我省与匈牙利佩斯州友好关系并推动双方全方位合作，加强与俄罗斯圣彼得堡、莫斯科州地方交流合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团组名称：四川省中德地方交流合作研修班，出访地点：德国，加强外事领导能力和开放队伍建设，构建高端化对外开放合作平台，进一步拓展外事干部新形势下开展对德地方交流的思路、策略和实际应用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（6）团组名称：四川省赴韩国全罗南道友好省市交流团，出访地点：韩国，赴韩国参加全罗南道与中国友城交流会议，进一步加深四川与全罗南道各地区经济贸易、文化旅游等领域的交流与合作。</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公务用车购置及运行维护费支出396.75万元,完成预算89.56%。公务用车购置及运行维护费支出决算比2018年增加22.13万元，增长5.91%。主要原因是2019年公务用车集中大修。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其中：公务用车购置支出0万元。全年按规定更新购置公务用车0辆。截至2019年12月底，单位共有公务用车93辆。其中：轿车90辆、越野车2辆，其他车辆1辆。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公务用车运行维护费支出396.75万元。主要用于保障省委和省委办公厅日常公务用车的燃料费、维修费、保险费、过路费等支出。</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公务接待费支出4.39万元，完成预算57.76%。公务接待费支出决算比2018年增加0.85万元，增长24.01%。主要原因是公务接待人数增加。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国内公务接待58批次，245人次（不包括陪同人员），共计支出4.39万元，主要用于省委办公厅工作开展所必要的公务接待任务。</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outlineLvl w:val="1"/>
        <w:rPr>
          <w:rStyle w:val="24"/>
          <w:rFonts w:hint="default" w:ascii="Times New Roman" w:hAnsi="Times New Roman" w:eastAsia="黑体" w:cs="Times New Roman"/>
          <w:b/>
          <w:bCs/>
        </w:rPr>
      </w:pPr>
      <w:bookmarkStart w:id="61" w:name="_Toc25244"/>
      <w:bookmarkStart w:id="62" w:name="_Toc15377218"/>
      <w:r>
        <w:rPr>
          <w:rFonts w:hint="default" w:ascii="Times New Roman" w:hAnsi="Times New Roman" w:eastAsia="黑体" w:cs="Times New Roman"/>
          <w:b/>
          <w:bCs/>
          <w:color w:val="000000"/>
          <w:sz w:val="32"/>
          <w:szCs w:val="32"/>
        </w:rPr>
        <w:t>八、</w:t>
      </w:r>
      <w:r>
        <w:rPr>
          <w:rStyle w:val="24"/>
          <w:rFonts w:hint="default" w:ascii="Times New Roman" w:hAnsi="Times New Roman" w:eastAsia="黑体" w:cs="Times New Roman"/>
          <w:b/>
          <w:bCs/>
        </w:rPr>
        <w:t>政府性基金预算支出决算情况说明</w:t>
      </w:r>
      <w:bookmarkEnd w:id="61"/>
      <w:bookmarkEnd w:id="62"/>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201</w:t>
      </w:r>
      <w:r>
        <w:rPr>
          <w:rFonts w:hint="eastAsia" w:ascii="仿宋" w:hAnsi="仿宋" w:eastAsia="仿宋" w:cs="仿宋"/>
          <w:b/>
          <w:bCs/>
          <w:color w:val="000000"/>
          <w:sz w:val="32"/>
          <w:szCs w:val="32"/>
          <w:lang w:val="en-US" w:eastAsia="zh-CN"/>
        </w:rPr>
        <w:t>9</w:t>
      </w:r>
      <w:r>
        <w:rPr>
          <w:rFonts w:hint="eastAsia" w:ascii="仿宋" w:hAnsi="仿宋" w:eastAsia="仿宋" w:cs="仿宋"/>
          <w:b/>
          <w:bCs/>
          <w:color w:val="000000"/>
          <w:sz w:val="32"/>
          <w:szCs w:val="32"/>
        </w:rPr>
        <w:t>年政府性基金预算拨款支出</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万元。</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640"/>
        <w:textAlignment w:val="auto"/>
        <w:outlineLvl w:val="1"/>
        <w:rPr>
          <w:rStyle w:val="24"/>
          <w:rFonts w:hint="default" w:ascii="Times New Roman" w:hAnsi="Times New Roman" w:eastAsia="黑体" w:cs="Times New Roman"/>
          <w:b/>
          <w:bCs/>
        </w:rPr>
      </w:pPr>
      <w:bookmarkStart w:id="63" w:name="_Toc24327"/>
      <w:bookmarkStart w:id="64" w:name="_Toc15377219"/>
      <w:r>
        <w:rPr>
          <w:rStyle w:val="24"/>
          <w:rFonts w:hint="default" w:ascii="Times New Roman" w:hAnsi="Times New Roman" w:eastAsia="黑体" w:cs="Times New Roman"/>
          <w:b/>
          <w:bCs/>
        </w:rPr>
        <w:t>国有资本经营预算支出决算情况说明</w:t>
      </w:r>
      <w:bookmarkEnd w:id="63"/>
      <w:bookmarkEnd w:id="64"/>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201</w:t>
      </w:r>
      <w:r>
        <w:rPr>
          <w:rFonts w:hint="eastAsia" w:ascii="仿宋" w:hAnsi="仿宋" w:eastAsia="仿宋" w:cs="仿宋"/>
          <w:b/>
          <w:bCs/>
          <w:color w:val="000000"/>
          <w:sz w:val="32"/>
          <w:szCs w:val="32"/>
          <w:lang w:val="en-US" w:eastAsia="zh-CN"/>
        </w:rPr>
        <w:t>9</w:t>
      </w:r>
      <w:r>
        <w:rPr>
          <w:rFonts w:hint="eastAsia" w:ascii="仿宋" w:hAnsi="仿宋" w:eastAsia="仿宋" w:cs="仿宋"/>
          <w:b/>
          <w:bCs/>
          <w:color w:val="000000"/>
          <w:sz w:val="32"/>
          <w:szCs w:val="32"/>
        </w:rPr>
        <w:t>年国有资本经营预算拨款支出</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万元。</w:t>
      </w:r>
    </w:p>
    <w:p>
      <w:pPr>
        <w:pStyle w:val="22"/>
        <w:keepNext w:val="0"/>
        <w:keepLines w:val="0"/>
        <w:pageBreakBefore w:val="0"/>
        <w:numPr>
          <w:ilvl w:val="0"/>
          <w:numId w:val="6"/>
        </w:numPr>
        <w:kinsoku/>
        <w:wordWrap/>
        <w:overflowPunct/>
        <w:topLinePunct w:val="0"/>
        <w:autoSpaceDE/>
        <w:autoSpaceDN/>
        <w:bidi w:val="0"/>
        <w:adjustRightInd w:val="0"/>
        <w:snapToGrid w:val="0"/>
        <w:spacing w:line="600" w:lineRule="exact"/>
        <w:ind w:firstLineChars="0"/>
        <w:textAlignment w:val="auto"/>
        <w:rPr>
          <w:rStyle w:val="24"/>
          <w:rFonts w:hint="default" w:ascii="Times New Roman" w:hAnsi="Times New Roman" w:eastAsia="黑体" w:cs="Times New Roman"/>
          <w:b/>
          <w:bCs/>
        </w:rPr>
      </w:pPr>
      <w:bookmarkStart w:id="65" w:name="_Toc31836"/>
      <w:r>
        <w:rPr>
          <w:rStyle w:val="24"/>
          <w:rFonts w:hint="eastAsia" w:ascii="黑体" w:hAnsi="黑体" w:eastAsia="黑体"/>
          <w:b/>
          <w:bCs w:val="0"/>
        </w:rPr>
        <w:t>其他重要事项的情况</w:t>
      </w:r>
      <w:r>
        <w:rPr>
          <w:rStyle w:val="24"/>
          <w:rFonts w:hint="default" w:ascii="Times New Roman" w:hAnsi="Times New Roman" w:eastAsia="黑体" w:cs="Times New Roman"/>
          <w:b/>
          <w:bCs/>
        </w:rPr>
        <w:t>说明</w:t>
      </w:r>
    </w:p>
    <w:bookmarkEnd w:id="65"/>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color w:val="000000"/>
          <w:sz w:val="32"/>
          <w:szCs w:val="32"/>
        </w:rPr>
        <w:t>机关运行经费支出情况</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楷体" w:hAnsi="楷体" w:eastAsia="楷体" w:cs="楷体"/>
          <w:b/>
          <w:bCs/>
          <w:sz w:val="32"/>
          <w:szCs w:val="32"/>
          <w:lang w:val="en-US" w:eastAsia="zh-CN"/>
        </w:rPr>
      </w:pPr>
      <w:r>
        <w:rPr>
          <w:rFonts w:hint="eastAsia" w:ascii="仿宋" w:hAnsi="仿宋" w:eastAsia="仿宋" w:cs="仿宋"/>
          <w:b/>
          <w:bCs/>
          <w:color w:val="000000"/>
          <w:sz w:val="32"/>
          <w:szCs w:val="32"/>
        </w:rPr>
        <w:t>2019年，</w:t>
      </w:r>
      <w:r>
        <w:rPr>
          <w:rFonts w:hint="eastAsia" w:ascii="仿宋" w:hAnsi="仿宋" w:eastAsia="仿宋" w:cs="仿宋"/>
          <w:b/>
          <w:bCs/>
          <w:color w:val="000000"/>
          <w:sz w:val="32"/>
          <w:szCs w:val="32"/>
          <w:lang w:eastAsia="zh-CN"/>
        </w:rPr>
        <w:t>省委办公厅</w:t>
      </w:r>
      <w:r>
        <w:rPr>
          <w:rFonts w:hint="eastAsia" w:ascii="仿宋" w:hAnsi="仿宋" w:eastAsia="仿宋" w:cs="仿宋"/>
          <w:b/>
          <w:bCs/>
          <w:color w:val="000000"/>
          <w:sz w:val="32"/>
          <w:szCs w:val="32"/>
        </w:rPr>
        <w:t>机关运行经费支出</w:t>
      </w:r>
      <w:r>
        <w:rPr>
          <w:rFonts w:hint="eastAsia" w:ascii="仿宋" w:hAnsi="仿宋" w:eastAsia="仿宋" w:cs="仿宋"/>
          <w:b/>
          <w:bCs/>
          <w:color w:val="000000"/>
          <w:sz w:val="32"/>
          <w:szCs w:val="32"/>
          <w:lang w:val="en-US" w:eastAsia="zh-CN"/>
        </w:rPr>
        <w:t>1466.10</w:t>
      </w:r>
      <w:r>
        <w:rPr>
          <w:rFonts w:hint="eastAsia" w:ascii="仿宋" w:hAnsi="仿宋" w:eastAsia="仿宋" w:cs="仿宋"/>
          <w:b/>
          <w:bCs/>
          <w:color w:val="000000"/>
          <w:sz w:val="32"/>
          <w:szCs w:val="32"/>
        </w:rPr>
        <w:t>万元，比2018年</w:t>
      </w:r>
      <w:r>
        <w:rPr>
          <w:rFonts w:hint="eastAsia" w:ascii="仿宋" w:hAnsi="仿宋" w:eastAsia="仿宋" w:cs="仿宋"/>
          <w:b/>
          <w:bCs/>
          <w:color w:val="000000"/>
          <w:sz w:val="32"/>
          <w:szCs w:val="32"/>
          <w:lang w:eastAsia="zh-CN"/>
        </w:rPr>
        <w:t>减少</w:t>
      </w:r>
      <w:r>
        <w:rPr>
          <w:rFonts w:hint="eastAsia" w:ascii="仿宋" w:hAnsi="仿宋" w:eastAsia="仿宋" w:cs="仿宋"/>
          <w:b/>
          <w:bCs/>
          <w:color w:val="000000"/>
          <w:sz w:val="32"/>
          <w:szCs w:val="32"/>
          <w:lang w:val="en-US" w:eastAsia="zh-CN"/>
        </w:rPr>
        <w:t>88.59</w:t>
      </w:r>
      <w:r>
        <w:rPr>
          <w:rFonts w:hint="eastAsia" w:ascii="仿宋" w:hAnsi="仿宋" w:eastAsia="仿宋" w:cs="仿宋"/>
          <w:b/>
          <w:bCs/>
          <w:color w:val="000000"/>
          <w:sz w:val="32"/>
          <w:szCs w:val="32"/>
        </w:rPr>
        <w:t>万元，</w:t>
      </w:r>
      <w:r>
        <w:rPr>
          <w:rFonts w:hint="eastAsia" w:ascii="仿宋" w:hAnsi="仿宋" w:eastAsia="仿宋" w:cs="仿宋"/>
          <w:b/>
          <w:bCs/>
          <w:color w:val="000000"/>
          <w:sz w:val="32"/>
          <w:szCs w:val="32"/>
          <w:lang w:eastAsia="zh-CN"/>
        </w:rPr>
        <w:t>下降</w:t>
      </w:r>
      <w:r>
        <w:rPr>
          <w:rFonts w:hint="eastAsia" w:ascii="仿宋" w:hAnsi="仿宋" w:eastAsia="仿宋" w:cs="仿宋"/>
          <w:b/>
          <w:bCs/>
          <w:color w:val="000000"/>
          <w:sz w:val="32"/>
          <w:szCs w:val="32"/>
          <w:lang w:val="en-US" w:eastAsia="zh-CN"/>
        </w:rPr>
        <w:t>5.7</w:t>
      </w:r>
      <w:r>
        <w:rPr>
          <w:rFonts w:hint="eastAsia" w:ascii="仿宋" w:hAnsi="仿宋" w:eastAsia="仿宋" w:cs="仿宋"/>
          <w:b/>
          <w:bCs/>
          <w:color w:val="000000"/>
          <w:sz w:val="32"/>
          <w:szCs w:val="32"/>
        </w:rPr>
        <w:t>%。主要原因是</w:t>
      </w:r>
      <w:r>
        <w:rPr>
          <w:rFonts w:hint="eastAsia" w:ascii="仿宋" w:hAnsi="仿宋" w:eastAsia="仿宋" w:cs="仿宋"/>
          <w:b/>
          <w:sz w:val="32"/>
          <w:szCs w:val="32"/>
          <w:lang w:val="en-US" w:eastAsia="zh-CN"/>
        </w:rPr>
        <w:t>2019年机构改革涉改单位划出。</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color w:val="000000"/>
          <w:sz w:val="32"/>
          <w:szCs w:val="32"/>
        </w:rPr>
        <w:t>政府采购支出情况</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楷体" w:hAnsi="楷体" w:eastAsia="楷体" w:cs="楷体"/>
          <w:b/>
          <w:bCs/>
          <w:sz w:val="32"/>
          <w:szCs w:val="32"/>
        </w:rPr>
      </w:pPr>
      <w:r>
        <w:rPr>
          <w:rFonts w:hint="eastAsia" w:ascii="仿宋" w:hAnsi="仿宋" w:eastAsia="仿宋" w:cs="仿宋"/>
          <w:b/>
          <w:bCs/>
          <w:color w:val="000000"/>
          <w:sz w:val="32"/>
          <w:szCs w:val="32"/>
        </w:rPr>
        <w:t>2019年，</w:t>
      </w:r>
      <w:r>
        <w:rPr>
          <w:rFonts w:hint="eastAsia" w:ascii="仿宋" w:hAnsi="仿宋" w:eastAsia="仿宋" w:cs="仿宋"/>
          <w:b/>
          <w:bCs/>
          <w:color w:val="000000"/>
          <w:sz w:val="32"/>
          <w:szCs w:val="32"/>
          <w:lang w:eastAsia="zh-CN"/>
        </w:rPr>
        <w:t>省委办公厅</w:t>
      </w:r>
      <w:r>
        <w:rPr>
          <w:rFonts w:hint="eastAsia" w:ascii="仿宋" w:hAnsi="仿宋" w:eastAsia="仿宋" w:cs="仿宋"/>
          <w:b/>
          <w:bCs/>
          <w:color w:val="000000"/>
          <w:sz w:val="32"/>
          <w:szCs w:val="32"/>
        </w:rPr>
        <w:t>政府采购支出总额</w:t>
      </w:r>
      <w:r>
        <w:rPr>
          <w:rFonts w:hint="eastAsia" w:ascii="仿宋" w:hAnsi="仿宋" w:eastAsia="仿宋" w:cs="仿宋"/>
          <w:b/>
          <w:bCs/>
          <w:color w:val="000000"/>
          <w:sz w:val="32"/>
          <w:szCs w:val="32"/>
          <w:lang w:val="en-US" w:eastAsia="zh-CN"/>
        </w:rPr>
        <w:t>533.83</w:t>
      </w:r>
      <w:r>
        <w:rPr>
          <w:rFonts w:hint="eastAsia" w:ascii="仿宋" w:hAnsi="仿宋" w:eastAsia="仿宋" w:cs="仿宋"/>
          <w:b/>
          <w:bCs/>
          <w:color w:val="000000"/>
          <w:sz w:val="32"/>
          <w:szCs w:val="32"/>
        </w:rPr>
        <w:t>万元，其中：政府采购货物支出</w:t>
      </w:r>
      <w:r>
        <w:rPr>
          <w:rFonts w:hint="eastAsia" w:ascii="仿宋" w:hAnsi="仿宋" w:eastAsia="仿宋" w:cs="仿宋"/>
          <w:b/>
          <w:bCs/>
          <w:color w:val="000000"/>
          <w:sz w:val="32"/>
          <w:szCs w:val="32"/>
          <w:lang w:val="en-US" w:eastAsia="zh-CN"/>
        </w:rPr>
        <w:t>140.28</w:t>
      </w:r>
      <w:r>
        <w:rPr>
          <w:rFonts w:hint="eastAsia" w:ascii="仿宋" w:hAnsi="仿宋" w:eastAsia="仿宋" w:cs="仿宋"/>
          <w:b/>
          <w:bCs/>
          <w:color w:val="000000"/>
          <w:sz w:val="32"/>
          <w:szCs w:val="32"/>
        </w:rPr>
        <w:t>万元、政府采购工程支出</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万元、政府采购服务支出</w:t>
      </w:r>
      <w:r>
        <w:rPr>
          <w:rFonts w:hint="eastAsia" w:ascii="仿宋" w:hAnsi="仿宋" w:eastAsia="仿宋" w:cs="仿宋"/>
          <w:b/>
          <w:bCs/>
          <w:color w:val="000000"/>
          <w:sz w:val="32"/>
          <w:szCs w:val="32"/>
          <w:lang w:val="en-US" w:eastAsia="zh-CN"/>
        </w:rPr>
        <w:t>393.55</w:t>
      </w:r>
      <w:r>
        <w:rPr>
          <w:rFonts w:hint="eastAsia" w:ascii="仿宋" w:hAnsi="仿宋" w:eastAsia="仿宋" w:cs="仿宋"/>
          <w:b/>
          <w:bCs/>
          <w:color w:val="000000"/>
          <w:sz w:val="32"/>
          <w:szCs w:val="32"/>
        </w:rPr>
        <w:t>万元。主要用于</w:t>
      </w:r>
      <w:r>
        <w:rPr>
          <w:rFonts w:hint="eastAsia" w:ascii="仿宋" w:hAnsi="仿宋" w:eastAsia="仿宋" w:cs="仿宋"/>
          <w:b/>
          <w:bCs/>
          <w:color w:val="000000"/>
          <w:sz w:val="32"/>
          <w:szCs w:val="32"/>
          <w:lang w:eastAsia="zh-CN"/>
        </w:rPr>
        <w:t>办公设施设备购置以及公务用车油料、维修、保险</w:t>
      </w:r>
      <w:r>
        <w:rPr>
          <w:rFonts w:hint="default" w:ascii="仿宋" w:hAnsi="仿宋" w:eastAsia="仿宋" w:cs="仿宋"/>
          <w:b/>
          <w:bCs/>
          <w:color w:val="000000"/>
          <w:sz w:val="32"/>
          <w:szCs w:val="32"/>
        </w:rPr>
        <w:t>等</w:t>
      </w:r>
      <w:r>
        <w:rPr>
          <w:rFonts w:hint="eastAsia" w:ascii="仿宋" w:hAnsi="仿宋" w:eastAsia="仿宋" w:cs="仿宋"/>
          <w:b/>
          <w:bCs/>
          <w:color w:val="000000"/>
          <w:sz w:val="32"/>
          <w:szCs w:val="32"/>
          <w:lang w:eastAsia="zh-CN"/>
        </w:rPr>
        <w:t>服务采购支出</w:t>
      </w:r>
      <w:r>
        <w:rPr>
          <w:rFonts w:hint="eastAsia" w:ascii="仿宋" w:hAnsi="仿宋" w:eastAsia="仿宋" w:cs="仿宋"/>
          <w:b/>
          <w:bCs/>
          <w:color w:val="000000"/>
          <w:sz w:val="32"/>
          <w:szCs w:val="32"/>
        </w:rPr>
        <w:t>。授予中小企业合同金额</w:t>
      </w:r>
      <w:r>
        <w:rPr>
          <w:rFonts w:hint="eastAsia" w:ascii="仿宋" w:hAnsi="仿宋" w:eastAsia="仿宋" w:cs="仿宋"/>
          <w:b/>
          <w:bCs/>
          <w:color w:val="000000"/>
          <w:sz w:val="32"/>
          <w:szCs w:val="32"/>
          <w:lang w:val="en-US" w:eastAsia="zh-CN"/>
        </w:rPr>
        <w:t>152.74</w:t>
      </w:r>
      <w:r>
        <w:rPr>
          <w:rFonts w:hint="eastAsia" w:ascii="仿宋" w:hAnsi="仿宋" w:eastAsia="仿宋" w:cs="仿宋"/>
          <w:b/>
          <w:bCs/>
          <w:color w:val="000000"/>
          <w:sz w:val="32"/>
          <w:szCs w:val="32"/>
        </w:rPr>
        <w:t>万元，占政府采购支出总额的</w:t>
      </w:r>
      <w:r>
        <w:rPr>
          <w:rFonts w:hint="eastAsia" w:ascii="仿宋" w:hAnsi="仿宋" w:eastAsia="仿宋" w:cs="仿宋"/>
          <w:b/>
          <w:bCs/>
          <w:color w:val="000000"/>
          <w:sz w:val="32"/>
          <w:szCs w:val="32"/>
          <w:lang w:val="en-US" w:eastAsia="zh-CN"/>
        </w:rPr>
        <w:t>28.61</w:t>
      </w:r>
      <w:r>
        <w:rPr>
          <w:rFonts w:hint="eastAsia" w:ascii="仿宋" w:hAnsi="仿宋" w:eastAsia="仿宋" w:cs="仿宋"/>
          <w:b/>
          <w:bCs/>
          <w:color w:val="000000"/>
          <w:sz w:val="32"/>
          <w:szCs w:val="32"/>
        </w:rPr>
        <w:t>%，其中：授予小微企业合同金额</w:t>
      </w:r>
      <w:r>
        <w:rPr>
          <w:rFonts w:hint="eastAsia" w:ascii="仿宋" w:hAnsi="仿宋" w:eastAsia="仿宋" w:cs="仿宋"/>
          <w:b/>
          <w:bCs/>
          <w:color w:val="000000"/>
          <w:sz w:val="32"/>
          <w:szCs w:val="32"/>
          <w:lang w:val="en-US" w:eastAsia="zh-CN"/>
        </w:rPr>
        <w:t>152.74</w:t>
      </w:r>
      <w:r>
        <w:rPr>
          <w:rFonts w:hint="eastAsia" w:ascii="仿宋" w:hAnsi="仿宋" w:eastAsia="仿宋" w:cs="仿宋"/>
          <w:b/>
          <w:bCs/>
          <w:color w:val="000000"/>
          <w:sz w:val="32"/>
          <w:szCs w:val="32"/>
        </w:rPr>
        <w:t>万元，占政府采购支出总额的</w:t>
      </w:r>
      <w:r>
        <w:rPr>
          <w:rFonts w:hint="eastAsia" w:ascii="仿宋" w:hAnsi="仿宋" w:eastAsia="仿宋" w:cs="仿宋"/>
          <w:b/>
          <w:bCs/>
          <w:color w:val="000000"/>
          <w:sz w:val="32"/>
          <w:szCs w:val="32"/>
          <w:lang w:val="en-US" w:eastAsia="zh-CN"/>
        </w:rPr>
        <w:t>28.61</w:t>
      </w:r>
      <w:r>
        <w:rPr>
          <w:rFonts w:hint="eastAsia" w:ascii="仿宋" w:hAnsi="仿宋" w:eastAsia="仿宋" w:cs="仿宋"/>
          <w:b/>
          <w:bCs/>
          <w:color w:val="000000"/>
          <w:sz w:val="32"/>
          <w:szCs w:val="32"/>
        </w:rPr>
        <w:t>%。</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国有资产占有使用情况</w:t>
      </w:r>
    </w:p>
    <w:p>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截至2019年12月31日，</w:t>
      </w:r>
      <w:r>
        <w:rPr>
          <w:rFonts w:hint="eastAsia" w:ascii="仿宋" w:hAnsi="仿宋" w:eastAsia="仿宋" w:cs="仿宋"/>
          <w:b/>
          <w:bCs/>
          <w:color w:val="000000"/>
          <w:sz w:val="32"/>
          <w:szCs w:val="32"/>
          <w:lang w:eastAsia="zh-CN"/>
        </w:rPr>
        <w:t>省委办公厅</w:t>
      </w:r>
      <w:r>
        <w:rPr>
          <w:rFonts w:hint="eastAsia" w:ascii="仿宋" w:hAnsi="仿宋" w:eastAsia="仿宋" w:cs="仿宋"/>
          <w:b/>
          <w:bCs/>
          <w:color w:val="000000"/>
          <w:sz w:val="32"/>
          <w:szCs w:val="32"/>
        </w:rPr>
        <w:t>共有车辆</w:t>
      </w:r>
      <w:r>
        <w:rPr>
          <w:rFonts w:hint="eastAsia" w:ascii="仿宋" w:hAnsi="仿宋" w:eastAsia="仿宋" w:cs="仿宋"/>
          <w:b/>
          <w:bCs/>
          <w:color w:val="000000"/>
          <w:sz w:val="32"/>
          <w:szCs w:val="32"/>
          <w:lang w:val="en-US" w:eastAsia="zh-CN"/>
        </w:rPr>
        <w:t>93</w:t>
      </w:r>
      <w:r>
        <w:rPr>
          <w:rFonts w:hint="eastAsia" w:ascii="仿宋" w:hAnsi="仿宋" w:eastAsia="仿宋" w:cs="仿宋"/>
          <w:b/>
          <w:bCs/>
          <w:color w:val="000000"/>
          <w:sz w:val="32"/>
          <w:szCs w:val="32"/>
        </w:rPr>
        <w:t>辆，其中：主要领导干部用车</w:t>
      </w:r>
      <w:r>
        <w:rPr>
          <w:rFonts w:hint="eastAsia" w:ascii="仿宋" w:hAnsi="仿宋" w:eastAsia="仿宋" w:cs="仿宋"/>
          <w:b/>
          <w:bCs/>
          <w:color w:val="000000"/>
          <w:sz w:val="32"/>
          <w:szCs w:val="32"/>
          <w:lang w:val="en-US" w:eastAsia="zh-CN"/>
        </w:rPr>
        <w:t>19</w:t>
      </w:r>
      <w:r>
        <w:rPr>
          <w:rFonts w:hint="eastAsia" w:ascii="仿宋" w:hAnsi="仿宋" w:eastAsia="仿宋" w:cs="仿宋"/>
          <w:b/>
          <w:bCs/>
          <w:color w:val="000000"/>
          <w:sz w:val="32"/>
          <w:szCs w:val="32"/>
        </w:rPr>
        <w:t>辆、机要通信用车</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辆、应急保障用车</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辆、其他用车</w:t>
      </w:r>
      <w:r>
        <w:rPr>
          <w:rFonts w:hint="eastAsia" w:ascii="仿宋" w:hAnsi="仿宋" w:eastAsia="仿宋" w:cs="仿宋"/>
          <w:b/>
          <w:bCs/>
          <w:color w:val="000000"/>
          <w:sz w:val="32"/>
          <w:szCs w:val="32"/>
          <w:lang w:val="en-US" w:eastAsia="zh-CN"/>
        </w:rPr>
        <w:t>74</w:t>
      </w:r>
      <w:r>
        <w:rPr>
          <w:rFonts w:hint="eastAsia" w:ascii="仿宋" w:hAnsi="仿宋" w:eastAsia="仿宋" w:cs="仿宋"/>
          <w:b/>
          <w:bCs/>
          <w:color w:val="000000"/>
          <w:sz w:val="32"/>
          <w:szCs w:val="32"/>
        </w:rPr>
        <w:t>辆</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其他用车主要用于</w:t>
      </w:r>
      <w:r>
        <w:rPr>
          <w:rFonts w:hint="eastAsia" w:ascii="仿宋" w:hAnsi="仿宋" w:eastAsia="仿宋" w:cs="仿宋"/>
          <w:b/>
          <w:bCs/>
          <w:color w:val="000000"/>
          <w:sz w:val="32"/>
          <w:szCs w:val="32"/>
          <w:lang w:eastAsia="zh-CN"/>
        </w:rPr>
        <w:t>保障省委办公厅日常工作正常开展。</w:t>
      </w:r>
      <w:r>
        <w:rPr>
          <w:rFonts w:hint="eastAsia" w:ascii="仿宋" w:hAnsi="仿宋" w:eastAsia="仿宋" w:cs="仿宋"/>
          <w:b/>
          <w:bCs/>
          <w:color w:val="000000"/>
          <w:sz w:val="32"/>
          <w:szCs w:val="32"/>
        </w:rPr>
        <w:t>单价50万元以上通用设备</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台（套），单价100万元以上专用设备</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台（套）。</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预算绩效管理情况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根据预算绩效管理要求，本部门在年初预算编制阶段，组织对</w:t>
      </w:r>
      <w:r>
        <w:rPr>
          <w:rFonts w:hint="eastAsia" w:ascii="仿宋" w:hAnsi="仿宋" w:eastAsia="仿宋" w:cs="仿宋"/>
          <w:b/>
          <w:bCs/>
          <w:sz w:val="32"/>
          <w:szCs w:val="32"/>
          <w:lang w:val="en-US" w:eastAsia="zh-CN"/>
        </w:rPr>
        <w:t>6个</w:t>
      </w:r>
      <w:r>
        <w:rPr>
          <w:rFonts w:hint="eastAsia" w:ascii="仿宋" w:hAnsi="仿宋" w:eastAsia="仿宋" w:cs="仿宋"/>
          <w:b/>
          <w:bCs/>
          <w:sz w:val="32"/>
          <w:szCs w:val="32"/>
        </w:rPr>
        <w:t>项目开展了预算事前绩效评估，对</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个项目编制了绩效目标，预算执行过程中，选取</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个项目开展绩效监控，年终执行完毕后，对</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个项目开展了绩效目标完成情况自评。</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本部门按要求对201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年部门整体支出开展绩效自评，从评价情况来看</w:t>
      </w:r>
      <w:r>
        <w:rPr>
          <w:rFonts w:hint="eastAsia" w:ascii="仿宋" w:hAnsi="仿宋" w:eastAsia="仿宋" w:cs="仿宋"/>
          <w:b/>
          <w:bCs/>
          <w:sz w:val="32"/>
          <w:szCs w:val="32"/>
          <w:lang w:eastAsia="zh-CN"/>
        </w:rPr>
        <w:t>，</w:t>
      </w:r>
      <w:r>
        <w:rPr>
          <w:rFonts w:hint="default" w:ascii="仿宋" w:hAnsi="仿宋" w:eastAsia="仿宋" w:cs="仿宋"/>
          <w:b/>
          <w:bCs/>
          <w:sz w:val="32"/>
          <w:szCs w:val="32"/>
          <w:lang w:val="en-US" w:eastAsia="zh-CN"/>
        </w:rPr>
        <w:t>部门</w:t>
      </w:r>
      <w:r>
        <w:rPr>
          <w:rFonts w:hint="eastAsia" w:ascii="仿宋" w:hAnsi="仿宋" w:eastAsia="仿宋" w:cs="仿宋"/>
          <w:b/>
          <w:bCs/>
          <w:sz w:val="32"/>
          <w:szCs w:val="32"/>
          <w:lang w:val="en-US" w:eastAsia="zh-CN"/>
        </w:rPr>
        <w:t>整体和项目</w:t>
      </w:r>
      <w:r>
        <w:rPr>
          <w:rFonts w:hint="default" w:ascii="仿宋" w:hAnsi="仿宋" w:eastAsia="仿宋" w:cs="仿宋"/>
          <w:b/>
          <w:bCs/>
          <w:sz w:val="32"/>
          <w:szCs w:val="32"/>
          <w:lang w:val="en-US" w:eastAsia="zh-CN"/>
        </w:rPr>
        <w:t>绩效目标要素完整，</w:t>
      </w:r>
      <w:r>
        <w:rPr>
          <w:rFonts w:hint="eastAsia" w:ascii="仿宋" w:hAnsi="仿宋" w:eastAsia="仿宋" w:cs="仿宋"/>
          <w:b/>
          <w:bCs/>
          <w:sz w:val="32"/>
          <w:szCs w:val="32"/>
          <w:lang w:val="en-US" w:eastAsia="zh-CN"/>
        </w:rPr>
        <w:t>绩效</w:t>
      </w:r>
      <w:r>
        <w:rPr>
          <w:rFonts w:hint="default" w:ascii="仿宋" w:hAnsi="仿宋" w:eastAsia="仿宋" w:cs="仿宋"/>
          <w:b/>
          <w:bCs/>
          <w:sz w:val="32"/>
          <w:szCs w:val="32"/>
          <w:lang w:val="en-US" w:eastAsia="zh-CN"/>
        </w:rPr>
        <w:t>指标</w:t>
      </w:r>
      <w:r>
        <w:rPr>
          <w:rFonts w:hint="eastAsia" w:ascii="仿宋" w:hAnsi="仿宋" w:eastAsia="仿宋" w:cs="仿宋"/>
          <w:b/>
          <w:bCs/>
          <w:sz w:val="32"/>
          <w:szCs w:val="32"/>
          <w:lang w:val="en-US" w:eastAsia="zh-CN"/>
        </w:rPr>
        <w:t>按要求</w:t>
      </w:r>
      <w:r>
        <w:rPr>
          <w:rFonts w:hint="default" w:ascii="仿宋" w:hAnsi="仿宋" w:eastAsia="仿宋" w:cs="仿宋"/>
          <w:b/>
          <w:bCs/>
          <w:sz w:val="32"/>
          <w:szCs w:val="32"/>
          <w:lang w:val="en-US" w:eastAsia="zh-CN"/>
        </w:rPr>
        <w:t>细化量化，绩效目标实际实现程度与预期目标相符</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部门年初预算编制较为准确</w:t>
      </w:r>
      <w:r>
        <w:rPr>
          <w:rFonts w:hint="eastAsia" w:ascii="仿宋" w:hAnsi="仿宋" w:eastAsia="仿宋" w:cs="仿宋"/>
          <w:b/>
          <w:bCs/>
          <w:sz w:val="32"/>
          <w:szCs w:val="32"/>
          <w:lang w:val="en-US" w:eastAsia="zh-CN"/>
        </w:rPr>
        <w:t>，全年预算调剂数为764.23万元，占年初预算数的4.34%。</w:t>
      </w:r>
      <w:r>
        <w:rPr>
          <w:rFonts w:hint="default" w:ascii="仿宋" w:hAnsi="仿宋" w:eastAsia="仿宋" w:cs="仿宋"/>
          <w:b/>
          <w:bCs/>
          <w:sz w:val="32"/>
          <w:szCs w:val="32"/>
          <w:lang w:val="en-US" w:eastAsia="zh-CN"/>
        </w:rPr>
        <w:t>基本支出与项目支出预算控制情况良好</w:t>
      </w:r>
      <w:r>
        <w:rPr>
          <w:rFonts w:hint="eastAsia" w:ascii="仿宋" w:hAnsi="仿宋" w:eastAsia="仿宋" w:cs="仿宋"/>
          <w:b/>
          <w:bCs/>
          <w:sz w:val="32"/>
          <w:szCs w:val="32"/>
          <w:lang w:val="en-US" w:eastAsia="zh-CN"/>
        </w:rPr>
        <w:t>，部门日常公用经费、项目支出中“办公费、印刷费、水费、电费、物业管理费”等科目年初预算数与决算数偏差程度在10%以内。</w:t>
      </w:r>
      <w:r>
        <w:rPr>
          <w:rFonts w:hint="default" w:ascii="仿宋" w:hAnsi="仿宋" w:eastAsia="仿宋" w:cs="仿宋"/>
          <w:b/>
          <w:bCs/>
          <w:sz w:val="32"/>
          <w:szCs w:val="32"/>
          <w:lang w:val="en-US" w:eastAsia="zh-CN"/>
        </w:rPr>
        <w:t>积极推进预算绩效运行监控，及时根据监控结果和工作任务变动开展预算动态调整。201</w:t>
      </w: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年6、9、11月预算执行进度分别为</w:t>
      </w:r>
      <w:r>
        <w:rPr>
          <w:rFonts w:hint="eastAsia" w:ascii="仿宋" w:hAnsi="仿宋" w:eastAsia="仿宋" w:cs="仿宋"/>
          <w:b/>
          <w:bCs/>
          <w:sz w:val="32"/>
          <w:szCs w:val="32"/>
          <w:lang w:val="en-US" w:eastAsia="zh-CN"/>
        </w:rPr>
        <w:t>38</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67.27</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80</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基本达到预算执行序时进度要求。全年</w:t>
      </w:r>
      <w:r>
        <w:rPr>
          <w:rFonts w:hint="default" w:ascii="仿宋" w:hAnsi="仿宋" w:eastAsia="仿宋" w:cs="仿宋"/>
          <w:b/>
          <w:bCs/>
          <w:sz w:val="32"/>
          <w:szCs w:val="32"/>
          <w:lang w:val="en-US" w:eastAsia="zh-CN"/>
        </w:rPr>
        <w:t>预算</w:t>
      </w:r>
      <w:r>
        <w:rPr>
          <w:rFonts w:hint="eastAsia" w:ascii="仿宋" w:hAnsi="仿宋" w:eastAsia="仿宋" w:cs="仿宋"/>
          <w:b/>
          <w:bCs/>
          <w:sz w:val="32"/>
          <w:szCs w:val="32"/>
          <w:lang w:val="en-US" w:eastAsia="zh-CN"/>
        </w:rPr>
        <w:t>总</w:t>
      </w:r>
      <w:r>
        <w:rPr>
          <w:rFonts w:hint="default" w:ascii="仿宋" w:hAnsi="仿宋" w:eastAsia="仿宋" w:cs="仿宋"/>
          <w:b/>
          <w:bCs/>
          <w:sz w:val="32"/>
          <w:szCs w:val="32"/>
          <w:lang w:val="en-US" w:eastAsia="zh-CN"/>
        </w:rPr>
        <w:t>执行</w:t>
      </w:r>
      <w:r>
        <w:rPr>
          <w:rFonts w:hint="eastAsia" w:ascii="仿宋" w:hAnsi="仿宋" w:eastAsia="仿宋" w:cs="仿宋"/>
          <w:b/>
          <w:bCs/>
          <w:sz w:val="32"/>
          <w:szCs w:val="32"/>
          <w:lang w:val="en-US" w:eastAsia="zh-CN"/>
        </w:rPr>
        <w:t>率为94%，较好地保障了省委和办公厅各项工作顺利开展。</w:t>
      </w:r>
      <w:r>
        <w:rPr>
          <w:rFonts w:hint="default" w:ascii="仿宋" w:hAnsi="仿宋" w:eastAsia="仿宋" w:cs="仿宋"/>
          <w:b/>
          <w:bCs/>
          <w:sz w:val="32"/>
          <w:szCs w:val="32"/>
          <w:lang w:val="en-US" w:eastAsia="zh-CN"/>
        </w:rPr>
        <w:t>201</w:t>
      </w:r>
      <w:r>
        <w:rPr>
          <w:rFonts w:hint="eastAsia" w:ascii="仿宋" w:hAnsi="仿宋" w:eastAsia="仿宋" w:cs="仿宋"/>
          <w:b/>
          <w:bCs/>
          <w:sz w:val="32"/>
          <w:szCs w:val="32"/>
          <w:lang w:val="en-US" w:eastAsia="zh-CN"/>
        </w:rPr>
        <w:t>9</w:t>
      </w:r>
      <w:r>
        <w:rPr>
          <w:rFonts w:hint="default" w:ascii="仿宋" w:hAnsi="仿宋" w:eastAsia="仿宋" w:cs="仿宋"/>
          <w:b/>
          <w:bCs/>
          <w:sz w:val="32"/>
          <w:szCs w:val="32"/>
          <w:lang w:val="en-US" w:eastAsia="zh-CN"/>
        </w:rPr>
        <w:t>年部门预算管理合法合规，未出现任何违纪违规问题</w:t>
      </w:r>
      <w:r>
        <w:rPr>
          <w:rFonts w:hint="eastAsia" w:ascii="仿宋" w:hAnsi="仿宋" w:eastAsia="仿宋" w:cs="仿宋"/>
          <w:b/>
          <w:bCs/>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2019年本部门组织开展了6个项目支出绩效评价，从评价情况来看，6个项目年初预算总金额为2312.93万元，实际支出金额为2233.92万元，预算执行率为96.10%，较好地完成了年度绩效目标。本部门无专项预算项目，因此未组织开展专项预算项目支出绩效评价。</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项目绩效目标完成情况</w:t>
      </w:r>
      <w:r>
        <w:rPr>
          <w:rFonts w:hint="default" w:ascii="Times New Roman" w:hAnsi="Times New Roman" w:eastAsia="楷体_GB2312" w:cs="Times New Roman"/>
          <w:b/>
          <w:bCs/>
          <w:sz w:val="32"/>
          <w:szCs w:val="32"/>
        </w:rPr>
        <w:br w:type="textWrapping"/>
      </w:r>
      <w:r>
        <w:rPr>
          <w:rFonts w:hint="default" w:ascii="Times New Roman" w:hAnsi="Times New Roman" w:eastAsia="仿宋_GB2312" w:cs="Times New Roman"/>
          <w:b/>
          <w:bCs/>
          <w:sz w:val="32"/>
          <w:szCs w:val="32"/>
        </w:rPr>
        <w:t xml:space="preserve">   </w:t>
      </w:r>
      <w:r>
        <w:rPr>
          <w:rFonts w:hint="eastAsia" w:ascii="仿宋" w:hAnsi="仿宋" w:eastAsia="仿宋" w:cs="仿宋"/>
          <w:b/>
          <w:bCs/>
          <w:sz w:val="32"/>
          <w:szCs w:val="32"/>
        </w:rPr>
        <w:t xml:space="preserve"> 本部门在201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年度部门决算中反映</w:t>
      </w:r>
      <w:r>
        <w:rPr>
          <w:rFonts w:hint="eastAsia" w:ascii="仿宋" w:hAnsi="仿宋" w:eastAsia="仿宋" w:cs="仿宋"/>
          <w:b/>
          <w:bCs/>
          <w:sz w:val="32"/>
          <w:szCs w:val="32"/>
          <w:lang w:eastAsia="zh-CN"/>
        </w:rPr>
        <w:t>“</w:t>
      </w:r>
      <w:r>
        <w:rPr>
          <w:rFonts w:hint="eastAsia" w:ascii="仿宋" w:hAnsi="仿宋" w:eastAsia="仿宋" w:cs="仿宋"/>
          <w:b/>
          <w:sz w:val="32"/>
          <w:szCs w:val="32"/>
          <w:lang w:val="en-US" w:eastAsia="zh-CN"/>
        </w:rPr>
        <w:t>办公厅专项工作经费</w:t>
      </w:r>
      <w:r>
        <w:rPr>
          <w:rFonts w:hint="eastAsia" w:ascii="仿宋" w:hAnsi="仿宋" w:eastAsia="仿宋" w:cs="仿宋"/>
          <w:b/>
          <w:bCs/>
          <w:sz w:val="32"/>
          <w:szCs w:val="32"/>
          <w:lang w:eastAsia="zh-CN"/>
        </w:rPr>
        <w:t>”、“</w:t>
      </w:r>
      <w:r>
        <w:rPr>
          <w:rFonts w:hint="eastAsia" w:ascii="仿宋" w:hAnsi="仿宋" w:eastAsia="仿宋" w:cs="仿宋"/>
          <w:b/>
          <w:sz w:val="32"/>
          <w:szCs w:val="32"/>
          <w:lang w:val="en-US" w:eastAsia="zh-CN"/>
        </w:rPr>
        <w:t>信息化建设及运行维护经费</w:t>
      </w:r>
      <w:r>
        <w:rPr>
          <w:rFonts w:hint="eastAsia" w:ascii="仿宋" w:hAnsi="仿宋" w:eastAsia="仿宋" w:cs="仿宋"/>
          <w:b/>
          <w:bCs/>
          <w:sz w:val="32"/>
          <w:szCs w:val="32"/>
          <w:lang w:eastAsia="zh-CN"/>
        </w:rPr>
        <w:t>”、“</w:t>
      </w:r>
      <w:r>
        <w:rPr>
          <w:rFonts w:hint="eastAsia" w:ascii="仿宋" w:hAnsi="仿宋" w:eastAsia="仿宋" w:cs="仿宋"/>
          <w:b/>
          <w:sz w:val="32"/>
          <w:szCs w:val="32"/>
          <w:lang w:val="en-US" w:eastAsia="zh-CN"/>
        </w:rPr>
        <w:t>设备购置经费</w:t>
      </w:r>
      <w:r>
        <w:rPr>
          <w:rFonts w:hint="eastAsia" w:ascii="仿宋" w:hAnsi="仿宋" w:eastAsia="仿宋" w:cs="仿宋"/>
          <w:b/>
          <w:bCs/>
          <w:sz w:val="32"/>
          <w:szCs w:val="32"/>
          <w:lang w:eastAsia="zh-CN"/>
        </w:rPr>
        <w:t>”、“</w:t>
      </w:r>
      <w:r>
        <w:rPr>
          <w:rFonts w:hint="eastAsia" w:ascii="仿宋" w:hAnsi="仿宋" w:eastAsia="仿宋" w:cs="仿宋"/>
          <w:b/>
          <w:sz w:val="32"/>
          <w:szCs w:val="32"/>
          <w:lang w:val="en-US" w:eastAsia="zh-CN"/>
        </w:rPr>
        <w:t>暗访督查专项工作经费</w:t>
      </w:r>
      <w:r>
        <w:rPr>
          <w:rFonts w:hint="eastAsia" w:ascii="仿宋" w:hAnsi="仿宋" w:eastAsia="仿宋" w:cs="仿宋"/>
          <w:b/>
          <w:bCs/>
          <w:sz w:val="32"/>
          <w:szCs w:val="32"/>
          <w:lang w:eastAsia="zh-CN"/>
        </w:rPr>
        <w:t>”以及“</w:t>
      </w:r>
      <w:r>
        <w:rPr>
          <w:rFonts w:hint="eastAsia" w:ascii="仿宋" w:hAnsi="仿宋" w:eastAsia="仿宋" w:cs="仿宋"/>
          <w:b/>
          <w:sz w:val="32"/>
          <w:szCs w:val="32"/>
          <w:lang w:val="en-US" w:eastAsia="zh-CN"/>
        </w:rPr>
        <w:t>老干部工作经费</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的</w:t>
      </w:r>
      <w:r>
        <w:rPr>
          <w:rFonts w:hint="eastAsia" w:ascii="仿宋" w:hAnsi="仿宋" w:eastAsia="仿宋" w:cs="仿宋"/>
          <w:b/>
          <w:bCs/>
          <w:sz w:val="32"/>
          <w:szCs w:val="32"/>
        </w:rPr>
        <w:t>绩效目标实际完成情况。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after="257" w:afterLines="82" w:afterAutospacing="0" w:line="600" w:lineRule="exact"/>
        <w:ind w:right="-153" w:rightChars="-73" w:firstLine="643"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办公厅专项工作经费年初预算1089.40万元，预算执行中调增230万元，年度实际执行预算1317.79万元，预算执行率为99.88%，确保中央文件翻印、省委和省委办公厅文件印制以及省委大院相关保障服务工作顺利开展。</w:t>
      </w:r>
    </w:p>
    <w:tbl>
      <w:tblPr>
        <w:tblStyle w:val="11"/>
        <w:tblW w:w="8312" w:type="dxa"/>
        <w:tblInd w:w="0" w:type="dxa"/>
        <w:shd w:val="clear" w:color="auto" w:fill="auto"/>
        <w:tblLayout w:type="fixed"/>
        <w:tblCellMar>
          <w:top w:w="0" w:type="dxa"/>
          <w:left w:w="0" w:type="dxa"/>
          <w:bottom w:w="0" w:type="dxa"/>
          <w:right w:w="0" w:type="dxa"/>
        </w:tblCellMar>
      </w:tblPr>
      <w:tblGrid>
        <w:gridCol w:w="735"/>
        <w:gridCol w:w="1189"/>
        <w:gridCol w:w="1188"/>
        <w:gridCol w:w="1987"/>
        <w:gridCol w:w="1900"/>
        <w:gridCol w:w="1313"/>
      </w:tblGrid>
      <w:tr>
        <w:tblPrEx>
          <w:shd w:val="clear" w:color="auto" w:fill="auto"/>
          <w:tblCellMar>
            <w:top w:w="0" w:type="dxa"/>
            <w:left w:w="0" w:type="dxa"/>
            <w:bottom w:w="0" w:type="dxa"/>
            <w:right w:w="0" w:type="dxa"/>
          </w:tblCellMar>
        </w:tblPrEx>
        <w:trPr>
          <w:trHeight w:val="585" w:hRule="atLeast"/>
        </w:trPr>
        <w:tc>
          <w:tcPr>
            <w:tcW w:w="8312"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Autospacing="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项目支出绩效目标自评表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(2019年度)</w:t>
            </w:r>
          </w:p>
        </w:tc>
      </w:tr>
      <w:tr>
        <w:tblPrEx>
          <w:tblCellMar>
            <w:top w:w="0" w:type="dxa"/>
            <w:left w:w="0" w:type="dxa"/>
            <w:bottom w:w="0" w:type="dxa"/>
            <w:right w:w="0" w:type="dxa"/>
          </w:tblCellMar>
        </w:tblPrEx>
        <w:trPr>
          <w:trHeight w:val="255" w:hRule="atLeast"/>
        </w:trPr>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项目名称</w:t>
            </w:r>
          </w:p>
        </w:tc>
        <w:tc>
          <w:tcPr>
            <w:tcW w:w="5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办公厅专项工作经费</w:t>
            </w:r>
          </w:p>
        </w:tc>
      </w:tr>
      <w:tr>
        <w:tblPrEx>
          <w:tblCellMar>
            <w:top w:w="0" w:type="dxa"/>
            <w:left w:w="0" w:type="dxa"/>
            <w:bottom w:w="0" w:type="dxa"/>
            <w:right w:w="0" w:type="dxa"/>
          </w:tblCellMar>
        </w:tblPrEx>
        <w:trPr>
          <w:trHeight w:val="255" w:hRule="atLeast"/>
        </w:trPr>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预算单位</w:t>
            </w:r>
          </w:p>
        </w:tc>
        <w:tc>
          <w:tcPr>
            <w:tcW w:w="52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370301-中国共产党四川省委员会办公厅</w:t>
            </w:r>
          </w:p>
        </w:tc>
      </w:tr>
      <w:tr>
        <w:tblPrEx>
          <w:tblCellMar>
            <w:top w:w="0" w:type="dxa"/>
            <w:left w:w="0" w:type="dxa"/>
            <w:bottom w:w="0" w:type="dxa"/>
            <w:right w:w="0" w:type="dxa"/>
          </w:tblCellMar>
        </w:tblPrEx>
        <w:trPr>
          <w:trHeight w:val="25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预算执行情况(万元)</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预算数:</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1319.40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执行数:</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1317.79</w:t>
            </w:r>
          </w:p>
        </w:tc>
      </w:tr>
      <w:tr>
        <w:tblPrEx>
          <w:tblCellMar>
            <w:top w:w="0" w:type="dxa"/>
            <w:left w:w="0" w:type="dxa"/>
            <w:bottom w:w="0" w:type="dxa"/>
            <w:right w:w="0" w:type="dxa"/>
          </w:tblCellMar>
        </w:tblPrEx>
        <w:trPr>
          <w:trHeight w:val="2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其中-财政拨款:</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1319.40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其中-财政拨款:</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1317.79</w:t>
            </w:r>
          </w:p>
        </w:tc>
      </w:tr>
      <w:tr>
        <w:tblPrEx>
          <w:tblCellMar>
            <w:top w:w="0" w:type="dxa"/>
            <w:left w:w="0" w:type="dxa"/>
            <w:bottom w:w="0" w:type="dxa"/>
            <w:right w:w="0" w:type="dxa"/>
          </w:tblCellMar>
        </w:tblPrEx>
        <w:trPr>
          <w:trHeight w:val="2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其它资金:</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其它资金:</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5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年度目标完成情况</w:t>
            </w:r>
          </w:p>
        </w:tc>
        <w:tc>
          <w:tcPr>
            <w:tcW w:w="43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预期目标</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实际完成目标</w:t>
            </w:r>
          </w:p>
        </w:tc>
      </w:tr>
      <w:tr>
        <w:tblPrEx>
          <w:tblCellMar>
            <w:top w:w="0" w:type="dxa"/>
            <w:left w:w="0" w:type="dxa"/>
            <w:bottom w:w="0" w:type="dxa"/>
            <w:right w:w="0" w:type="dxa"/>
          </w:tblCellMar>
        </w:tblPrEx>
        <w:trPr>
          <w:trHeight w:val="9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3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1.保证中央、省委文件翻印，确保政令畅通。2.为办公厅劳务派遣人员提供劳务支持，保证省委机关后勤服务工作的正常开展。</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预算执行中调增230万元。圆满完成中央文件翻印、省委和省委办公厅文件印制工作，保障了省委大院相关保障服务工作顺利开展。</w:t>
            </w:r>
          </w:p>
        </w:tc>
      </w:tr>
      <w:tr>
        <w:tblPrEx>
          <w:tblCellMar>
            <w:top w:w="0" w:type="dxa"/>
            <w:left w:w="0" w:type="dxa"/>
            <w:bottom w:w="0" w:type="dxa"/>
            <w:right w:w="0" w:type="dxa"/>
          </w:tblCellMar>
        </w:tblPrEx>
        <w:trPr>
          <w:trHeight w:val="8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一级指标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二级指标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预期指标值(包含数字及文字描述)</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实际完成指标值(包含数字及文字描述)</w:t>
            </w:r>
          </w:p>
        </w:tc>
      </w:tr>
      <w:tr>
        <w:tblPrEx>
          <w:tblCellMar>
            <w:top w:w="0" w:type="dxa"/>
            <w:left w:w="0" w:type="dxa"/>
            <w:bottom w:w="0" w:type="dxa"/>
            <w:right w:w="0" w:type="dxa"/>
          </w:tblCellMar>
        </w:tblPrEx>
        <w:trPr>
          <w:trHeight w:val="85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数量指标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为办公厅劳务派遣人员提供劳务支持。</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112名</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112名</w:t>
            </w:r>
          </w:p>
        </w:tc>
      </w:tr>
      <w:tr>
        <w:tblPrEx>
          <w:tblCellMar>
            <w:top w:w="0" w:type="dxa"/>
            <w:left w:w="0" w:type="dxa"/>
            <w:bottom w:w="0" w:type="dxa"/>
            <w:right w:w="0" w:type="dxa"/>
          </w:tblCellMar>
        </w:tblPrEx>
        <w:trPr>
          <w:trHeight w:val="5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时效指标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2019年度</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1年</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1年</w:t>
            </w:r>
          </w:p>
        </w:tc>
      </w:tr>
      <w:tr>
        <w:tblPrEx>
          <w:tblCellMar>
            <w:top w:w="0" w:type="dxa"/>
            <w:left w:w="0" w:type="dxa"/>
            <w:bottom w:w="0" w:type="dxa"/>
            <w:right w:w="0" w:type="dxa"/>
          </w:tblCellMar>
        </w:tblPrEx>
        <w:trPr>
          <w:trHeight w:val="10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成本指标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文印费： 用于翻印中央文件、印制省委和省委办公厅文件等。</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390万元</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390万元</w:t>
            </w:r>
          </w:p>
        </w:tc>
      </w:tr>
      <w:tr>
        <w:tblPrEx>
          <w:tblCellMar>
            <w:top w:w="0" w:type="dxa"/>
            <w:left w:w="0" w:type="dxa"/>
            <w:bottom w:w="0" w:type="dxa"/>
            <w:right w:w="0"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效益指标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可持续影响指标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保证中央文件翻印、省委和省委办公厅文件印制，确保政令畅通。</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不断提高文印质量，确保办公厅工作正常开展</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提高了文印质量，确保办公厅工作正常开展</w:t>
            </w:r>
          </w:p>
        </w:tc>
      </w:tr>
      <w:tr>
        <w:tblPrEx>
          <w:tblCellMar>
            <w:top w:w="0" w:type="dxa"/>
            <w:left w:w="0" w:type="dxa"/>
            <w:bottom w:w="0" w:type="dxa"/>
            <w:right w:w="0" w:type="dxa"/>
          </w:tblCellMar>
        </w:tblPrEx>
        <w:trPr>
          <w:trHeight w:val="5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效益指标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可持续影响指标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提供优质的后勤保障服务</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不断提高服务水平</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提高了服务水平</w:t>
            </w:r>
          </w:p>
        </w:tc>
      </w:tr>
      <w:tr>
        <w:tblPrEx>
          <w:tblCellMar>
            <w:top w:w="0" w:type="dxa"/>
            <w:left w:w="0" w:type="dxa"/>
            <w:bottom w:w="0" w:type="dxa"/>
            <w:right w:w="0"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省委领导、全省省级机关、地市州及办公厅职工满意度</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满意度＞95%</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满意度达99%</w:t>
            </w:r>
          </w:p>
        </w:tc>
      </w:tr>
      <w:tr>
        <w:tblPrEx>
          <w:tblCellMar>
            <w:top w:w="0" w:type="dxa"/>
            <w:left w:w="0" w:type="dxa"/>
            <w:bottom w:w="0" w:type="dxa"/>
            <w:right w:w="0" w:type="dxa"/>
          </w:tblCellMar>
        </w:tblPrEx>
        <w:trPr>
          <w:trHeight w:val="55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1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外聘人员及劳务派遣管理单位满意度</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满意度＞95%</w:t>
            </w:r>
            <w:bookmarkStart w:id="84" w:name="_GoBack"/>
            <w:bookmarkEnd w:id="84"/>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满意度达98%</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234" w:beforeLines="75" w:beforeAutospacing="0" w:after="237" w:afterLines="75" w:afterAutospacing="0" w:line="600" w:lineRule="exact"/>
        <w:ind w:right="0" w:rightChars="0" w:firstLine="643"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信息化建设及运行维护经费年初预算468.53万元，预算执行中调减60万元，年度实际执行预算407.46万元，预算执行率为99.74%，全年对省党政网等23个信息化网络系统进行了维护，确保省委和省委办公厅信息化相关工作顺利开展。</w:t>
      </w:r>
    </w:p>
    <w:tbl>
      <w:tblPr>
        <w:tblStyle w:val="11"/>
        <w:tblW w:w="8337" w:type="dxa"/>
        <w:tblInd w:w="0" w:type="dxa"/>
        <w:shd w:val="clear" w:color="auto" w:fill="auto"/>
        <w:tblLayout w:type="fixed"/>
        <w:tblCellMar>
          <w:top w:w="0" w:type="dxa"/>
          <w:left w:w="0" w:type="dxa"/>
          <w:bottom w:w="0" w:type="dxa"/>
          <w:right w:w="0" w:type="dxa"/>
        </w:tblCellMar>
      </w:tblPr>
      <w:tblGrid>
        <w:gridCol w:w="750"/>
        <w:gridCol w:w="1137"/>
        <w:gridCol w:w="887"/>
        <w:gridCol w:w="2813"/>
        <w:gridCol w:w="1400"/>
        <w:gridCol w:w="1350"/>
      </w:tblGrid>
      <w:tr>
        <w:tblPrEx>
          <w:shd w:val="clear" w:color="auto" w:fill="auto"/>
          <w:tblCellMar>
            <w:top w:w="0" w:type="dxa"/>
            <w:left w:w="0" w:type="dxa"/>
            <w:bottom w:w="0" w:type="dxa"/>
            <w:right w:w="0" w:type="dxa"/>
          </w:tblCellMar>
        </w:tblPrEx>
        <w:trPr>
          <w:trHeight w:val="645" w:hRule="atLeast"/>
        </w:trPr>
        <w:tc>
          <w:tcPr>
            <w:tcW w:w="8337"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Autospacing="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项目支出绩效目标自评表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(2019年度)</w:t>
            </w:r>
          </w:p>
        </w:tc>
      </w:tr>
      <w:tr>
        <w:tblPrEx>
          <w:tblCellMar>
            <w:top w:w="0" w:type="dxa"/>
            <w:left w:w="0" w:type="dxa"/>
            <w:bottom w:w="0" w:type="dxa"/>
            <w:right w:w="0" w:type="dxa"/>
          </w:tblCellMar>
        </w:tblPrEx>
        <w:trPr>
          <w:trHeight w:val="255" w:hRule="atLeast"/>
        </w:trPr>
        <w:tc>
          <w:tcPr>
            <w:tcW w:w="27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项目名称</w:t>
            </w:r>
          </w:p>
        </w:tc>
        <w:tc>
          <w:tcPr>
            <w:tcW w:w="55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信息化建设及运行维护经费</w:t>
            </w:r>
          </w:p>
        </w:tc>
      </w:tr>
      <w:tr>
        <w:tblPrEx>
          <w:tblCellMar>
            <w:top w:w="0" w:type="dxa"/>
            <w:left w:w="0" w:type="dxa"/>
            <w:bottom w:w="0" w:type="dxa"/>
            <w:right w:w="0" w:type="dxa"/>
          </w:tblCellMar>
        </w:tblPrEx>
        <w:trPr>
          <w:trHeight w:val="255" w:hRule="atLeast"/>
        </w:trPr>
        <w:tc>
          <w:tcPr>
            <w:tcW w:w="27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预算单位</w:t>
            </w:r>
          </w:p>
        </w:tc>
        <w:tc>
          <w:tcPr>
            <w:tcW w:w="55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370301-中国共产党四川省委员会办公厅</w:t>
            </w:r>
          </w:p>
        </w:tc>
      </w:tr>
      <w:tr>
        <w:tblPrEx>
          <w:tblCellMar>
            <w:top w:w="0" w:type="dxa"/>
            <w:left w:w="0" w:type="dxa"/>
            <w:bottom w:w="0" w:type="dxa"/>
            <w:right w:w="0" w:type="dxa"/>
          </w:tblCellMar>
        </w:tblPrEx>
        <w:trPr>
          <w:trHeight w:val="25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预算执行情况(万元)</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预算数:</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408.53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执行数: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407.46</w:t>
            </w:r>
          </w:p>
        </w:tc>
      </w:tr>
      <w:tr>
        <w:tblPrEx>
          <w:tblCellMar>
            <w:top w:w="0" w:type="dxa"/>
            <w:left w:w="0" w:type="dxa"/>
            <w:bottom w:w="0" w:type="dxa"/>
            <w:right w:w="0" w:type="dxa"/>
          </w:tblCellMar>
        </w:tblPrEx>
        <w:trPr>
          <w:trHeight w:val="25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其中-财政拨款:</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408.53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其中-财政拨款:</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407.46</w:t>
            </w:r>
          </w:p>
        </w:tc>
      </w:tr>
      <w:tr>
        <w:tblPrEx>
          <w:tblCellMar>
            <w:top w:w="0" w:type="dxa"/>
            <w:left w:w="0" w:type="dxa"/>
            <w:bottom w:w="0" w:type="dxa"/>
            <w:right w:w="0" w:type="dxa"/>
          </w:tblCellMar>
        </w:tblPrEx>
        <w:trPr>
          <w:trHeight w:val="25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其它资金:</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其它资金: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5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年度目标完成情况</w:t>
            </w:r>
          </w:p>
        </w:tc>
        <w:tc>
          <w:tcPr>
            <w:tcW w:w="48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预期目标</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实际完成目标</w:t>
            </w:r>
          </w:p>
        </w:tc>
      </w:tr>
      <w:tr>
        <w:tblPrEx>
          <w:tblCellMar>
            <w:top w:w="0" w:type="dxa"/>
            <w:left w:w="0" w:type="dxa"/>
            <w:bottom w:w="0" w:type="dxa"/>
            <w:right w:w="0" w:type="dxa"/>
          </w:tblCellMar>
        </w:tblPrEx>
        <w:trPr>
          <w:trHeight w:val="11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8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保证全省应急处置及网络运转,确保省委和办公厅工作的正常开展。</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预算执行中调减60万。有力保证了全省应急处置及网络运转和安全保密，确保了省委和办公厅工作的正常开展。</w:t>
            </w:r>
          </w:p>
        </w:tc>
      </w:tr>
      <w:tr>
        <w:tblPrEx>
          <w:tblCellMar>
            <w:top w:w="0" w:type="dxa"/>
            <w:left w:w="0" w:type="dxa"/>
            <w:bottom w:w="0" w:type="dxa"/>
            <w:right w:w="0" w:type="dxa"/>
          </w:tblCellMar>
        </w:tblPrEx>
        <w:trPr>
          <w:trHeight w:val="7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一级指标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二级指标</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预期指标值(包含数字及文字描述)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实际完成指标值(包含数字及文字描述)</w:t>
            </w:r>
          </w:p>
        </w:tc>
      </w:tr>
      <w:tr>
        <w:tblPrEx>
          <w:tblCellMar>
            <w:top w:w="0" w:type="dxa"/>
            <w:left w:w="0" w:type="dxa"/>
            <w:bottom w:w="0" w:type="dxa"/>
            <w:right w:w="0" w:type="dxa"/>
          </w:tblCellMar>
        </w:tblPrEx>
        <w:trPr>
          <w:trHeight w:val="75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数量指标</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全年对办公厅各部门信息化网络系统进行维护</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100次以上</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186次</w:t>
            </w:r>
          </w:p>
        </w:tc>
      </w:tr>
      <w:tr>
        <w:tblPrEx>
          <w:tblCellMar>
            <w:top w:w="0" w:type="dxa"/>
            <w:left w:w="0" w:type="dxa"/>
            <w:bottom w:w="0" w:type="dxa"/>
            <w:right w:w="0" w:type="dxa"/>
          </w:tblCellMar>
        </w:tblPrEx>
        <w:trPr>
          <w:trHeight w:val="6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时效指标</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2019年度</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1年</w:t>
            </w:r>
          </w:p>
        </w:tc>
      </w:tr>
      <w:tr>
        <w:tblPrEx>
          <w:tblCellMar>
            <w:top w:w="0" w:type="dxa"/>
            <w:left w:w="0" w:type="dxa"/>
            <w:bottom w:w="0" w:type="dxa"/>
            <w:right w:w="0" w:type="dxa"/>
          </w:tblCellMar>
        </w:tblPrEx>
        <w:trPr>
          <w:trHeight w:val="64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成本指标</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信息化建设及运行维护</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408.53万元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407.46万元</w:t>
            </w:r>
          </w:p>
        </w:tc>
      </w:tr>
      <w:tr>
        <w:tblPrEx>
          <w:tblCellMar>
            <w:top w:w="0" w:type="dxa"/>
            <w:left w:w="0" w:type="dxa"/>
            <w:bottom w:w="0" w:type="dxa"/>
            <w:right w:w="0" w:type="dxa"/>
          </w:tblCellMar>
        </w:tblPrEx>
        <w:trPr>
          <w:trHeight w:val="6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效益指标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可持续影响指标</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提高和推广网上办公，加快办公厅信息化网络建设，有效节约行政运行成本。</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不断提高网络运行速度及质量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lang w:eastAsia="zh-CN"/>
              </w:rPr>
            </w:pPr>
            <w:r>
              <w:rPr>
                <w:rFonts w:hint="eastAsia" w:ascii="仿宋" w:hAnsi="仿宋" w:eastAsia="仿宋" w:cs="仿宋"/>
                <w:i w:val="0"/>
                <w:color w:val="000000"/>
                <w:sz w:val="20"/>
                <w:szCs w:val="20"/>
                <w:u w:val="none"/>
                <w:lang w:eastAsia="zh-CN"/>
              </w:rPr>
              <w:t>办公厅网上办公全面推进，信息化网络建设成效显著，行政运行成本有效节约。</w:t>
            </w:r>
          </w:p>
        </w:tc>
      </w:tr>
      <w:tr>
        <w:tblPrEx>
          <w:tblCellMar>
            <w:top w:w="0" w:type="dxa"/>
            <w:left w:w="0" w:type="dxa"/>
            <w:bottom w:w="0" w:type="dxa"/>
            <w:right w:w="0" w:type="dxa"/>
          </w:tblCellMar>
        </w:tblPrEx>
        <w:trPr>
          <w:trHeight w:val="67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省委领导及全厅干部职工满意度</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满意度＞95%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sz w:val="20"/>
                <w:szCs w:val="20"/>
                <w:u w:val="none"/>
                <w:lang w:val="en-US" w:eastAsia="zh-CN"/>
              </w:rPr>
              <w:t>满意度达98%</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245" w:beforeLines="78" w:beforeAutospacing="0" w:after="246" w:afterLines="78" w:afterAutospacing="0" w:line="600" w:lineRule="exact"/>
        <w:ind w:right="-153" w:rightChars="-73" w:firstLine="643" w:firstLineChars="200"/>
        <w:textAlignment w:val="auto"/>
        <w:rPr>
          <w:rFonts w:hint="default" w:ascii="Times New Roman" w:hAnsi="Times New Roman" w:eastAsia="仿宋_GB2312" w:cs="Times New Roman"/>
          <w:b/>
          <w:sz w:val="32"/>
          <w:szCs w:val="32"/>
          <w:lang w:val="en-US" w:eastAsia="zh-CN"/>
        </w:rPr>
      </w:pPr>
      <w:r>
        <w:rPr>
          <w:rFonts w:hint="eastAsia" w:ascii="仿宋" w:hAnsi="仿宋" w:eastAsia="仿宋" w:cs="仿宋"/>
          <w:b/>
          <w:sz w:val="32"/>
          <w:szCs w:val="32"/>
          <w:lang w:val="en-US" w:eastAsia="zh-CN"/>
        </w:rPr>
        <w:t>（3）设备购置经费年初预算400万元，年度实际执行预算324.48万元，预算执行率为81.12%。主要原因是我厅委托省政府采购中心批量集采的空调项目招标文件受到投诉，未能顺利开标，导致该项目资金54.05万元未能支出，影响了设备购置经费预算执行率</w:t>
      </w:r>
      <w:r>
        <w:rPr>
          <w:rFonts w:hint="default" w:ascii="Times New Roman" w:hAnsi="Times New Roman" w:eastAsia="仿宋_GB2312" w:cs="Times New Roman"/>
          <w:b/>
          <w:sz w:val="32"/>
          <w:szCs w:val="32"/>
          <w:lang w:val="en-US" w:eastAsia="zh-CN"/>
        </w:rPr>
        <w:t>。</w:t>
      </w:r>
    </w:p>
    <w:tbl>
      <w:tblPr>
        <w:tblStyle w:val="11"/>
        <w:tblW w:w="8337" w:type="dxa"/>
        <w:tblInd w:w="0" w:type="dxa"/>
        <w:shd w:val="clear" w:color="auto" w:fill="auto"/>
        <w:tblLayout w:type="fixed"/>
        <w:tblCellMar>
          <w:top w:w="0" w:type="dxa"/>
          <w:left w:w="0" w:type="dxa"/>
          <w:bottom w:w="0" w:type="dxa"/>
          <w:right w:w="0" w:type="dxa"/>
        </w:tblCellMar>
      </w:tblPr>
      <w:tblGrid>
        <w:gridCol w:w="780"/>
        <w:gridCol w:w="1157"/>
        <w:gridCol w:w="937"/>
        <w:gridCol w:w="1938"/>
        <w:gridCol w:w="1875"/>
        <w:gridCol w:w="1650"/>
      </w:tblGrid>
      <w:tr>
        <w:tblPrEx>
          <w:shd w:val="clear" w:color="auto" w:fill="auto"/>
          <w:tblCellMar>
            <w:top w:w="0" w:type="dxa"/>
            <w:left w:w="0" w:type="dxa"/>
            <w:bottom w:w="0" w:type="dxa"/>
            <w:right w:w="0" w:type="dxa"/>
          </w:tblCellMar>
        </w:tblPrEx>
        <w:trPr>
          <w:trHeight w:val="660" w:hRule="atLeast"/>
        </w:trPr>
        <w:tc>
          <w:tcPr>
            <w:tcW w:w="8337"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Autospacing="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项目支出绩效目标自评表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(2019年度)</w:t>
            </w:r>
          </w:p>
        </w:tc>
      </w:tr>
      <w:tr>
        <w:tblPrEx>
          <w:tblCellMar>
            <w:top w:w="0" w:type="dxa"/>
            <w:left w:w="0" w:type="dxa"/>
            <w:bottom w:w="0" w:type="dxa"/>
            <w:right w:w="0" w:type="dxa"/>
          </w:tblCellMar>
        </w:tblPrEx>
        <w:trPr>
          <w:trHeight w:val="255" w:hRule="atLeast"/>
        </w:trPr>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项目名称</w:t>
            </w:r>
          </w:p>
        </w:tc>
        <w:tc>
          <w:tcPr>
            <w:tcW w:w="54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设备购置经费</w:t>
            </w:r>
          </w:p>
        </w:tc>
      </w:tr>
      <w:tr>
        <w:tblPrEx>
          <w:tblCellMar>
            <w:top w:w="0" w:type="dxa"/>
            <w:left w:w="0" w:type="dxa"/>
            <w:bottom w:w="0" w:type="dxa"/>
            <w:right w:w="0" w:type="dxa"/>
          </w:tblCellMar>
        </w:tblPrEx>
        <w:trPr>
          <w:trHeight w:val="255" w:hRule="atLeast"/>
        </w:trPr>
        <w:tc>
          <w:tcPr>
            <w:tcW w:w="28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预算单位</w:t>
            </w:r>
          </w:p>
        </w:tc>
        <w:tc>
          <w:tcPr>
            <w:tcW w:w="54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370301-中国共产党四川省委员会办公厅</w:t>
            </w:r>
          </w:p>
        </w:tc>
      </w:tr>
      <w:tr>
        <w:tblPrEx>
          <w:tblCellMar>
            <w:top w:w="0" w:type="dxa"/>
            <w:left w:w="0" w:type="dxa"/>
            <w:bottom w:w="0" w:type="dxa"/>
            <w:right w:w="0" w:type="dxa"/>
          </w:tblCellMar>
        </w:tblPrEx>
        <w:trPr>
          <w:trHeight w:val="255"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预算执行情况(万元)</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预算数:</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执行数: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324.48</w:t>
            </w:r>
          </w:p>
        </w:tc>
      </w:tr>
      <w:tr>
        <w:tblPrEx>
          <w:tblCellMar>
            <w:top w:w="0" w:type="dxa"/>
            <w:left w:w="0" w:type="dxa"/>
            <w:bottom w:w="0" w:type="dxa"/>
            <w:right w:w="0" w:type="dxa"/>
          </w:tblCellMar>
        </w:tblPrEx>
        <w:trPr>
          <w:trHeight w:val="25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其中-财政拨款:</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400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其中-财政拨款: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324.48</w:t>
            </w:r>
          </w:p>
        </w:tc>
      </w:tr>
      <w:tr>
        <w:tblPrEx>
          <w:tblCellMar>
            <w:top w:w="0" w:type="dxa"/>
            <w:left w:w="0" w:type="dxa"/>
            <w:bottom w:w="0" w:type="dxa"/>
            <w:right w:w="0" w:type="dxa"/>
          </w:tblCellMar>
        </w:tblPrEx>
        <w:trPr>
          <w:trHeight w:val="25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其它资金:</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其它资金: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255"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年度目标完成情况</w:t>
            </w:r>
          </w:p>
        </w:tc>
        <w:tc>
          <w:tcPr>
            <w:tcW w:w="4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预期目标</w:t>
            </w: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实际完成目标</w:t>
            </w:r>
          </w:p>
        </w:tc>
      </w:tr>
      <w:tr>
        <w:tblPrEx>
          <w:tblCellMar>
            <w:top w:w="0" w:type="dxa"/>
            <w:left w:w="0" w:type="dxa"/>
            <w:bottom w:w="0" w:type="dxa"/>
            <w:right w:w="0" w:type="dxa"/>
          </w:tblCellMar>
        </w:tblPrEx>
        <w:trPr>
          <w:trHeight w:val="1173"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403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按照采购相关要求，围绕办公厅整体运行需求，科学高效的保障办公厅各局室处工作运转，高质量完成设备等物资采购工作。</w:t>
            </w: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全年政府采购工作严格按照相关法规制度，围绕办公厅工作需求，本着绿色节约原则，扎实完成了物资采购相关工作。</w:t>
            </w:r>
          </w:p>
        </w:tc>
      </w:tr>
      <w:tr>
        <w:tblPrEx>
          <w:tblCellMar>
            <w:top w:w="0" w:type="dxa"/>
            <w:left w:w="0" w:type="dxa"/>
            <w:bottom w:w="0" w:type="dxa"/>
            <w:right w:w="0"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一级指标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二级指标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三级指标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预期指标值(包含数字及文字描述)</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实际完成指标值(包含数字及文字描述)</w:t>
            </w:r>
          </w:p>
        </w:tc>
      </w:tr>
      <w:tr>
        <w:tblPrEx>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数量指标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按照实际需求数量完成相应的采购</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完成率＞90%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除空调采购项目未完成外，其余采购计划全部完成。完成率96%</w:t>
            </w:r>
          </w:p>
        </w:tc>
      </w:tr>
      <w:tr>
        <w:tblPrEx>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质量指标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高效高质量完成采购。</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采购物资合格率＞95%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采购物资的合格率经验收达到100%</w:t>
            </w:r>
          </w:p>
        </w:tc>
      </w:tr>
      <w:tr>
        <w:tblPrEx>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项目完成指标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时效指标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2019年度完成采购任务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按时采购完成率＞90%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除空调采购项目未完成外，其余采购计划全部完成。完成率96%</w:t>
            </w:r>
          </w:p>
        </w:tc>
      </w:tr>
      <w:tr>
        <w:tblPrEx>
          <w:tblCellMar>
            <w:top w:w="0" w:type="dxa"/>
            <w:left w:w="0" w:type="dxa"/>
            <w:bottom w:w="0" w:type="dxa"/>
            <w:right w:w="0" w:type="dxa"/>
          </w:tblCellMar>
        </w:tblPrEx>
        <w:trPr>
          <w:trHeight w:val="135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效益指标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生态效益指标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采购物资本着环保原则，在条件满足的情况下，优先考虑环保产品。</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不采购不符合环保要求的产品</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本年度未采购不符合环保要求的产品。采购物资均符合节能环保要求。</w:t>
            </w:r>
          </w:p>
        </w:tc>
      </w:tr>
      <w:tr>
        <w:tblPrEx>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完成情况</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满意度指标</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办公厅全体干部职工满意度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满意度＞95%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满意度达98%</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234" w:beforeLines="75" w:beforeAutospacing="0" w:after="268" w:afterLines="85" w:afterAutospacing="0" w:line="600" w:lineRule="exact"/>
        <w:ind w:right="-153" w:rightChars="-73" w:firstLine="643" w:firstLineChars="200"/>
        <w:textAlignment w:val="auto"/>
        <w:rPr>
          <w:rFonts w:hint="default" w:ascii="Times New Roman" w:hAnsi="Times New Roman" w:eastAsia="仿宋_GB2312" w:cs="Times New Roman"/>
          <w:b/>
          <w:bCs/>
          <w:sz w:val="32"/>
          <w:szCs w:val="32"/>
        </w:rPr>
      </w:pPr>
      <w:r>
        <w:rPr>
          <w:rFonts w:hint="eastAsia" w:ascii="仿宋" w:hAnsi="仿宋" w:eastAsia="仿宋" w:cs="仿宋"/>
          <w:b/>
          <w:sz w:val="32"/>
          <w:szCs w:val="32"/>
          <w:lang w:val="en-US" w:eastAsia="zh-CN"/>
        </w:rPr>
        <w:t>（4）暗访督查专项工作经费年初预算150万元，预算执行中调减120万元，年度实际执行预算29.71万元，预算执行率为99.03%，确保年度暗访督查工作顺利开展</w:t>
      </w:r>
      <w:r>
        <w:rPr>
          <w:rFonts w:hint="default" w:ascii="Times New Roman" w:hAnsi="Times New Roman" w:eastAsia="仿宋_GB2312" w:cs="Times New Roman"/>
          <w:b/>
          <w:sz w:val="32"/>
          <w:szCs w:val="32"/>
          <w:lang w:val="en-US" w:eastAsia="zh-CN"/>
        </w:rPr>
        <w:t>。</w:t>
      </w:r>
    </w:p>
    <w:tbl>
      <w:tblPr>
        <w:tblStyle w:val="11"/>
        <w:tblW w:w="8324" w:type="dxa"/>
        <w:tblInd w:w="0" w:type="dxa"/>
        <w:shd w:val="clear" w:color="auto" w:fill="auto"/>
        <w:tblLayout w:type="fixed"/>
        <w:tblCellMar>
          <w:top w:w="0" w:type="dxa"/>
          <w:left w:w="0" w:type="dxa"/>
          <w:bottom w:w="0" w:type="dxa"/>
          <w:right w:w="0" w:type="dxa"/>
        </w:tblCellMar>
      </w:tblPr>
      <w:tblGrid>
        <w:gridCol w:w="930"/>
        <w:gridCol w:w="857"/>
        <w:gridCol w:w="1200"/>
        <w:gridCol w:w="2112"/>
        <w:gridCol w:w="1813"/>
        <w:gridCol w:w="1412"/>
      </w:tblGrid>
      <w:tr>
        <w:tblPrEx>
          <w:shd w:val="clear" w:color="auto" w:fill="auto"/>
          <w:tblCellMar>
            <w:top w:w="0" w:type="dxa"/>
            <w:left w:w="0" w:type="dxa"/>
            <w:bottom w:w="0" w:type="dxa"/>
            <w:right w:w="0" w:type="dxa"/>
          </w:tblCellMar>
        </w:tblPrEx>
        <w:trPr>
          <w:trHeight w:val="630" w:hRule="atLeast"/>
        </w:trPr>
        <w:tc>
          <w:tcPr>
            <w:tcW w:w="832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Autospacing="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项目支出绩效目标自评表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(201</w:t>
            </w:r>
            <w:r>
              <w:rPr>
                <w:rFonts w:hint="eastAsia" w:eastAsia="仿宋_GB2312" w:cs="Times New Roman"/>
                <w:i w:val="0"/>
                <w:color w:val="000000"/>
                <w:kern w:val="0"/>
                <w:sz w:val="24"/>
                <w:szCs w:val="24"/>
                <w:u w:val="none"/>
                <w:lang w:val="en-US" w:eastAsia="zh-CN" w:bidi="ar"/>
              </w:rPr>
              <w:t>9</w:t>
            </w:r>
            <w:r>
              <w:rPr>
                <w:rFonts w:hint="default" w:ascii="Times New Roman" w:hAnsi="Times New Roman" w:eastAsia="仿宋_GB2312" w:cs="Times New Roman"/>
                <w:i w:val="0"/>
                <w:color w:val="000000"/>
                <w:kern w:val="0"/>
                <w:sz w:val="24"/>
                <w:szCs w:val="24"/>
                <w:u w:val="none"/>
                <w:lang w:val="en-US" w:eastAsia="zh-CN" w:bidi="ar"/>
              </w:rPr>
              <w:t>年度)</w:t>
            </w:r>
          </w:p>
        </w:tc>
      </w:tr>
      <w:tr>
        <w:tblPrEx>
          <w:tblCellMar>
            <w:top w:w="0" w:type="dxa"/>
            <w:left w:w="0" w:type="dxa"/>
            <w:bottom w:w="0" w:type="dxa"/>
            <w:right w:w="0" w:type="dxa"/>
          </w:tblCellMar>
        </w:tblPrEx>
        <w:trPr>
          <w:trHeight w:val="315" w:hRule="atLeast"/>
        </w:trPr>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项目名称</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暗访督查专项工作经费</w:t>
            </w:r>
          </w:p>
        </w:tc>
      </w:tr>
      <w:tr>
        <w:tblPrEx>
          <w:tblCellMar>
            <w:top w:w="0" w:type="dxa"/>
            <w:left w:w="0" w:type="dxa"/>
            <w:bottom w:w="0" w:type="dxa"/>
            <w:right w:w="0" w:type="dxa"/>
          </w:tblCellMar>
        </w:tblPrEx>
        <w:trPr>
          <w:trHeight w:val="405" w:hRule="atLeast"/>
        </w:trPr>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预算单位</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370301-中国共产党四川省委员会办公厅</w:t>
            </w:r>
          </w:p>
        </w:tc>
      </w:tr>
      <w:tr>
        <w:tblPrEx>
          <w:tblCellMar>
            <w:top w:w="0" w:type="dxa"/>
            <w:left w:w="0" w:type="dxa"/>
            <w:bottom w:w="0" w:type="dxa"/>
            <w:right w:w="0" w:type="dxa"/>
          </w:tblCellMar>
        </w:tblPrEx>
        <w:trPr>
          <w:trHeight w:val="315"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预算执行情况(万元)</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预算数: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eastAsia="仿宋_GB2312" w:cs="Times New Roman"/>
                <w:i w:val="0"/>
                <w:color w:val="000000"/>
                <w:kern w:val="0"/>
                <w:sz w:val="20"/>
                <w:szCs w:val="20"/>
                <w:u w:val="none"/>
                <w:lang w:val="en-US" w:eastAsia="zh-CN" w:bidi="ar"/>
              </w:rPr>
              <w:t>30</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执行数:</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29.71</w:t>
            </w:r>
          </w:p>
        </w:tc>
      </w:tr>
      <w:tr>
        <w:tblPrEx>
          <w:tblCellMar>
            <w:top w:w="0" w:type="dxa"/>
            <w:left w:w="0" w:type="dxa"/>
            <w:bottom w:w="0" w:type="dxa"/>
            <w:right w:w="0" w:type="dxa"/>
          </w:tblCellMar>
        </w:tblPrEx>
        <w:trPr>
          <w:trHeight w:val="31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其中-财政拨款:</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eastAsia="仿宋_GB2312" w:cs="Times New Roman"/>
                <w:i w:val="0"/>
                <w:color w:val="000000"/>
                <w:kern w:val="0"/>
                <w:sz w:val="20"/>
                <w:szCs w:val="20"/>
                <w:u w:val="none"/>
                <w:lang w:val="en-US" w:eastAsia="zh-CN" w:bidi="ar"/>
              </w:rPr>
              <w:t>30</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其中-财政拨款:</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29.71</w:t>
            </w:r>
          </w:p>
        </w:tc>
      </w:tr>
      <w:tr>
        <w:tblPrEx>
          <w:tblCellMar>
            <w:top w:w="0" w:type="dxa"/>
            <w:left w:w="0" w:type="dxa"/>
            <w:bottom w:w="0" w:type="dxa"/>
            <w:right w:w="0" w:type="dxa"/>
          </w:tblCellMar>
        </w:tblPrEx>
        <w:trPr>
          <w:trHeight w:val="31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其它资金:</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其它资金: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15"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年度目标完成情况</w:t>
            </w:r>
          </w:p>
        </w:tc>
        <w:tc>
          <w:tcPr>
            <w:tcW w:w="41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预期目标</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实际完成目标</w:t>
            </w:r>
          </w:p>
        </w:tc>
      </w:tr>
      <w:tr>
        <w:tblPrEx>
          <w:tblCellMar>
            <w:top w:w="0" w:type="dxa"/>
            <w:left w:w="0" w:type="dxa"/>
            <w:bottom w:w="0" w:type="dxa"/>
            <w:right w:w="0" w:type="dxa"/>
          </w:tblCellMar>
        </w:tblPrEx>
        <w:trPr>
          <w:trHeight w:val="11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0"/>
                <w:szCs w:val="20"/>
                <w:u w:val="none"/>
              </w:rPr>
            </w:pPr>
          </w:p>
        </w:tc>
        <w:tc>
          <w:tcPr>
            <w:tcW w:w="41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根据川委发</w:t>
            </w:r>
            <w:r>
              <w:rPr>
                <w:rFonts w:hint="eastAsia" w:ascii="方正仿宋简体" w:hAnsi="方正仿宋简体" w:eastAsia="方正仿宋简体" w:cs="方正仿宋简体"/>
                <w:i w:val="0"/>
                <w:color w:val="000000"/>
                <w:kern w:val="0"/>
                <w:sz w:val="20"/>
                <w:szCs w:val="20"/>
                <w:u w:val="none"/>
                <w:lang w:val="en-US" w:eastAsia="zh-CN" w:bidi="ar"/>
              </w:rPr>
              <w:t>〔</w:t>
            </w:r>
            <w:r>
              <w:rPr>
                <w:rFonts w:hint="default" w:ascii="Times New Roman" w:hAnsi="Times New Roman" w:eastAsia="仿宋_GB2312" w:cs="Times New Roman"/>
                <w:i w:val="0"/>
                <w:color w:val="000000"/>
                <w:kern w:val="0"/>
                <w:sz w:val="20"/>
                <w:szCs w:val="20"/>
                <w:u w:val="none"/>
                <w:lang w:val="en-US" w:eastAsia="zh-CN" w:bidi="ar"/>
              </w:rPr>
              <w:t>2017</w:t>
            </w:r>
            <w:r>
              <w:rPr>
                <w:rFonts w:hint="eastAsia" w:ascii="方正仿宋简体" w:hAnsi="方正仿宋简体" w:eastAsia="方正仿宋简体" w:cs="方正仿宋简体"/>
                <w:i w:val="0"/>
                <w:color w:val="000000"/>
                <w:kern w:val="0"/>
                <w:sz w:val="20"/>
                <w:szCs w:val="20"/>
                <w:u w:val="none"/>
                <w:lang w:val="en-US" w:eastAsia="zh-CN" w:bidi="ar"/>
              </w:rPr>
              <w:t>〕</w:t>
            </w:r>
            <w:r>
              <w:rPr>
                <w:rFonts w:hint="default" w:ascii="Times New Roman" w:hAnsi="Times New Roman" w:eastAsia="仿宋_GB2312" w:cs="Times New Roman"/>
                <w:i w:val="0"/>
                <w:color w:val="000000"/>
                <w:kern w:val="0"/>
                <w:sz w:val="20"/>
                <w:szCs w:val="20"/>
                <w:u w:val="none"/>
                <w:lang w:val="en-US" w:eastAsia="zh-CN" w:bidi="ar"/>
              </w:rPr>
              <w:t>29号关于加强新形势下党的督促检查工作的实施意见要求,保障督查暗访工作的顺利开展和高效推进。</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预算执行</w:t>
            </w:r>
            <w:r>
              <w:rPr>
                <w:rFonts w:hint="default" w:ascii="Times New Roman" w:hAnsi="Times New Roman" w:eastAsia="仿宋_GB2312" w:cs="Times New Roman"/>
                <w:i w:val="0"/>
                <w:color w:val="000000"/>
                <w:kern w:val="0"/>
                <w:sz w:val="20"/>
                <w:szCs w:val="20"/>
                <w:u w:val="none"/>
                <w:lang w:val="en-US" w:eastAsia="zh-CN" w:bidi="ar"/>
              </w:rPr>
              <w:t>中调减120万元，总体完成情况良好，切实保障了督查暗访工作的顺利开展和高效推进。</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二级指标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三级指标</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预期指标值(包含数字及文字描述)</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实际完成指标值(包含数字及文字描述)</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项目完成指标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数量指标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暗访督查次数</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5次以上</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全年暗访督查7次</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项目完成指标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时效指标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w:t>
            </w:r>
            <w:r>
              <w:rPr>
                <w:rFonts w:hint="eastAsia" w:eastAsia="仿宋_GB2312" w:cs="Times New Roman"/>
                <w:i w:val="0"/>
                <w:color w:val="000000"/>
                <w:kern w:val="0"/>
                <w:sz w:val="20"/>
                <w:szCs w:val="20"/>
                <w:u w:val="none"/>
                <w:lang w:val="en-US" w:eastAsia="zh-CN" w:bidi="ar"/>
              </w:rPr>
              <w:t>9</w:t>
            </w:r>
            <w:r>
              <w:rPr>
                <w:rFonts w:hint="default" w:ascii="Times New Roman" w:hAnsi="Times New Roman" w:eastAsia="仿宋_GB2312" w:cs="Times New Roman"/>
                <w:i w:val="0"/>
                <w:color w:val="000000"/>
                <w:kern w:val="0"/>
                <w:sz w:val="20"/>
                <w:szCs w:val="20"/>
                <w:u w:val="none"/>
                <w:lang w:val="en-US" w:eastAsia="zh-CN" w:bidi="ar"/>
              </w:rPr>
              <w:t>年度</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1年</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1年</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项目完成指标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成本指标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暗访督查成本</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30</w:t>
            </w:r>
            <w:r>
              <w:rPr>
                <w:rFonts w:hint="default" w:ascii="Times New Roman" w:hAnsi="Times New Roman" w:eastAsia="仿宋_GB2312" w:cs="Times New Roman"/>
                <w:i w:val="0"/>
                <w:color w:val="000000"/>
                <w:kern w:val="0"/>
                <w:sz w:val="20"/>
                <w:szCs w:val="20"/>
                <w:u w:val="none"/>
                <w:lang w:val="en-US" w:eastAsia="zh-CN" w:bidi="ar"/>
              </w:rPr>
              <w:t>万元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29.71</w:t>
            </w:r>
            <w:r>
              <w:rPr>
                <w:rFonts w:hint="default" w:ascii="Times New Roman" w:hAnsi="Times New Roman" w:eastAsia="仿宋_GB2312" w:cs="Times New Roman"/>
                <w:i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1768"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可持续影响指标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确保督查暗访工作顺利开展</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0"/>
                <w:szCs w:val="20"/>
                <w:u w:val="none"/>
                <w:lang w:eastAsia="zh-CN"/>
              </w:rPr>
            </w:pPr>
            <w:r>
              <w:rPr>
                <w:rFonts w:hint="eastAsia" w:eastAsia="仿宋_GB2312" w:cs="Times New Roman"/>
                <w:i w:val="0"/>
                <w:color w:val="000000"/>
                <w:sz w:val="20"/>
                <w:szCs w:val="20"/>
                <w:u w:val="none"/>
                <w:lang w:eastAsia="zh-CN"/>
              </w:rPr>
              <w:t>了解基层真实情况</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深入基层了解真实情况，确保中央大政方针、省委重大决策部署落地落实。</w:t>
            </w:r>
          </w:p>
        </w:tc>
      </w:tr>
      <w:tr>
        <w:tblPrEx>
          <w:tblCellMar>
            <w:top w:w="0" w:type="dxa"/>
            <w:left w:w="0" w:type="dxa"/>
            <w:bottom w:w="0" w:type="dxa"/>
            <w:right w:w="0" w:type="dxa"/>
          </w:tblCellMar>
        </w:tblPrEx>
        <w:trPr>
          <w:trHeight w:val="8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满意度指标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省委</w:t>
            </w:r>
            <w:r>
              <w:rPr>
                <w:rFonts w:hint="default" w:ascii="Times New Roman" w:hAnsi="Times New Roman" w:eastAsia="仿宋_GB2312" w:cs="Times New Roman"/>
                <w:i w:val="0"/>
                <w:color w:val="000000"/>
                <w:kern w:val="0"/>
                <w:sz w:val="20"/>
                <w:szCs w:val="20"/>
                <w:u w:val="none"/>
                <w:lang w:val="en-US" w:eastAsia="zh-CN" w:bidi="ar"/>
              </w:rPr>
              <w:t>领导满意度</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满意度</w:t>
            </w:r>
            <w:r>
              <w:rPr>
                <w:rFonts w:hint="default" w:ascii="Times New Roman" w:hAnsi="Times New Roman" w:eastAsia="仿宋_GB2312" w:cs="Times New Roman"/>
                <w:i w:val="0"/>
                <w:color w:val="000000"/>
                <w:kern w:val="0"/>
                <w:sz w:val="20"/>
                <w:szCs w:val="20"/>
                <w:u w:val="none"/>
                <w:lang w:val="en-US" w:eastAsia="zh-CN"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满意度达100</w:t>
            </w:r>
            <w:r>
              <w:rPr>
                <w:rFonts w:hint="default" w:ascii="Times New Roman" w:hAnsi="Times New Roman" w:eastAsia="仿宋_GB2312" w:cs="Times New Roman"/>
                <w:i w:val="0"/>
                <w:color w:val="000000"/>
                <w:kern w:val="0"/>
                <w:sz w:val="20"/>
                <w:szCs w:val="20"/>
                <w:u w:val="none"/>
                <w:lang w:val="en-US" w:eastAsia="zh-CN" w:bidi="ar"/>
              </w:rPr>
              <w:t>%</w:t>
            </w:r>
          </w:p>
        </w:tc>
      </w:tr>
    </w:tbl>
    <w:p>
      <w:pPr>
        <w:keepNext w:val="0"/>
        <w:keepLines w:val="0"/>
        <w:pageBreakBefore w:val="0"/>
        <w:widowControl/>
        <w:numPr>
          <w:ilvl w:val="0"/>
          <w:numId w:val="9"/>
        </w:numPr>
        <w:kinsoku/>
        <w:wordWrap/>
        <w:overflowPunct/>
        <w:topLinePunct w:val="0"/>
        <w:autoSpaceDE/>
        <w:autoSpaceDN/>
        <w:bidi w:val="0"/>
        <w:adjustRightInd w:val="0"/>
        <w:snapToGrid w:val="0"/>
        <w:spacing w:before="256" w:beforeLines="82" w:beforeAutospacing="0" w:after="259" w:afterLines="83" w:afterAutospacing="0" w:line="600" w:lineRule="exact"/>
        <w:ind w:right="-153" w:rightChars="-73" w:firstLine="643" w:firstLineChars="200"/>
        <w:textAlignment w:val="auto"/>
        <w:rPr>
          <w:rFonts w:hint="default" w:ascii="Times New Roman" w:hAnsi="Times New Roman" w:eastAsia="仿宋_GB2312" w:cs="Times New Roman"/>
          <w:b/>
          <w:sz w:val="32"/>
          <w:szCs w:val="32"/>
          <w:lang w:val="en-US" w:eastAsia="zh-CN"/>
        </w:rPr>
      </w:pPr>
      <w:r>
        <w:rPr>
          <w:rFonts w:hint="eastAsia" w:ascii="仿宋" w:hAnsi="仿宋" w:eastAsia="仿宋" w:cs="仿宋"/>
          <w:b/>
          <w:sz w:val="32"/>
          <w:szCs w:val="32"/>
          <w:lang w:val="en-US" w:eastAsia="zh-CN"/>
        </w:rPr>
        <w:t>老干部工作经费年初预算100万元，年度实际执行预算100万元，预算执行率为100%，圆满完成年度各项绩效目标，确保省委办公厅离退休工作顺利开展</w:t>
      </w:r>
      <w:r>
        <w:rPr>
          <w:rFonts w:hint="default" w:ascii="Times New Roman" w:hAnsi="Times New Roman" w:eastAsia="仿宋_GB2312" w:cs="Times New Roman"/>
          <w:b/>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256" w:beforeLines="82" w:beforeAutospacing="0" w:after="259" w:afterLines="83" w:afterAutospacing="0" w:line="600" w:lineRule="exact"/>
        <w:ind w:right="-153" w:rightChars="-73"/>
        <w:textAlignment w:val="auto"/>
        <w:rPr>
          <w:rFonts w:hint="default" w:ascii="Times New Roman" w:hAnsi="Times New Roman" w:eastAsia="仿宋_GB2312" w:cs="Times New Roman"/>
          <w:b/>
          <w:sz w:val="32"/>
          <w:szCs w:val="32"/>
          <w:lang w:val="en-US" w:eastAsia="zh-CN"/>
        </w:rPr>
      </w:pPr>
    </w:p>
    <w:tbl>
      <w:tblPr>
        <w:tblStyle w:val="11"/>
        <w:tblW w:w="8324" w:type="dxa"/>
        <w:tblInd w:w="0" w:type="dxa"/>
        <w:shd w:val="clear" w:color="auto" w:fill="auto"/>
        <w:tblLayout w:type="fixed"/>
        <w:tblCellMar>
          <w:top w:w="0" w:type="dxa"/>
          <w:left w:w="0" w:type="dxa"/>
          <w:bottom w:w="0" w:type="dxa"/>
          <w:right w:w="0" w:type="dxa"/>
        </w:tblCellMar>
      </w:tblPr>
      <w:tblGrid>
        <w:gridCol w:w="930"/>
        <w:gridCol w:w="857"/>
        <w:gridCol w:w="1200"/>
        <w:gridCol w:w="2112"/>
        <w:gridCol w:w="1813"/>
        <w:gridCol w:w="1412"/>
      </w:tblGrid>
      <w:tr>
        <w:tblPrEx>
          <w:shd w:val="clear" w:color="auto" w:fill="auto"/>
          <w:tblCellMar>
            <w:top w:w="0" w:type="dxa"/>
            <w:left w:w="0" w:type="dxa"/>
            <w:bottom w:w="0" w:type="dxa"/>
            <w:right w:w="0" w:type="dxa"/>
          </w:tblCellMar>
        </w:tblPrEx>
        <w:trPr>
          <w:trHeight w:val="630" w:hRule="atLeast"/>
        </w:trPr>
        <w:tc>
          <w:tcPr>
            <w:tcW w:w="832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Autospacing="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项目支出绩效目标自评表 </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(201</w:t>
            </w:r>
            <w:r>
              <w:rPr>
                <w:rFonts w:hint="eastAsia" w:eastAsia="仿宋_GB2312" w:cs="Times New Roman"/>
                <w:i w:val="0"/>
                <w:color w:val="000000"/>
                <w:kern w:val="0"/>
                <w:sz w:val="24"/>
                <w:szCs w:val="24"/>
                <w:u w:val="none"/>
                <w:lang w:val="en-US" w:eastAsia="zh-CN" w:bidi="ar"/>
              </w:rPr>
              <w:t>9</w:t>
            </w:r>
            <w:r>
              <w:rPr>
                <w:rFonts w:hint="default" w:ascii="Times New Roman" w:hAnsi="Times New Roman" w:eastAsia="仿宋_GB2312" w:cs="Times New Roman"/>
                <w:i w:val="0"/>
                <w:color w:val="000000"/>
                <w:kern w:val="0"/>
                <w:sz w:val="24"/>
                <w:szCs w:val="24"/>
                <w:u w:val="none"/>
                <w:lang w:val="en-US" w:eastAsia="zh-CN" w:bidi="ar"/>
              </w:rPr>
              <w:t>年度)</w:t>
            </w:r>
          </w:p>
        </w:tc>
      </w:tr>
      <w:tr>
        <w:tblPrEx>
          <w:tblCellMar>
            <w:top w:w="0" w:type="dxa"/>
            <w:left w:w="0" w:type="dxa"/>
            <w:bottom w:w="0" w:type="dxa"/>
            <w:right w:w="0" w:type="dxa"/>
          </w:tblCellMar>
        </w:tblPrEx>
        <w:trPr>
          <w:trHeight w:val="315" w:hRule="atLeast"/>
        </w:trPr>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项目名称</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老干部工作经费</w:t>
            </w:r>
          </w:p>
        </w:tc>
      </w:tr>
      <w:tr>
        <w:tblPrEx>
          <w:tblCellMar>
            <w:top w:w="0" w:type="dxa"/>
            <w:left w:w="0" w:type="dxa"/>
            <w:bottom w:w="0" w:type="dxa"/>
            <w:right w:w="0" w:type="dxa"/>
          </w:tblCellMar>
        </w:tblPrEx>
        <w:trPr>
          <w:trHeight w:val="405" w:hRule="atLeast"/>
        </w:trPr>
        <w:tc>
          <w:tcPr>
            <w:tcW w:w="29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预算单位</w:t>
            </w:r>
          </w:p>
        </w:tc>
        <w:tc>
          <w:tcPr>
            <w:tcW w:w="53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370301-中国共产党四川省委员会办公厅</w:t>
            </w:r>
          </w:p>
        </w:tc>
      </w:tr>
      <w:tr>
        <w:tblPrEx>
          <w:tblCellMar>
            <w:top w:w="0" w:type="dxa"/>
            <w:left w:w="0" w:type="dxa"/>
            <w:bottom w:w="0" w:type="dxa"/>
            <w:right w:w="0" w:type="dxa"/>
          </w:tblCellMar>
        </w:tblPrEx>
        <w:trPr>
          <w:trHeight w:val="315"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预算执行情况(万元)</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预算数: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eastAsia="仿宋_GB2312" w:cs="Times New Roman"/>
                <w:i w:val="0"/>
                <w:color w:val="000000"/>
                <w:kern w:val="0"/>
                <w:sz w:val="20"/>
                <w:szCs w:val="20"/>
                <w:u w:val="none"/>
                <w:lang w:val="en-US" w:eastAsia="zh-CN" w:bidi="ar"/>
              </w:rPr>
              <w:t>100</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执行数:</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ascii="Times New Roman" w:hAnsi="Times New Roman" w:eastAsia="仿宋_GB2312" w:cs="Times New Roman"/>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其中-财政拨款:</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eastAsia="仿宋_GB2312" w:cs="Times New Roman"/>
                <w:i w:val="0"/>
                <w:color w:val="000000"/>
                <w:kern w:val="0"/>
                <w:sz w:val="20"/>
                <w:szCs w:val="20"/>
                <w:u w:val="none"/>
                <w:lang w:val="en-US" w:eastAsia="zh-CN" w:bidi="ar"/>
              </w:rPr>
              <w:t>100</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其中-财政拨款:</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ascii="Times New Roman" w:hAnsi="Times New Roman" w:eastAsia="仿宋_GB2312" w:cs="Times New Roman"/>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31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0"/>
                <w:szCs w:val="20"/>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其它资金:</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其它资金:</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0</w:t>
            </w:r>
          </w:p>
        </w:tc>
      </w:tr>
      <w:tr>
        <w:tblPrEx>
          <w:tblCellMar>
            <w:top w:w="0" w:type="dxa"/>
            <w:left w:w="0" w:type="dxa"/>
            <w:bottom w:w="0" w:type="dxa"/>
            <w:right w:w="0" w:type="dxa"/>
          </w:tblCellMar>
        </w:tblPrEx>
        <w:trPr>
          <w:trHeight w:val="315"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年度目标完成情况</w:t>
            </w:r>
          </w:p>
        </w:tc>
        <w:tc>
          <w:tcPr>
            <w:tcW w:w="41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预期目标</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实际完成目标</w:t>
            </w:r>
          </w:p>
        </w:tc>
      </w:tr>
      <w:tr>
        <w:tblPrEx>
          <w:tblCellMar>
            <w:top w:w="0" w:type="dxa"/>
            <w:left w:w="0" w:type="dxa"/>
            <w:bottom w:w="0" w:type="dxa"/>
            <w:right w:w="0" w:type="dxa"/>
          </w:tblCellMar>
        </w:tblPrEx>
        <w:trPr>
          <w:trHeight w:val="11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0"/>
                <w:szCs w:val="20"/>
                <w:u w:val="none"/>
              </w:rPr>
            </w:pPr>
          </w:p>
        </w:tc>
        <w:tc>
          <w:tcPr>
            <w:tcW w:w="41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保障离退休党总支组织开展各类政治时事学习、主题活动、健康体检、健康疗养、看望慰问工作，增强党组织凝聚力战斗力，组织引领离退休人员为党和人民事业增添正能量。</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在未增加经费的前提下，通过精准计划、精细筹划，圆满组织保障各项学习教育、主题党建、健康疗养、走访慰问等活动，离退休党组织凝聚力战斗力显著增强，离退休人员为党和人民事业增添正能量作用明显。</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二级指标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三级指标</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预期指标值(包含数字及文字描述)</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实际完成指标值(包含数字及文字描述)</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项目完成指标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数量指标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办公厅离退休干部职工</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eastAsia="仿宋_GB2312" w:cs="Times New Roman"/>
                <w:i w:val="0"/>
                <w:color w:val="000000"/>
                <w:kern w:val="0"/>
                <w:sz w:val="20"/>
                <w:szCs w:val="20"/>
                <w:u w:val="none"/>
                <w:lang w:val="en-US" w:eastAsia="zh-CN" w:bidi="ar"/>
              </w:rPr>
              <w:t>280名</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办公厅离退休干部职工280名</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项目完成指标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时效指标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w:t>
            </w:r>
            <w:r>
              <w:rPr>
                <w:rFonts w:hint="eastAsia" w:eastAsia="仿宋_GB2312" w:cs="Times New Roman"/>
                <w:i w:val="0"/>
                <w:color w:val="000000"/>
                <w:kern w:val="0"/>
                <w:sz w:val="20"/>
                <w:szCs w:val="20"/>
                <w:u w:val="none"/>
                <w:lang w:val="en-US" w:eastAsia="zh-CN" w:bidi="ar"/>
              </w:rPr>
              <w:t>9</w:t>
            </w:r>
            <w:r>
              <w:rPr>
                <w:rFonts w:hint="default" w:ascii="Times New Roman" w:hAnsi="Times New Roman" w:eastAsia="仿宋_GB2312" w:cs="Times New Roman"/>
                <w:i w:val="0"/>
                <w:color w:val="000000"/>
                <w:kern w:val="0"/>
                <w:sz w:val="20"/>
                <w:szCs w:val="20"/>
                <w:u w:val="none"/>
                <w:lang w:val="en-US" w:eastAsia="zh-CN" w:bidi="ar"/>
              </w:rPr>
              <w:t>年度</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1年</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1年</w:t>
            </w:r>
          </w:p>
        </w:tc>
      </w:tr>
      <w:tr>
        <w:tblPrEx>
          <w:tblCellMar>
            <w:top w:w="0" w:type="dxa"/>
            <w:left w:w="0" w:type="dxa"/>
            <w:bottom w:w="0" w:type="dxa"/>
            <w:right w:w="0" w:type="dxa"/>
          </w:tblCellMar>
        </w:tblPrEx>
        <w:trPr>
          <w:trHeight w:val="8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项目完成指标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成本指标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老干部工作成本</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100</w:t>
            </w:r>
            <w:r>
              <w:rPr>
                <w:rFonts w:hint="default" w:ascii="Times New Roman" w:hAnsi="Times New Roman" w:eastAsia="仿宋_GB2312" w:cs="Times New Roman"/>
                <w:i w:val="0"/>
                <w:color w:val="000000"/>
                <w:kern w:val="0"/>
                <w:sz w:val="20"/>
                <w:szCs w:val="20"/>
                <w:u w:val="none"/>
                <w:lang w:val="en-US" w:eastAsia="zh-CN" w:bidi="ar"/>
              </w:rPr>
              <w:t>万元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100</w:t>
            </w:r>
            <w:r>
              <w:rPr>
                <w:rFonts w:hint="default" w:ascii="Times New Roman" w:hAnsi="Times New Roman" w:eastAsia="仿宋_GB2312" w:cs="Times New Roman"/>
                <w:i w:val="0"/>
                <w:color w:val="000000"/>
                <w:kern w:val="0"/>
                <w:sz w:val="20"/>
                <w:szCs w:val="20"/>
                <w:u w:val="none"/>
                <w:lang w:val="en-US" w:eastAsia="zh-CN" w:bidi="ar"/>
              </w:rPr>
              <w:t>万元</w:t>
            </w:r>
          </w:p>
        </w:tc>
      </w:tr>
      <w:tr>
        <w:tblPrEx>
          <w:tblCellMar>
            <w:top w:w="0" w:type="dxa"/>
            <w:left w:w="0" w:type="dxa"/>
            <w:bottom w:w="0" w:type="dxa"/>
            <w:right w:w="0" w:type="dxa"/>
          </w:tblCellMar>
        </w:tblPrEx>
        <w:trPr>
          <w:trHeight w:val="1768"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可持续影响指标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服务水平</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0"/>
                <w:szCs w:val="20"/>
                <w:u w:val="none"/>
                <w:lang w:eastAsia="zh-CN"/>
              </w:rPr>
            </w:pPr>
            <w:r>
              <w:rPr>
                <w:rFonts w:hint="default" w:ascii="Times New Roman" w:hAnsi="Times New Roman" w:eastAsia="仿宋_GB2312" w:cs="Times New Roman"/>
                <w:i w:val="0"/>
                <w:color w:val="000000"/>
                <w:kern w:val="0"/>
                <w:sz w:val="20"/>
                <w:szCs w:val="20"/>
                <w:u w:val="none"/>
                <w:lang w:val="en-US" w:eastAsia="zh-CN" w:bidi="ar"/>
              </w:rPr>
              <w:t>服务水平</w:t>
            </w:r>
            <w:r>
              <w:rPr>
                <w:rFonts w:hint="eastAsia" w:ascii="Times New Roman" w:hAnsi="Times New Roman" w:eastAsia="仿宋_GB2312" w:cs="Times New Roman"/>
                <w:i w:val="0"/>
                <w:color w:val="000000"/>
                <w:kern w:val="0"/>
                <w:sz w:val="20"/>
                <w:szCs w:val="20"/>
                <w:u w:val="none"/>
                <w:lang w:val="en-US" w:eastAsia="zh-CN" w:bidi="ar"/>
              </w:rPr>
              <w:t>不断</w:t>
            </w:r>
            <w:r>
              <w:rPr>
                <w:rFonts w:hint="default" w:ascii="Times New Roman" w:hAnsi="Times New Roman" w:eastAsia="仿宋_GB2312" w:cs="Times New Roman"/>
                <w:i w:val="0"/>
                <w:color w:val="000000"/>
                <w:kern w:val="0"/>
                <w:sz w:val="20"/>
                <w:szCs w:val="20"/>
                <w:u w:val="none"/>
                <w:lang w:val="en-US" w:eastAsia="zh-CN" w:bidi="ar"/>
              </w:rPr>
              <w:t>提高</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为办公厅280名离退休干部职工提供优质服务，确保离退休老同志生活顺心，安度晚年</w:t>
            </w:r>
          </w:p>
        </w:tc>
      </w:tr>
      <w:tr>
        <w:tblPrEx>
          <w:tblCellMar>
            <w:top w:w="0" w:type="dxa"/>
            <w:left w:w="0" w:type="dxa"/>
            <w:bottom w:w="0" w:type="dxa"/>
            <w:right w:w="0" w:type="dxa"/>
          </w:tblCellMar>
        </w:tblPrEx>
        <w:trPr>
          <w:trHeight w:val="8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完成情况</w:t>
            </w: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满意度指标</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离退休老同志</w:t>
            </w:r>
            <w:r>
              <w:rPr>
                <w:rFonts w:hint="default" w:ascii="Times New Roman" w:hAnsi="Times New Roman" w:eastAsia="仿宋_GB2312" w:cs="Times New Roman"/>
                <w:i w:val="0"/>
                <w:color w:val="000000"/>
                <w:kern w:val="0"/>
                <w:sz w:val="20"/>
                <w:szCs w:val="20"/>
                <w:u w:val="none"/>
                <w:lang w:val="en-US" w:eastAsia="zh-CN" w:bidi="ar"/>
              </w:rPr>
              <w:t>满意度</w:t>
            </w:r>
          </w:p>
        </w:tc>
        <w:tc>
          <w:tcPr>
            <w:tcW w:w="1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满意度</w:t>
            </w:r>
            <w:r>
              <w:rPr>
                <w:rFonts w:hint="default" w:ascii="Times New Roman" w:hAnsi="Times New Roman" w:eastAsia="仿宋_GB2312" w:cs="Times New Roman"/>
                <w:i w:val="0"/>
                <w:color w:val="000000"/>
                <w:kern w:val="0"/>
                <w:sz w:val="20"/>
                <w:szCs w:val="20"/>
                <w:u w:val="none"/>
                <w:lang w:val="en-US" w:eastAsia="zh-CN"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满意度达97</w:t>
            </w:r>
            <w:r>
              <w:rPr>
                <w:rFonts w:hint="default" w:ascii="Times New Roman" w:hAnsi="Times New Roman" w:eastAsia="仿宋_GB2312" w:cs="Times New Roman"/>
                <w:i w:val="0"/>
                <w:color w:val="000000"/>
                <w:kern w:val="0"/>
                <w:sz w:val="20"/>
                <w:szCs w:val="20"/>
                <w:u w:val="none"/>
                <w:lang w:val="en-US" w:eastAsia="zh-CN" w:bidi="ar"/>
              </w:rPr>
              <w:t>%</w:t>
            </w:r>
          </w:p>
        </w:tc>
      </w:tr>
    </w:tbl>
    <w:p>
      <w:pPr>
        <w:keepNext w:val="0"/>
        <w:keepLines w:val="0"/>
        <w:pageBreakBefore w:val="0"/>
        <w:widowControl w:val="0"/>
        <w:numPr>
          <w:ilvl w:val="0"/>
          <w:numId w:val="8"/>
        </w:numPr>
        <w:kinsoku/>
        <w:wordWrap/>
        <w:overflowPunct/>
        <w:topLinePunct w:val="0"/>
        <w:autoSpaceDE/>
        <w:autoSpaceDN/>
        <w:bidi w:val="0"/>
        <w:adjustRightInd w:val="0"/>
        <w:snapToGrid w:val="0"/>
        <w:spacing w:before="234" w:beforeLines="75" w:beforeAutospacing="0" w:line="60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部门绩效评价结果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rPr>
      </w:pPr>
      <w:r>
        <w:rPr>
          <w:rFonts w:hint="eastAsia" w:ascii="仿宋" w:hAnsi="仿宋" w:eastAsia="仿宋" w:cs="仿宋"/>
          <w:b/>
          <w:bCs/>
          <w:sz w:val="32"/>
          <w:szCs w:val="32"/>
        </w:rPr>
        <w:t>本部门按要求对201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年部门整体支出绩效评价情况开展自评，</w:t>
      </w:r>
      <w:r>
        <w:rPr>
          <w:rFonts w:hint="eastAsia" w:ascii="仿宋" w:hAnsi="仿宋" w:eastAsia="仿宋" w:cs="仿宋"/>
          <w:b/>
          <w:bCs/>
          <w:sz w:val="32"/>
          <w:szCs w:val="32"/>
          <w:lang w:eastAsia="zh-CN"/>
        </w:rPr>
        <w:t>并编制完成</w:t>
      </w:r>
      <w:r>
        <w:rPr>
          <w:rFonts w:hint="eastAsia" w:ascii="仿宋" w:hAnsi="仿宋" w:eastAsia="仿宋" w:cs="仿宋"/>
          <w:b/>
          <w:bCs/>
          <w:sz w:val="32"/>
          <w:szCs w:val="32"/>
        </w:rPr>
        <w:t>《中共四川省委办公厅关于201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年部门整体支出绩效评价的报告》</w:t>
      </w:r>
      <w:r>
        <w:rPr>
          <w:rFonts w:hint="eastAsia" w:ascii="仿宋" w:hAnsi="仿宋" w:eastAsia="仿宋" w:cs="仿宋"/>
          <w:b/>
          <w:bCs/>
          <w:sz w:val="32"/>
          <w:szCs w:val="32"/>
          <w:lang w:eastAsia="zh-CN"/>
        </w:rPr>
        <w:t>，详</w:t>
      </w:r>
      <w:r>
        <w:rPr>
          <w:rFonts w:hint="eastAsia" w:ascii="仿宋" w:hAnsi="仿宋" w:eastAsia="仿宋" w:cs="仿宋"/>
          <w:b/>
          <w:bCs/>
          <w:sz w:val="32"/>
          <w:szCs w:val="32"/>
        </w:rPr>
        <w:t>见附件。</w:t>
      </w:r>
    </w:p>
    <w:p>
      <w:pPr>
        <w:pageBreakBefore w:val="0"/>
        <w:numPr>
          <w:ilvl w:val="0"/>
          <w:numId w:val="10"/>
        </w:numPr>
        <w:kinsoku/>
        <w:wordWrap/>
        <w:overflowPunct/>
        <w:topLinePunct w:val="0"/>
        <w:bidi w:val="0"/>
        <w:adjustRightInd w:val="0"/>
        <w:snapToGrid w:val="0"/>
        <w:spacing w:line="360" w:lineRule="auto"/>
        <w:ind w:firstLine="663" w:firstLineChars="150"/>
        <w:jc w:val="center"/>
        <w:outlineLvl w:val="0"/>
        <w:rPr>
          <w:rFonts w:hint="eastAsia" w:ascii="黑体" w:hAnsi="黑体" w:eastAsia="黑体" w:cs="黑体"/>
          <w:b/>
          <w:bCs/>
          <w:color w:val="000000"/>
          <w:sz w:val="44"/>
          <w:szCs w:val="44"/>
        </w:rPr>
      </w:pPr>
      <w:bookmarkStart w:id="66" w:name="_Toc15377225"/>
      <w:bookmarkStart w:id="67" w:name="_Toc6862"/>
      <w:r>
        <w:rPr>
          <w:rFonts w:hint="eastAsia" w:ascii="黑体" w:hAnsi="黑体" w:eastAsia="黑体" w:cs="黑体"/>
          <w:b/>
          <w:bCs/>
          <w:color w:val="000000"/>
          <w:sz w:val="44"/>
          <w:szCs w:val="44"/>
        </w:rPr>
        <w:t>名</w:t>
      </w:r>
      <w:r>
        <w:rPr>
          <w:rStyle w:val="23"/>
          <w:rFonts w:hint="eastAsia" w:ascii="黑体" w:hAnsi="黑体" w:eastAsia="黑体" w:cs="黑体"/>
          <w:b/>
          <w:bCs/>
        </w:rPr>
        <w:t>词解释</w:t>
      </w:r>
      <w:bookmarkEnd w:id="66"/>
      <w:bookmarkEnd w:id="67"/>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bookmarkStart w:id="68" w:name="_Toc15377226"/>
      <w:r>
        <w:rPr>
          <w:rFonts w:hint="eastAsia" w:ascii="仿宋" w:hAnsi="仿宋" w:eastAsia="仿宋" w:cs="仿宋"/>
          <w:b/>
          <w:bCs/>
          <w:sz w:val="32"/>
          <w:szCs w:val="32"/>
        </w:rPr>
        <w:t>1. 财政拨款收入：指省级财政当年拨付的资金。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 事业收入：指事业单位开展业务活动所取得的收入。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 其他收入：指除上述“财政拨款收入”、“事业收入”等以外的收入。主要是银行存款利息收入等。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 年初结转和结余：指上个年度尚未完成、结转到本年</w:t>
      </w:r>
      <w:r>
        <w:rPr>
          <w:rFonts w:hint="eastAsia" w:ascii="仿宋" w:hAnsi="仿宋" w:eastAsia="仿宋" w:cs="仿宋"/>
          <w:b/>
          <w:bCs/>
          <w:sz w:val="32"/>
          <w:szCs w:val="32"/>
          <w:lang w:eastAsia="zh-CN"/>
        </w:rPr>
        <w:t>度</w:t>
      </w:r>
      <w:r>
        <w:rPr>
          <w:rFonts w:hint="eastAsia" w:ascii="仿宋" w:hAnsi="仿宋" w:eastAsia="仿宋" w:cs="仿宋"/>
          <w:b/>
          <w:bCs/>
          <w:sz w:val="32"/>
          <w:szCs w:val="32"/>
        </w:rPr>
        <w:t>按有关规定继续使用的资金。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 年末结转和结余：指本年度或以前年度预算安排、因客观条件发生变化无法按原计划实施，需延迟到以后年度按有关规定继续使用的资金。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 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 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pStyle w:val="21"/>
        <w:spacing w:line="560" w:lineRule="exact"/>
        <w:ind w:firstLine="643" w:firstLineChars="2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9.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一般公共服务</w:t>
      </w:r>
      <w:r>
        <w:rPr>
          <w:rFonts w:hint="eastAsia" w:ascii="仿宋" w:hAnsi="仿宋" w:eastAsia="仿宋" w:cs="仿宋"/>
          <w:b/>
          <w:bCs/>
          <w:sz w:val="32"/>
          <w:szCs w:val="32"/>
          <w:lang w:eastAsia="zh-CN"/>
        </w:rPr>
        <w:t>支出</w:t>
      </w:r>
      <w:r>
        <w:rPr>
          <w:rFonts w:hint="eastAsia" w:ascii="仿宋" w:hAnsi="仿宋" w:eastAsia="仿宋" w:cs="仿宋"/>
          <w:b/>
          <w:bCs/>
          <w:sz w:val="32"/>
          <w:szCs w:val="32"/>
        </w:rPr>
        <w:t>（类）党委办公厅</w:t>
      </w:r>
      <w:r>
        <w:rPr>
          <w:rFonts w:hint="eastAsia" w:ascii="仿宋" w:hAnsi="仿宋" w:eastAsia="仿宋" w:cs="仿宋"/>
          <w:b/>
          <w:bCs/>
          <w:sz w:val="32"/>
          <w:szCs w:val="32"/>
          <w:lang w:eastAsia="zh-CN"/>
        </w:rPr>
        <w:t>（</w:t>
      </w:r>
      <w:r>
        <w:rPr>
          <w:rFonts w:hint="eastAsia" w:ascii="仿宋" w:hAnsi="仿宋" w:eastAsia="仿宋" w:cs="仿宋"/>
          <w:b/>
          <w:bCs/>
          <w:sz w:val="32"/>
          <w:szCs w:val="32"/>
        </w:rPr>
        <w:t>室</w:t>
      </w:r>
      <w:r>
        <w:rPr>
          <w:rFonts w:hint="eastAsia" w:ascii="仿宋" w:hAnsi="仿宋" w:eastAsia="仿宋" w:cs="仿宋"/>
          <w:b/>
          <w:bCs/>
          <w:sz w:val="32"/>
          <w:szCs w:val="32"/>
          <w:lang w:eastAsia="zh-CN"/>
        </w:rPr>
        <w:t>）</w:t>
      </w:r>
      <w:r>
        <w:rPr>
          <w:rFonts w:hint="eastAsia" w:ascii="仿宋" w:hAnsi="仿宋" w:eastAsia="仿宋" w:cs="仿宋"/>
          <w:b/>
          <w:bCs/>
          <w:sz w:val="32"/>
          <w:szCs w:val="32"/>
        </w:rPr>
        <w:t>及相关机构事务（款）行政运行（项）：</w:t>
      </w:r>
      <w:r>
        <w:rPr>
          <w:rFonts w:hint="eastAsia" w:ascii="仿宋" w:hAnsi="仿宋" w:eastAsia="仿宋" w:cs="仿宋"/>
          <w:b/>
          <w:bCs/>
          <w:sz w:val="32"/>
          <w:szCs w:val="32"/>
          <w:lang w:eastAsia="zh-CN"/>
        </w:rPr>
        <w:t>反映行政单位（包括实行公务员管理的事业单位）的基本支出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一般公共服务</w:t>
      </w:r>
      <w:r>
        <w:rPr>
          <w:rFonts w:hint="eastAsia" w:ascii="仿宋" w:hAnsi="仿宋" w:eastAsia="仿宋" w:cs="仿宋"/>
          <w:b/>
          <w:bCs/>
          <w:sz w:val="32"/>
          <w:szCs w:val="32"/>
          <w:lang w:eastAsia="zh-CN"/>
        </w:rPr>
        <w:t>支出</w:t>
      </w:r>
      <w:r>
        <w:rPr>
          <w:rFonts w:hint="eastAsia" w:ascii="仿宋" w:hAnsi="仿宋" w:eastAsia="仿宋" w:cs="仿宋"/>
          <w:b/>
          <w:bCs/>
          <w:sz w:val="32"/>
          <w:szCs w:val="32"/>
        </w:rPr>
        <w:t>（类）党委办公厅</w:t>
      </w:r>
      <w:r>
        <w:rPr>
          <w:rFonts w:hint="eastAsia" w:ascii="仿宋" w:hAnsi="仿宋" w:eastAsia="仿宋" w:cs="仿宋"/>
          <w:b/>
          <w:bCs/>
          <w:sz w:val="32"/>
          <w:szCs w:val="32"/>
          <w:lang w:eastAsia="zh-CN"/>
        </w:rPr>
        <w:t>（</w:t>
      </w:r>
      <w:r>
        <w:rPr>
          <w:rFonts w:hint="eastAsia" w:ascii="仿宋" w:hAnsi="仿宋" w:eastAsia="仿宋" w:cs="仿宋"/>
          <w:b/>
          <w:bCs/>
          <w:sz w:val="32"/>
          <w:szCs w:val="32"/>
        </w:rPr>
        <w:t>室</w:t>
      </w:r>
      <w:r>
        <w:rPr>
          <w:rFonts w:hint="eastAsia" w:ascii="仿宋" w:hAnsi="仿宋" w:eastAsia="仿宋" w:cs="仿宋"/>
          <w:b/>
          <w:bCs/>
          <w:sz w:val="32"/>
          <w:szCs w:val="32"/>
          <w:lang w:eastAsia="zh-CN"/>
        </w:rPr>
        <w:t>）</w:t>
      </w:r>
      <w:r>
        <w:rPr>
          <w:rFonts w:hint="eastAsia" w:ascii="仿宋" w:hAnsi="仿宋" w:eastAsia="仿宋" w:cs="仿宋"/>
          <w:b/>
          <w:bCs/>
          <w:sz w:val="32"/>
          <w:szCs w:val="32"/>
        </w:rPr>
        <w:t>及相关机构事务（款）一般行政管理事务（项）：</w:t>
      </w:r>
      <w:r>
        <w:rPr>
          <w:rFonts w:hint="eastAsia" w:ascii="仿宋" w:hAnsi="仿宋" w:eastAsia="仿宋" w:cs="仿宋"/>
          <w:b/>
          <w:bCs/>
          <w:sz w:val="32"/>
          <w:szCs w:val="32"/>
          <w:lang w:eastAsia="zh-CN"/>
        </w:rPr>
        <w:t>反映行政单位（包括实行公务员管理的事业单位）未单独设置项级科目的其他项目支出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 一般公共服务</w:t>
      </w:r>
      <w:r>
        <w:rPr>
          <w:rFonts w:hint="eastAsia" w:ascii="仿宋" w:hAnsi="仿宋" w:eastAsia="仿宋" w:cs="仿宋"/>
          <w:b/>
          <w:bCs/>
          <w:sz w:val="32"/>
          <w:szCs w:val="32"/>
          <w:lang w:eastAsia="zh-CN"/>
        </w:rPr>
        <w:t>支出</w:t>
      </w:r>
      <w:r>
        <w:rPr>
          <w:rFonts w:hint="eastAsia" w:ascii="仿宋" w:hAnsi="仿宋" w:eastAsia="仿宋" w:cs="仿宋"/>
          <w:b/>
          <w:bCs/>
          <w:sz w:val="32"/>
          <w:szCs w:val="32"/>
        </w:rPr>
        <w:t>（类）党委办公厅</w:t>
      </w:r>
      <w:r>
        <w:rPr>
          <w:rFonts w:hint="eastAsia" w:ascii="仿宋" w:hAnsi="仿宋" w:eastAsia="仿宋" w:cs="仿宋"/>
          <w:b/>
          <w:bCs/>
          <w:sz w:val="32"/>
          <w:szCs w:val="32"/>
          <w:lang w:eastAsia="zh-CN"/>
        </w:rPr>
        <w:t>（</w:t>
      </w:r>
      <w:r>
        <w:rPr>
          <w:rFonts w:hint="eastAsia" w:ascii="仿宋" w:hAnsi="仿宋" w:eastAsia="仿宋" w:cs="仿宋"/>
          <w:b/>
          <w:bCs/>
          <w:sz w:val="32"/>
          <w:szCs w:val="32"/>
        </w:rPr>
        <w:t>室</w:t>
      </w:r>
      <w:r>
        <w:rPr>
          <w:rFonts w:hint="eastAsia" w:ascii="仿宋" w:hAnsi="仿宋" w:eastAsia="仿宋" w:cs="仿宋"/>
          <w:b/>
          <w:bCs/>
          <w:sz w:val="32"/>
          <w:szCs w:val="32"/>
          <w:lang w:eastAsia="zh-CN"/>
        </w:rPr>
        <w:t>）</w:t>
      </w:r>
      <w:r>
        <w:rPr>
          <w:rFonts w:hint="eastAsia" w:ascii="仿宋" w:hAnsi="仿宋" w:eastAsia="仿宋" w:cs="仿宋"/>
          <w:b/>
          <w:bCs/>
          <w:sz w:val="32"/>
          <w:szCs w:val="32"/>
        </w:rPr>
        <w:t>及相关机构事务（款）专项业务（项）：</w:t>
      </w:r>
      <w:r>
        <w:rPr>
          <w:rFonts w:hint="eastAsia" w:ascii="仿宋" w:hAnsi="仿宋" w:eastAsia="仿宋" w:cs="仿宋"/>
          <w:b/>
          <w:bCs/>
          <w:sz w:val="32"/>
          <w:szCs w:val="32"/>
          <w:lang w:eastAsia="zh-CN"/>
        </w:rPr>
        <w:t>反映党委办公厅（室）及相关机构开展专项业务活动所发生的支出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13</w:t>
      </w:r>
      <w:r>
        <w:rPr>
          <w:rFonts w:hint="eastAsia" w:ascii="仿宋" w:hAnsi="仿宋" w:eastAsia="仿宋" w:cs="仿宋"/>
          <w:b/>
          <w:bCs/>
          <w:sz w:val="32"/>
          <w:szCs w:val="32"/>
        </w:rPr>
        <w:t>. 一般公共服务</w:t>
      </w:r>
      <w:r>
        <w:rPr>
          <w:rFonts w:hint="eastAsia" w:ascii="仿宋" w:hAnsi="仿宋" w:eastAsia="仿宋" w:cs="仿宋"/>
          <w:b/>
          <w:bCs/>
          <w:sz w:val="32"/>
          <w:szCs w:val="32"/>
          <w:lang w:eastAsia="zh-CN"/>
        </w:rPr>
        <w:t>支出</w:t>
      </w:r>
      <w:r>
        <w:rPr>
          <w:rFonts w:hint="eastAsia" w:ascii="仿宋" w:hAnsi="仿宋" w:eastAsia="仿宋" w:cs="仿宋"/>
          <w:b/>
          <w:bCs/>
          <w:sz w:val="32"/>
          <w:szCs w:val="32"/>
        </w:rPr>
        <w:t>（类）党委办公厅</w:t>
      </w:r>
      <w:r>
        <w:rPr>
          <w:rFonts w:hint="eastAsia" w:ascii="仿宋" w:hAnsi="仿宋" w:eastAsia="仿宋" w:cs="仿宋"/>
          <w:b/>
          <w:bCs/>
          <w:sz w:val="32"/>
          <w:szCs w:val="32"/>
          <w:lang w:eastAsia="zh-CN"/>
        </w:rPr>
        <w:t>（</w:t>
      </w:r>
      <w:r>
        <w:rPr>
          <w:rFonts w:hint="eastAsia" w:ascii="仿宋" w:hAnsi="仿宋" w:eastAsia="仿宋" w:cs="仿宋"/>
          <w:b/>
          <w:bCs/>
          <w:sz w:val="32"/>
          <w:szCs w:val="32"/>
        </w:rPr>
        <w:t>室</w:t>
      </w:r>
      <w:r>
        <w:rPr>
          <w:rFonts w:hint="eastAsia" w:ascii="仿宋" w:hAnsi="仿宋" w:eastAsia="仿宋" w:cs="仿宋"/>
          <w:b/>
          <w:bCs/>
          <w:sz w:val="32"/>
          <w:szCs w:val="32"/>
          <w:lang w:eastAsia="zh-CN"/>
        </w:rPr>
        <w:t>）</w:t>
      </w:r>
      <w:r>
        <w:rPr>
          <w:rFonts w:hint="eastAsia" w:ascii="仿宋" w:hAnsi="仿宋" w:eastAsia="仿宋" w:cs="仿宋"/>
          <w:b/>
          <w:bCs/>
          <w:sz w:val="32"/>
          <w:szCs w:val="32"/>
        </w:rPr>
        <w:t>及相关机构事务（款）事业运行（项）：</w:t>
      </w:r>
      <w:r>
        <w:rPr>
          <w:rFonts w:hint="eastAsia" w:ascii="仿宋" w:hAnsi="仿宋" w:eastAsia="仿宋" w:cs="仿宋"/>
          <w:b/>
          <w:bCs/>
          <w:sz w:val="32"/>
          <w:szCs w:val="32"/>
          <w:lang w:eastAsia="zh-CN"/>
        </w:rPr>
        <w:t>反映事业单位的基本支出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14. </w:t>
      </w:r>
      <w:r>
        <w:rPr>
          <w:rFonts w:hint="eastAsia" w:ascii="仿宋" w:hAnsi="仿宋" w:eastAsia="仿宋" w:cs="仿宋"/>
          <w:b/>
          <w:bCs/>
          <w:sz w:val="32"/>
          <w:szCs w:val="32"/>
        </w:rPr>
        <w:t>一般公共服务</w:t>
      </w:r>
      <w:r>
        <w:rPr>
          <w:rFonts w:hint="eastAsia" w:ascii="仿宋" w:hAnsi="仿宋" w:eastAsia="仿宋" w:cs="仿宋"/>
          <w:b/>
          <w:bCs/>
          <w:sz w:val="32"/>
          <w:szCs w:val="32"/>
          <w:lang w:eastAsia="zh-CN"/>
        </w:rPr>
        <w:t>支出</w:t>
      </w:r>
      <w:r>
        <w:rPr>
          <w:rFonts w:hint="eastAsia" w:ascii="仿宋" w:hAnsi="仿宋" w:eastAsia="仿宋" w:cs="仿宋"/>
          <w:b/>
          <w:bCs/>
          <w:sz w:val="32"/>
          <w:szCs w:val="32"/>
        </w:rPr>
        <w:t>（类）党委办公厅</w:t>
      </w:r>
      <w:r>
        <w:rPr>
          <w:rFonts w:hint="eastAsia" w:ascii="仿宋" w:hAnsi="仿宋" w:eastAsia="仿宋" w:cs="仿宋"/>
          <w:b/>
          <w:bCs/>
          <w:sz w:val="32"/>
          <w:szCs w:val="32"/>
          <w:lang w:eastAsia="zh-CN"/>
        </w:rPr>
        <w:t>（</w:t>
      </w:r>
      <w:r>
        <w:rPr>
          <w:rFonts w:hint="eastAsia" w:ascii="仿宋" w:hAnsi="仿宋" w:eastAsia="仿宋" w:cs="仿宋"/>
          <w:b/>
          <w:bCs/>
          <w:sz w:val="32"/>
          <w:szCs w:val="32"/>
        </w:rPr>
        <w:t>室</w:t>
      </w:r>
      <w:r>
        <w:rPr>
          <w:rFonts w:hint="eastAsia" w:ascii="仿宋" w:hAnsi="仿宋" w:eastAsia="仿宋" w:cs="仿宋"/>
          <w:b/>
          <w:bCs/>
          <w:sz w:val="32"/>
          <w:szCs w:val="32"/>
          <w:lang w:eastAsia="zh-CN"/>
        </w:rPr>
        <w:t>）</w:t>
      </w:r>
      <w:r>
        <w:rPr>
          <w:rFonts w:hint="eastAsia" w:ascii="仿宋" w:hAnsi="仿宋" w:eastAsia="仿宋" w:cs="仿宋"/>
          <w:b/>
          <w:bCs/>
          <w:sz w:val="32"/>
          <w:szCs w:val="32"/>
        </w:rPr>
        <w:t>及相关机构事务（款）</w:t>
      </w:r>
      <w:r>
        <w:rPr>
          <w:rFonts w:hint="eastAsia" w:ascii="仿宋" w:hAnsi="仿宋" w:eastAsia="仿宋" w:cs="仿宋"/>
          <w:b/>
          <w:bCs/>
          <w:sz w:val="32"/>
          <w:szCs w:val="32"/>
          <w:lang w:eastAsia="zh-CN"/>
        </w:rPr>
        <w:t>其他</w:t>
      </w:r>
      <w:r>
        <w:rPr>
          <w:rFonts w:hint="eastAsia" w:ascii="仿宋" w:hAnsi="仿宋" w:eastAsia="仿宋" w:cs="仿宋"/>
          <w:b/>
          <w:bCs/>
          <w:sz w:val="32"/>
          <w:szCs w:val="32"/>
        </w:rPr>
        <w:t>党委办公厅</w:t>
      </w:r>
      <w:r>
        <w:rPr>
          <w:rFonts w:hint="eastAsia" w:ascii="仿宋" w:hAnsi="仿宋" w:eastAsia="仿宋" w:cs="仿宋"/>
          <w:b/>
          <w:bCs/>
          <w:sz w:val="32"/>
          <w:szCs w:val="32"/>
          <w:lang w:eastAsia="zh-CN"/>
        </w:rPr>
        <w:t>（</w:t>
      </w:r>
      <w:r>
        <w:rPr>
          <w:rFonts w:hint="eastAsia" w:ascii="仿宋" w:hAnsi="仿宋" w:eastAsia="仿宋" w:cs="仿宋"/>
          <w:b/>
          <w:bCs/>
          <w:sz w:val="32"/>
          <w:szCs w:val="32"/>
        </w:rPr>
        <w:t>室</w:t>
      </w:r>
      <w:r>
        <w:rPr>
          <w:rFonts w:hint="eastAsia" w:ascii="仿宋" w:hAnsi="仿宋" w:eastAsia="仿宋" w:cs="仿宋"/>
          <w:b/>
          <w:bCs/>
          <w:sz w:val="32"/>
          <w:szCs w:val="32"/>
          <w:lang w:eastAsia="zh-CN"/>
        </w:rPr>
        <w:t>）</w:t>
      </w:r>
      <w:r>
        <w:rPr>
          <w:rFonts w:hint="eastAsia" w:ascii="仿宋" w:hAnsi="仿宋" w:eastAsia="仿宋" w:cs="仿宋"/>
          <w:b/>
          <w:bCs/>
          <w:sz w:val="32"/>
          <w:szCs w:val="32"/>
        </w:rPr>
        <w:t>及相关机构事务</w:t>
      </w:r>
      <w:r>
        <w:rPr>
          <w:rFonts w:hint="eastAsia" w:ascii="仿宋" w:hAnsi="仿宋" w:eastAsia="仿宋" w:cs="仿宋"/>
          <w:b/>
          <w:bCs/>
          <w:sz w:val="32"/>
          <w:szCs w:val="32"/>
          <w:lang w:eastAsia="zh-CN"/>
        </w:rPr>
        <w:t>支出（</w:t>
      </w:r>
      <w:r>
        <w:rPr>
          <w:rFonts w:hint="eastAsia" w:ascii="仿宋" w:hAnsi="仿宋" w:eastAsia="仿宋" w:cs="仿宋"/>
          <w:b/>
          <w:bCs/>
          <w:sz w:val="32"/>
          <w:szCs w:val="32"/>
        </w:rPr>
        <w:t>项</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r>
        <w:rPr>
          <w:rFonts w:hint="eastAsia" w:ascii="仿宋" w:hAnsi="仿宋" w:eastAsia="仿宋" w:cs="仿宋"/>
          <w:b/>
          <w:bCs/>
          <w:sz w:val="32"/>
          <w:szCs w:val="32"/>
          <w:lang w:eastAsia="zh-CN"/>
        </w:rPr>
        <w:t>反映除上述项目以外其他用于党委办公厅（室）及相关机构事务支出。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15</w:t>
      </w:r>
      <w:r>
        <w:rPr>
          <w:rFonts w:hint="eastAsia" w:ascii="仿宋" w:hAnsi="仿宋" w:eastAsia="仿宋" w:cs="仿宋"/>
          <w:b/>
          <w:bCs/>
          <w:sz w:val="32"/>
          <w:szCs w:val="32"/>
        </w:rPr>
        <w:t>. 教育支出（类）普通教育（款）学前教育（项）：</w:t>
      </w:r>
      <w:r>
        <w:rPr>
          <w:rFonts w:hint="eastAsia" w:ascii="仿宋" w:hAnsi="仿宋" w:eastAsia="仿宋" w:cs="仿宋"/>
          <w:b/>
          <w:bCs/>
          <w:sz w:val="32"/>
          <w:szCs w:val="32"/>
          <w:lang w:eastAsia="zh-CN"/>
        </w:rPr>
        <w:t>反映各部门举办的学前教育支出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rPr>
        <w:t>. 教育支出（类）进修及培训（款）培训支出（项）：</w:t>
      </w:r>
      <w:r>
        <w:rPr>
          <w:rFonts w:hint="eastAsia" w:ascii="仿宋" w:hAnsi="仿宋" w:eastAsia="仿宋" w:cs="仿宋"/>
          <w:b/>
          <w:bCs/>
          <w:sz w:val="32"/>
          <w:szCs w:val="32"/>
          <w:lang w:eastAsia="zh-CN"/>
        </w:rPr>
        <w:t>反映各部门安排的用于培训的支出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17. 科学技术支出（类）其他科学技术支出（款）其他科学技术支出（项）：反映其他科学技术支出中其他用于科技方面的支出。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 社会保障和就业支出（类）行政事业单位</w:t>
      </w:r>
      <w:r>
        <w:rPr>
          <w:rFonts w:hint="eastAsia" w:ascii="仿宋" w:hAnsi="仿宋" w:eastAsia="仿宋" w:cs="仿宋"/>
          <w:b/>
          <w:bCs/>
          <w:sz w:val="32"/>
          <w:szCs w:val="32"/>
          <w:lang w:eastAsia="zh-CN"/>
        </w:rPr>
        <w:t>离退休</w:t>
      </w:r>
      <w:r>
        <w:rPr>
          <w:rFonts w:hint="eastAsia" w:ascii="仿宋" w:hAnsi="仿宋" w:eastAsia="仿宋" w:cs="仿宋"/>
          <w:b/>
          <w:bCs/>
          <w:sz w:val="32"/>
          <w:szCs w:val="32"/>
        </w:rPr>
        <w:t>（款）</w:t>
      </w:r>
      <w:r>
        <w:rPr>
          <w:rFonts w:hint="eastAsia" w:ascii="仿宋" w:hAnsi="仿宋" w:eastAsia="仿宋" w:cs="仿宋"/>
          <w:b/>
          <w:bCs/>
          <w:sz w:val="32"/>
          <w:szCs w:val="32"/>
          <w:lang w:eastAsia="zh-CN"/>
        </w:rPr>
        <w:t>事业</w:t>
      </w:r>
      <w:r>
        <w:rPr>
          <w:rFonts w:hint="eastAsia" w:ascii="仿宋" w:hAnsi="仿宋" w:eastAsia="仿宋" w:cs="仿宋"/>
          <w:b/>
          <w:bCs/>
          <w:sz w:val="32"/>
          <w:szCs w:val="32"/>
        </w:rPr>
        <w:t>单位离退休（项）：</w:t>
      </w:r>
      <w:r>
        <w:rPr>
          <w:rFonts w:hint="eastAsia" w:ascii="仿宋" w:hAnsi="仿宋" w:eastAsia="仿宋" w:cs="仿宋"/>
          <w:b/>
          <w:bCs/>
          <w:sz w:val="32"/>
          <w:szCs w:val="32"/>
          <w:lang w:eastAsia="zh-CN"/>
        </w:rPr>
        <w:t>反映实行归口管理的事业单位开支的离退休经费。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 社会保障和就业支出（类）行政事业单位</w:t>
      </w:r>
      <w:r>
        <w:rPr>
          <w:rFonts w:hint="eastAsia" w:ascii="仿宋" w:hAnsi="仿宋" w:eastAsia="仿宋" w:cs="仿宋"/>
          <w:b/>
          <w:bCs/>
          <w:sz w:val="32"/>
          <w:szCs w:val="32"/>
          <w:lang w:eastAsia="zh-CN"/>
        </w:rPr>
        <w:t>离退休</w:t>
      </w:r>
      <w:r>
        <w:rPr>
          <w:rFonts w:hint="eastAsia" w:ascii="仿宋" w:hAnsi="仿宋" w:eastAsia="仿宋" w:cs="仿宋"/>
          <w:b/>
          <w:bCs/>
          <w:sz w:val="32"/>
          <w:szCs w:val="32"/>
        </w:rPr>
        <w:t>（款）</w:t>
      </w:r>
      <w:r>
        <w:rPr>
          <w:rFonts w:hint="eastAsia" w:ascii="仿宋" w:hAnsi="仿宋" w:eastAsia="仿宋" w:cs="仿宋"/>
          <w:b/>
          <w:bCs/>
          <w:sz w:val="32"/>
          <w:szCs w:val="32"/>
          <w:lang w:eastAsia="zh-CN"/>
        </w:rPr>
        <w:t>未归口管理的</w:t>
      </w:r>
      <w:r>
        <w:rPr>
          <w:rFonts w:hint="eastAsia" w:ascii="仿宋" w:hAnsi="仿宋" w:eastAsia="仿宋" w:cs="仿宋"/>
          <w:b/>
          <w:bCs/>
          <w:sz w:val="32"/>
          <w:szCs w:val="32"/>
        </w:rPr>
        <w:t>行政单位离退休（项）：</w:t>
      </w:r>
      <w:r>
        <w:rPr>
          <w:rFonts w:hint="eastAsia" w:ascii="仿宋" w:hAnsi="仿宋" w:eastAsia="仿宋" w:cs="仿宋"/>
          <w:b/>
          <w:bCs/>
          <w:sz w:val="32"/>
          <w:szCs w:val="32"/>
          <w:lang w:eastAsia="zh-CN"/>
        </w:rPr>
        <w:t>反映未实行归口管理的行政单位（包括实行公务员管理的事业单位）开支的离退休支出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 社会保障和就业支出（类）行政事业单位</w:t>
      </w:r>
      <w:r>
        <w:rPr>
          <w:rFonts w:hint="eastAsia" w:ascii="仿宋" w:hAnsi="仿宋" w:eastAsia="仿宋" w:cs="仿宋"/>
          <w:b/>
          <w:bCs/>
          <w:sz w:val="32"/>
          <w:szCs w:val="32"/>
          <w:lang w:eastAsia="zh-CN"/>
        </w:rPr>
        <w:t>离退休</w:t>
      </w:r>
      <w:r>
        <w:rPr>
          <w:rFonts w:hint="eastAsia" w:ascii="仿宋" w:hAnsi="仿宋" w:eastAsia="仿宋" w:cs="仿宋"/>
          <w:b/>
          <w:bCs/>
          <w:sz w:val="32"/>
          <w:szCs w:val="32"/>
        </w:rPr>
        <w:t>（款）机关事业单位基本养老保险缴费支出（项）：</w:t>
      </w:r>
      <w:r>
        <w:rPr>
          <w:rFonts w:hint="eastAsia" w:ascii="仿宋" w:hAnsi="仿宋" w:eastAsia="仿宋" w:cs="仿宋"/>
          <w:b/>
          <w:bCs/>
          <w:sz w:val="32"/>
          <w:szCs w:val="32"/>
          <w:lang w:eastAsia="zh-CN"/>
        </w:rPr>
        <w:t>反映机关事业单位实施养老保险制度由单位缴纳的基本养老保险费支出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．社会保障和就业支出（类）行政事业单位</w:t>
      </w:r>
      <w:r>
        <w:rPr>
          <w:rFonts w:hint="eastAsia" w:ascii="仿宋" w:hAnsi="仿宋" w:eastAsia="仿宋" w:cs="仿宋"/>
          <w:b/>
          <w:bCs/>
          <w:sz w:val="32"/>
          <w:szCs w:val="32"/>
          <w:lang w:eastAsia="zh-CN"/>
        </w:rPr>
        <w:t>离退休</w:t>
      </w:r>
      <w:r>
        <w:rPr>
          <w:rFonts w:hint="eastAsia" w:ascii="仿宋" w:hAnsi="仿宋" w:eastAsia="仿宋" w:cs="仿宋"/>
          <w:b/>
          <w:bCs/>
          <w:sz w:val="32"/>
          <w:szCs w:val="32"/>
        </w:rPr>
        <w:t>（款）机关事业单位职业年金缴费支出（项）：</w:t>
      </w:r>
      <w:r>
        <w:rPr>
          <w:rFonts w:hint="eastAsia" w:ascii="仿宋" w:hAnsi="仿宋" w:eastAsia="仿宋" w:cs="仿宋"/>
          <w:b/>
          <w:bCs/>
          <w:sz w:val="32"/>
          <w:szCs w:val="32"/>
          <w:lang w:eastAsia="zh-CN"/>
        </w:rPr>
        <w:t>反映机关事业单位实施养老保险制度由单位实际缴纳的职业年金支出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w:t>
      </w:r>
      <w:r>
        <w:rPr>
          <w:rFonts w:hint="eastAsia" w:ascii="仿宋" w:hAnsi="仿宋" w:eastAsia="仿宋" w:cs="仿宋"/>
          <w:b/>
          <w:bCs/>
          <w:sz w:val="32"/>
          <w:szCs w:val="32"/>
          <w:lang w:eastAsia="zh-CN"/>
        </w:rPr>
        <w:t>卫生健康</w:t>
      </w:r>
      <w:r>
        <w:rPr>
          <w:rFonts w:hint="eastAsia" w:ascii="仿宋" w:hAnsi="仿宋" w:eastAsia="仿宋" w:cs="仿宋"/>
          <w:b/>
          <w:bCs/>
          <w:sz w:val="32"/>
          <w:szCs w:val="32"/>
        </w:rPr>
        <w:t>支出（类）行政事业单位医疗（款）</w:t>
      </w:r>
      <w:r>
        <w:rPr>
          <w:rFonts w:hint="eastAsia" w:ascii="仿宋" w:hAnsi="仿宋" w:eastAsia="仿宋" w:cs="仿宋"/>
          <w:b/>
          <w:bCs/>
          <w:sz w:val="32"/>
          <w:szCs w:val="32"/>
          <w:lang w:eastAsia="zh-CN"/>
        </w:rPr>
        <w:t>行政单位医疗</w:t>
      </w:r>
      <w:r>
        <w:rPr>
          <w:rFonts w:hint="eastAsia" w:ascii="仿宋" w:hAnsi="仿宋" w:eastAsia="仿宋" w:cs="仿宋"/>
          <w:b/>
          <w:bCs/>
          <w:sz w:val="32"/>
          <w:szCs w:val="32"/>
        </w:rPr>
        <w:t>（项）：</w:t>
      </w:r>
      <w:r>
        <w:rPr>
          <w:rFonts w:hint="eastAsia" w:ascii="仿宋" w:hAnsi="仿宋" w:eastAsia="仿宋" w:cs="仿宋"/>
          <w:b/>
          <w:bCs/>
          <w:sz w:val="32"/>
          <w:szCs w:val="32"/>
          <w:lang w:eastAsia="zh-CN"/>
        </w:rPr>
        <w:t>反映财政部安排的行政单位（包括实行公务员管理的事业单位）基本医疗保险缴费经费</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23</w:t>
      </w:r>
      <w:r>
        <w:rPr>
          <w:rFonts w:hint="eastAsia" w:ascii="仿宋" w:hAnsi="仿宋" w:eastAsia="仿宋" w:cs="仿宋"/>
          <w:b/>
          <w:bCs/>
          <w:sz w:val="32"/>
          <w:szCs w:val="32"/>
        </w:rPr>
        <w:t>．</w:t>
      </w:r>
      <w:r>
        <w:rPr>
          <w:rFonts w:hint="eastAsia" w:ascii="仿宋" w:hAnsi="仿宋" w:eastAsia="仿宋" w:cs="仿宋"/>
          <w:b/>
          <w:bCs/>
          <w:sz w:val="32"/>
          <w:szCs w:val="32"/>
          <w:lang w:eastAsia="zh-CN"/>
        </w:rPr>
        <w:t>卫生健康</w:t>
      </w:r>
      <w:r>
        <w:rPr>
          <w:rFonts w:hint="eastAsia" w:ascii="仿宋" w:hAnsi="仿宋" w:eastAsia="仿宋" w:cs="仿宋"/>
          <w:b/>
          <w:bCs/>
          <w:sz w:val="32"/>
          <w:szCs w:val="32"/>
        </w:rPr>
        <w:t>支出（类）行政事业单位医疗（款）</w:t>
      </w:r>
      <w:r>
        <w:rPr>
          <w:rFonts w:hint="eastAsia" w:ascii="仿宋" w:hAnsi="仿宋" w:eastAsia="仿宋" w:cs="仿宋"/>
          <w:b/>
          <w:bCs/>
          <w:sz w:val="32"/>
          <w:szCs w:val="32"/>
          <w:lang w:eastAsia="zh-CN"/>
        </w:rPr>
        <w:t>事业单位医疗</w:t>
      </w:r>
      <w:r>
        <w:rPr>
          <w:rFonts w:hint="eastAsia" w:ascii="仿宋" w:hAnsi="仿宋" w:eastAsia="仿宋" w:cs="仿宋"/>
          <w:b/>
          <w:bCs/>
          <w:sz w:val="32"/>
          <w:szCs w:val="32"/>
        </w:rPr>
        <w:t>（项）：</w:t>
      </w:r>
      <w:r>
        <w:rPr>
          <w:rFonts w:hint="eastAsia" w:ascii="仿宋" w:hAnsi="仿宋" w:eastAsia="仿宋" w:cs="仿宋"/>
          <w:b/>
          <w:bCs/>
          <w:sz w:val="32"/>
          <w:szCs w:val="32"/>
          <w:lang w:eastAsia="zh-CN"/>
        </w:rPr>
        <w:t>反映财政部安排的事业单位基本医疗保险缴费经费</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24</w:t>
      </w:r>
      <w:r>
        <w:rPr>
          <w:rFonts w:hint="eastAsia" w:ascii="仿宋" w:hAnsi="仿宋" w:eastAsia="仿宋" w:cs="仿宋"/>
          <w:b/>
          <w:bCs/>
          <w:sz w:val="32"/>
          <w:szCs w:val="32"/>
        </w:rPr>
        <w:t>．</w:t>
      </w:r>
      <w:r>
        <w:rPr>
          <w:rFonts w:hint="eastAsia" w:ascii="仿宋" w:hAnsi="仿宋" w:eastAsia="仿宋" w:cs="仿宋"/>
          <w:b/>
          <w:bCs/>
          <w:sz w:val="32"/>
          <w:szCs w:val="32"/>
          <w:lang w:eastAsia="zh-CN"/>
        </w:rPr>
        <w:t>卫生健康</w:t>
      </w:r>
      <w:r>
        <w:rPr>
          <w:rFonts w:hint="eastAsia" w:ascii="仿宋" w:hAnsi="仿宋" w:eastAsia="仿宋" w:cs="仿宋"/>
          <w:b/>
          <w:bCs/>
          <w:sz w:val="32"/>
          <w:szCs w:val="32"/>
        </w:rPr>
        <w:t>支出（类）行政事业单位医疗（款）公务员医疗补助（项）：</w:t>
      </w:r>
      <w:r>
        <w:rPr>
          <w:rFonts w:hint="eastAsia" w:ascii="仿宋" w:hAnsi="仿宋" w:eastAsia="仿宋" w:cs="仿宋"/>
          <w:b/>
          <w:bCs/>
          <w:sz w:val="32"/>
          <w:szCs w:val="32"/>
          <w:lang w:eastAsia="zh-CN"/>
        </w:rPr>
        <w:t>反映财政部安排的公务员医疗补助经费</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w:t>
      </w:r>
      <w:r>
        <w:rPr>
          <w:rFonts w:hint="eastAsia" w:ascii="仿宋" w:hAnsi="仿宋" w:eastAsia="仿宋" w:cs="仿宋"/>
          <w:b/>
          <w:bCs/>
          <w:sz w:val="32"/>
          <w:szCs w:val="32"/>
          <w:lang w:eastAsia="zh-CN"/>
        </w:rPr>
        <w:t>住房保障</w:t>
      </w:r>
      <w:r>
        <w:rPr>
          <w:rFonts w:hint="eastAsia" w:ascii="仿宋" w:hAnsi="仿宋" w:eastAsia="仿宋" w:cs="仿宋"/>
          <w:b/>
          <w:bCs/>
          <w:sz w:val="32"/>
          <w:szCs w:val="32"/>
        </w:rPr>
        <w:t>支出（类）住房改革支出（款）住房公积金（项）：</w:t>
      </w:r>
      <w:r>
        <w:rPr>
          <w:rFonts w:hint="eastAsia" w:ascii="仿宋" w:hAnsi="仿宋" w:eastAsia="仿宋" w:cs="仿宋"/>
          <w:b/>
          <w:bCs/>
          <w:sz w:val="32"/>
          <w:szCs w:val="32"/>
          <w:lang w:eastAsia="zh-CN"/>
        </w:rPr>
        <w:t>反映行政事业单位按人力资源和社会保障部、财政部规定的基本工资和津贴补贴以及规定比例为职工缴纳的住房公积金</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26</w:t>
      </w:r>
      <w:r>
        <w:rPr>
          <w:rFonts w:hint="eastAsia" w:ascii="仿宋" w:hAnsi="仿宋" w:eastAsia="仿宋" w:cs="仿宋"/>
          <w:b/>
          <w:bCs/>
          <w:sz w:val="32"/>
          <w:szCs w:val="32"/>
        </w:rPr>
        <w:t>．</w:t>
      </w:r>
      <w:r>
        <w:rPr>
          <w:rFonts w:hint="eastAsia" w:ascii="仿宋" w:hAnsi="仿宋" w:eastAsia="仿宋" w:cs="仿宋"/>
          <w:b/>
          <w:bCs/>
          <w:sz w:val="32"/>
          <w:szCs w:val="32"/>
          <w:lang w:eastAsia="zh-CN"/>
        </w:rPr>
        <w:t>住房保障</w:t>
      </w:r>
      <w:r>
        <w:rPr>
          <w:rFonts w:hint="eastAsia" w:ascii="仿宋" w:hAnsi="仿宋" w:eastAsia="仿宋" w:cs="仿宋"/>
          <w:b/>
          <w:bCs/>
          <w:sz w:val="32"/>
          <w:szCs w:val="32"/>
        </w:rPr>
        <w:t>支出（类）住房改革支出（款）购房补贴（项）：</w:t>
      </w:r>
      <w:r>
        <w:rPr>
          <w:rFonts w:hint="eastAsia" w:ascii="仿宋" w:hAnsi="仿宋" w:eastAsia="仿宋" w:cs="仿宋"/>
          <w:b/>
          <w:bCs/>
          <w:sz w:val="32"/>
          <w:szCs w:val="32"/>
          <w:lang w:eastAsia="zh-CN"/>
        </w:rPr>
        <w:t>反映按房改政策规定的标准，行政事业单位向符合条件职工发放的用于购买住房的补贴</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27</w:t>
      </w:r>
      <w:r>
        <w:rPr>
          <w:rFonts w:hint="eastAsia" w:ascii="仿宋" w:hAnsi="仿宋" w:eastAsia="仿宋" w:cs="仿宋"/>
          <w:b/>
          <w:bCs/>
          <w:sz w:val="32"/>
          <w:szCs w:val="32"/>
        </w:rPr>
        <w:t>．</w:t>
      </w:r>
      <w:r>
        <w:rPr>
          <w:rFonts w:hint="eastAsia" w:ascii="仿宋" w:hAnsi="仿宋" w:eastAsia="仿宋" w:cs="仿宋"/>
          <w:b/>
          <w:bCs/>
          <w:sz w:val="32"/>
          <w:szCs w:val="32"/>
          <w:lang w:eastAsia="zh-CN"/>
        </w:rPr>
        <w:t>灾害防治及应急管理支出</w:t>
      </w:r>
      <w:r>
        <w:rPr>
          <w:rFonts w:hint="eastAsia" w:ascii="仿宋" w:hAnsi="仿宋" w:eastAsia="仿宋" w:cs="仿宋"/>
          <w:b/>
          <w:bCs/>
          <w:sz w:val="32"/>
          <w:szCs w:val="32"/>
        </w:rPr>
        <w:t>（类）</w:t>
      </w:r>
      <w:r>
        <w:rPr>
          <w:rFonts w:hint="eastAsia" w:ascii="仿宋" w:hAnsi="仿宋" w:eastAsia="仿宋" w:cs="仿宋"/>
          <w:b/>
          <w:bCs/>
          <w:sz w:val="32"/>
          <w:szCs w:val="32"/>
          <w:lang w:eastAsia="zh-CN"/>
        </w:rPr>
        <w:t>应急管理事务</w:t>
      </w:r>
      <w:r>
        <w:rPr>
          <w:rFonts w:hint="eastAsia" w:ascii="仿宋" w:hAnsi="仿宋" w:eastAsia="仿宋" w:cs="仿宋"/>
          <w:b/>
          <w:bCs/>
          <w:sz w:val="32"/>
          <w:szCs w:val="32"/>
        </w:rPr>
        <w:t>（款）</w:t>
      </w:r>
      <w:r>
        <w:rPr>
          <w:rFonts w:hint="eastAsia" w:ascii="仿宋" w:hAnsi="仿宋" w:eastAsia="仿宋" w:cs="仿宋"/>
          <w:b/>
          <w:bCs/>
          <w:sz w:val="32"/>
          <w:szCs w:val="32"/>
          <w:lang w:eastAsia="zh-CN"/>
        </w:rPr>
        <w:t>其他应急管理支出</w:t>
      </w:r>
      <w:r>
        <w:rPr>
          <w:rFonts w:hint="eastAsia" w:ascii="仿宋" w:hAnsi="仿宋" w:eastAsia="仿宋" w:cs="仿宋"/>
          <w:b/>
          <w:bCs/>
          <w:sz w:val="32"/>
          <w:szCs w:val="32"/>
        </w:rPr>
        <w:t>（项）：</w:t>
      </w:r>
      <w:r>
        <w:rPr>
          <w:rFonts w:hint="eastAsia" w:ascii="仿宋" w:hAnsi="仿宋" w:eastAsia="仿宋" w:cs="仿宋"/>
          <w:b/>
          <w:bCs/>
          <w:sz w:val="32"/>
          <w:szCs w:val="32"/>
          <w:lang w:eastAsia="zh-CN"/>
        </w:rPr>
        <w:t>反映其他应急管理方面的支出</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w:t>
      </w:r>
      <w:r>
        <w:rPr>
          <w:rFonts w:hint="eastAsia" w:ascii="仿宋" w:hAnsi="仿宋" w:eastAsia="仿宋" w:cs="仿宋"/>
          <w:b/>
          <w:bCs/>
          <w:sz w:val="32"/>
          <w:szCs w:val="32"/>
          <w:lang w:eastAsia="zh-CN"/>
        </w:rPr>
        <w:t>其他支出</w:t>
      </w:r>
      <w:r>
        <w:rPr>
          <w:rFonts w:hint="eastAsia" w:ascii="仿宋" w:hAnsi="仿宋" w:eastAsia="仿宋" w:cs="仿宋"/>
          <w:b/>
          <w:bCs/>
          <w:sz w:val="32"/>
          <w:szCs w:val="32"/>
        </w:rPr>
        <w:t>（类）</w:t>
      </w:r>
      <w:r>
        <w:rPr>
          <w:rFonts w:hint="eastAsia" w:ascii="仿宋" w:hAnsi="仿宋" w:eastAsia="仿宋" w:cs="仿宋"/>
          <w:b/>
          <w:bCs/>
          <w:sz w:val="32"/>
          <w:szCs w:val="32"/>
          <w:lang w:eastAsia="zh-CN"/>
        </w:rPr>
        <w:t>其他支出</w:t>
      </w:r>
      <w:r>
        <w:rPr>
          <w:rFonts w:hint="eastAsia" w:ascii="仿宋" w:hAnsi="仿宋" w:eastAsia="仿宋" w:cs="仿宋"/>
          <w:b/>
          <w:bCs/>
          <w:sz w:val="32"/>
          <w:szCs w:val="32"/>
        </w:rPr>
        <w:t>（款）</w:t>
      </w:r>
      <w:r>
        <w:rPr>
          <w:rFonts w:hint="eastAsia" w:ascii="仿宋" w:hAnsi="仿宋" w:eastAsia="仿宋" w:cs="仿宋"/>
          <w:b/>
          <w:bCs/>
          <w:sz w:val="32"/>
          <w:szCs w:val="32"/>
          <w:lang w:eastAsia="zh-CN"/>
        </w:rPr>
        <w:t>其他支出</w:t>
      </w:r>
      <w:r>
        <w:rPr>
          <w:rFonts w:hint="eastAsia" w:ascii="仿宋" w:hAnsi="仿宋" w:eastAsia="仿宋" w:cs="仿宋"/>
          <w:b/>
          <w:bCs/>
          <w:sz w:val="32"/>
          <w:szCs w:val="32"/>
        </w:rPr>
        <w:t>（项）：</w:t>
      </w:r>
      <w:r>
        <w:rPr>
          <w:rFonts w:hint="eastAsia" w:ascii="仿宋" w:hAnsi="仿宋" w:eastAsia="仿宋" w:cs="仿宋"/>
          <w:b/>
          <w:bCs/>
          <w:sz w:val="32"/>
          <w:szCs w:val="32"/>
          <w:lang w:eastAsia="zh-CN"/>
        </w:rPr>
        <w:t>反映其他不能划分到具体功能科目中的支出项目</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 w:hAnsi="仿宋" w:eastAsia="仿宋" w:cs="仿宋"/>
          <w:b/>
          <w:bCs/>
          <w:sz w:val="32"/>
          <w:szCs w:val="32"/>
        </w:rPr>
      </w:pPr>
    </w:p>
    <w:p>
      <w:pPr>
        <w:pageBreakBefore w:val="0"/>
        <w:kinsoku/>
        <w:wordWrap/>
        <w:overflowPunct/>
        <w:topLinePunct w:val="0"/>
        <w:bidi w:val="0"/>
        <w:adjustRightInd w:val="0"/>
        <w:snapToGrid w:val="0"/>
        <w:spacing w:line="360" w:lineRule="auto"/>
        <w:jc w:val="center"/>
        <w:outlineLvl w:val="0"/>
        <w:rPr>
          <w:rStyle w:val="23"/>
          <w:rFonts w:hint="default" w:ascii="Times New Roman" w:hAnsi="Times New Roman" w:cs="Times New Roman"/>
          <w:b/>
          <w:bCs/>
        </w:rPr>
      </w:pPr>
    </w:p>
    <w:p>
      <w:pPr>
        <w:pageBreakBefore w:val="0"/>
        <w:kinsoku/>
        <w:wordWrap/>
        <w:overflowPunct/>
        <w:topLinePunct w:val="0"/>
        <w:bidi w:val="0"/>
        <w:adjustRightInd w:val="0"/>
        <w:snapToGrid w:val="0"/>
        <w:spacing w:line="360" w:lineRule="auto"/>
        <w:jc w:val="both"/>
        <w:outlineLvl w:val="0"/>
        <w:rPr>
          <w:rStyle w:val="23"/>
          <w:rFonts w:hint="default" w:ascii="Times New Roman" w:hAnsi="Times New Roman" w:cs="Times New Roman"/>
          <w:b/>
          <w:bCs/>
        </w:rPr>
      </w:pPr>
    </w:p>
    <w:p>
      <w:pPr>
        <w:pageBreakBefore w:val="0"/>
        <w:numPr>
          <w:ilvl w:val="0"/>
          <w:numId w:val="10"/>
        </w:numPr>
        <w:kinsoku/>
        <w:wordWrap/>
        <w:overflowPunct/>
        <w:topLinePunct w:val="0"/>
        <w:bidi w:val="0"/>
        <w:adjustRightInd w:val="0"/>
        <w:snapToGrid w:val="0"/>
        <w:spacing w:line="360" w:lineRule="auto"/>
        <w:ind w:firstLine="663" w:firstLineChars="150"/>
        <w:jc w:val="center"/>
        <w:outlineLvl w:val="0"/>
        <w:rPr>
          <w:rStyle w:val="23"/>
          <w:rFonts w:hint="default" w:ascii="Times New Roman" w:hAnsi="Times New Roman" w:eastAsia="黑体" w:cs="Times New Roman"/>
          <w:b/>
          <w:bCs/>
        </w:rPr>
      </w:pPr>
      <w:bookmarkStart w:id="69" w:name="_Toc4508"/>
      <w:r>
        <w:rPr>
          <w:rStyle w:val="23"/>
          <w:rFonts w:hint="eastAsia" w:eastAsia="黑体" w:cs="Times New Roman"/>
          <w:b/>
          <w:bCs/>
          <w:lang w:eastAsia="zh-CN"/>
        </w:rPr>
        <w:t>附件</w:t>
      </w:r>
      <w:bookmarkEnd w:id="69"/>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中共四川省委办公厅关于</w:t>
      </w:r>
      <w:r>
        <w:rPr>
          <w:rFonts w:hint="eastAsia" w:ascii="方正小标宋简体" w:hAnsi="方正小标宋简体" w:eastAsia="方正小标宋简体" w:cs="方正小标宋简体"/>
          <w:b/>
          <w:bCs/>
          <w:sz w:val="44"/>
          <w:szCs w:val="44"/>
          <w:lang w:val="en-US" w:eastAsia="zh-CN"/>
        </w:rPr>
        <w:t>2019</w:t>
      </w:r>
      <w:r>
        <w:rPr>
          <w:rFonts w:hint="default" w:ascii="Times New Roman" w:hAnsi="Times New Roman" w:eastAsia="方正小标宋简体" w:cs="Times New Roman"/>
          <w:b/>
          <w:bCs/>
          <w:sz w:val="44"/>
          <w:szCs w:val="44"/>
          <w:lang w:val="en-US" w:eastAsia="zh-CN"/>
        </w:rPr>
        <w:t>年</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部门整体支出绩效评价的报告</w:t>
      </w:r>
    </w:p>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b/>
          <w:bCs/>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60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根据《财政厅关于开展20</w:t>
      </w:r>
      <w:r>
        <w:rPr>
          <w:rFonts w:hint="eastAsia" w:ascii="仿宋" w:hAnsi="仿宋" w:eastAsia="仿宋" w:cs="仿宋"/>
          <w:b/>
          <w:sz w:val="32"/>
          <w:szCs w:val="32"/>
          <w:lang w:val="en-US" w:eastAsia="zh-CN"/>
        </w:rPr>
        <w:t>20</w:t>
      </w:r>
      <w:r>
        <w:rPr>
          <w:rFonts w:hint="eastAsia" w:ascii="仿宋" w:hAnsi="仿宋" w:eastAsia="仿宋" w:cs="仿宋"/>
          <w:b/>
          <w:sz w:val="32"/>
          <w:szCs w:val="32"/>
        </w:rPr>
        <w:t>年部门整体</w:t>
      </w:r>
      <w:r>
        <w:rPr>
          <w:rFonts w:hint="eastAsia" w:ascii="仿宋" w:hAnsi="仿宋" w:eastAsia="仿宋" w:cs="仿宋"/>
          <w:b/>
          <w:sz w:val="32"/>
          <w:szCs w:val="32"/>
          <w:lang w:eastAsia="zh-CN"/>
        </w:rPr>
        <w:t>支出</w:t>
      </w:r>
      <w:r>
        <w:rPr>
          <w:rFonts w:hint="eastAsia" w:ascii="仿宋" w:hAnsi="仿宋" w:eastAsia="仿宋" w:cs="仿宋"/>
          <w:b/>
          <w:sz w:val="32"/>
          <w:szCs w:val="32"/>
        </w:rPr>
        <w:t>绩效评价工作的通知》（川财绩〔20</w:t>
      </w:r>
      <w:r>
        <w:rPr>
          <w:rFonts w:hint="eastAsia" w:ascii="仿宋" w:hAnsi="仿宋" w:eastAsia="仿宋" w:cs="仿宋"/>
          <w:b/>
          <w:sz w:val="32"/>
          <w:szCs w:val="32"/>
          <w:lang w:val="en-US" w:eastAsia="zh-CN"/>
        </w:rPr>
        <w:t>20</w:t>
      </w:r>
      <w:r>
        <w:rPr>
          <w:rFonts w:hint="eastAsia" w:ascii="仿宋" w:hAnsi="仿宋" w:eastAsia="仿宋" w:cs="仿宋"/>
          <w:b/>
          <w:sz w:val="32"/>
          <w:szCs w:val="32"/>
        </w:rPr>
        <w:t>〕</w:t>
      </w:r>
      <w:r>
        <w:rPr>
          <w:rFonts w:hint="eastAsia" w:ascii="仿宋" w:hAnsi="仿宋" w:eastAsia="仿宋" w:cs="仿宋"/>
          <w:b/>
          <w:sz w:val="32"/>
          <w:szCs w:val="32"/>
          <w:lang w:val="en-US" w:eastAsia="zh-CN"/>
        </w:rPr>
        <w:t>9</w:t>
      </w:r>
      <w:r>
        <w:rPr>
          <w:rFonts w:hint="eastAsia" w:ascii="仿宋" w:hAnsi="仿宋" w:eastAsia="仿宋" w:cs="仿宋"/>
          <w:b/>
          <w:sz w:val="32"/>
          <w:szCs w:val="32"/>
        </w:rPr>
        <w:t>号）要求，我厅</w:t>
      </w:r>
      <w:r>
        <w:rPr>
          <w:rFonts w:hint="eastAsia" w:ascii="仿宋" w:hAnsi="仿宋" w:eastAsia="仿宋" w:cs="仿宋"/>
          <w:b/>
          <w:sz w:val="32"/>
          <w:szCs w:val="32"/>
          <w:lang w:eastAsia="zh-CN"/>
        </w:rPr>
        <w:t>高度重视</w:t>
      </w:r>
      <w:r>
        <w:rPr>
          <w:rFonts w:hint="eastAsia" w:ascii="仿宋" w:hAnsi="仿宋" w:eastAsia="仿宋" w:cs="仿宋"/>
          <w:b/>
          <w:sz w:val="32"/>
          <w:szCs w:val="32"/>
          <w:lang w:val="en-US" w:eastAsia="zh-CN"/>
        </w:rPr>
        <w:t>，</w:t>
      </w:r>
      <w:r>
        <w:rPr>
          <w:rFonts w:hint="eastAsia" w:ascii="仿宋" w:hAnsi="仿宋" w:eastAsia="仿宋" w:cs="仿宋"/>
          <w:b/>
          <w:sz w:val="32"/>
          <w:szCs w:val="32"/>
          <w:lang w:eastAsia="zh-CN"/>
        </w:rPr>
        <w:t>精心组织，全面系统开展了</w:t>
      </w:r>
      <w:r>
        <w:rPr>
          <w:rFonts w:hint="eastAsia" w:ascii="仿宋" w:hAnsi="仿宋" w:eastAsia="仿宋" w:cs="仿宋"/>
          <w:b/>
          <w:sz w:val="32"/>
          <w:szCs w:val="32"/>
          <w:lang w:val="en-US" w:eastAsia="zh-CN"/>
        </w:rPr>
        <w:t>2019年</w:t>
      </w:r>
      <w:r>
        <w:rPr>
          <w:rFonts w:hint="eastAsia" w:ascii="仿宋" w:hAnsi="仿宋" w:eastAsia="仿宋" w:cs="仿宋"/>
          <w:b/>
          <w:sz w:val="32"/>
          <w:szCs w:val="32"/>
          <w:lang w:eastAsia="zh-CN"/>
        </w:rPr>
        <w:t>部门整体支出绩效</w:t>
      </w:r>
      <w:r>
        <w:rPr>
          <w:rFonts w:hint="eastAsia" w:ascii="仿宋" w:hAnsi="仿宋" w:eastAsia="仿宋" w:cs="仿宋"/>
          <w:b/>
          <w:sz w:val="32"/>
          <w:szCs w:val="32"/>
        </w:rPr>
        <w:t>自评工作</w:t>
      </w:r>
      <w:r>
        <w:rPr>
          <w:rFonts w:hint="eastAsia" w:ascii="仿宋" w:hAnsi="仿宋" w:eastAsia="仿宋" w:cs="仿宋"/>
          <w:b/>
          <w:sz w:val="32"/>
          <w:szCs w:val="32"/>
          <w:lang w:val="en-US" w:eastAsia="zh-CN"/>
        </w:rPr>
        <w:t>。</w:t>
      </w:r>
      <w:r>
        <w:rPr>
          <w:rFonts w:hint="eastAsia" w:ascii="仿宋" w:hAnsi="仿宋" w:eastAsia="仿宋" w:cs="仿宋"/>
          <w:b/>
          <w:sz w:val="32"/>
          <w:szCs w:val="32"/>
        </w:rPr>
        <w:t>现</w:t>
      </w:r>
      <w:r>
        <w:rPr>
          <w:rFonts w:hint="eastAsia" w:ascii="仿宋" w:hAnsi="仿宋" w:eastAsia="仿宋" w:cs="仿宋"/>
          <w:b/>
          <w:sz w:val="32"/>
          <w:szCs w:val="32"/>
          <w:lang w:eastAsia="zh-CN"/>
        </w:rPr>
        <w:t>将自评情况</w:t>
      </w:r>
      <w:r>
        <w:rPr>
          <w:rFonts w:hint="eastAsia" w:ascii="仿宋" w:hAnsi="仿宋" w:eastAsia="仿宋" w:cs="仿宋"/>
          <w:b/>
          <w:sz w:val="32"/>
          <w:szCs w:val="32"/>
        </w:rPr>
        <w:t>报告如下：</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hint="eastAsia" w:ascii="黑体" w:hAnsi="黑体" w:eastAsia="黑体" w:cs="黑体"/>
          <w:b/>
          <w:sz w:val="32"/>
          <w:szCs w:val="32"/>
        </w:rPr>
      </w:pPr>
      <w:r>
        <w:rPr>
          <w:rFonts w:hint="eastAsia" w:ascii="黑体" w:hAnsi="黑体" w:eastAsia="黑体" w:cs="黑体"/>
          <w:sz w:val="21"/>
          <w:szCs w:val="21"/>
          <w:lang w:val="en-US" w:eastAsia="zh-CN"/>
        </w:rPr>
        <w:t xml:space="preserve">    </w:t>
      </w:r>
      <w:r>
        <w:rPr>
          <w:rFonts w:hint="eastAsia" w:ascii="黑体" w:hAnsi="黑体" w:eastAsia="黑体" w:cs="黑体"/>
          <w:b/>
          <w:sz w:val="32"/>
          <w:szCs w:val="32"/>
          <w:lang w:eastAsia="zh-CN"/>
        </w:rPr>
        <w:t>一</w:t>
      </w:r>
      <w:r>
        <w:rPr>
          <w:rFonts w:hint="eastAsia" w:ascii="黑体" w:hAnsi="黑体" w:eastAsia="黑体" w:cs="黑体"/>
          <w:b/>
          <w:sz w:val="32"/>
          <w:szCs w:val="32"/>
        </w:rPr>
        <w:t>、部门财政资金收支情况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（一）部门财政资金收入情况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省委办公厅201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w:t>
      </w:r>
      <w:r>
        <w:rPr>
          <w:rFonts w:hint="eastAsia" w:ascii="仿宋" w:hAnsi="仿宋" w:eastAsia="仿宋" w:cs="仿宋"/>
          <w:b/>
          <w:bCs/>
          <w:sz w:val="32"/>
          <w:szCs w:val="32"/>
          <w:lang w:eastAsia="zh-CN"/>
        </w:rPr>
        <w:t>财政拨款</w:t>
      </w:r>
      <w:r>
        <w:rPr>
          <w:rFonts w:hint="eastAsia" w:ascii="仿宋" w:hAnsi="仿宋" w:eastAsia="仿宋" w:cs="仿宋"/>
          <w:b/>
          <w:bCs/>
          <w:sz w:val="32"/>
          <w:szCs w:val="32"/>
        </w:rPr>
        <w:t>收入</w:t>
      </w:r>
      <w:r>
        <w:rPr>
          <w:rFonts w:hint="eastAsia" w:ascii="仿宋" w:hAnsi="仿宋" w:eastAsia="仿宋" w:cs="仿宋"/>
          <w:b/>
          <w:bCs/>
          <w:sz w:val="32"/>
          <w:szCs w:val="32"/>
          <w:lang w:eastAsia="zh-CN"/>
        </w:rPr>
        <w:t>年初预算数为</w:t>
      </w:r>
      <w:r>
        <w:rPr>
          <w:rFonts w:hint="eastAsia" w:ascii="仿宋" w:hAnsi="仿宋" w:eastAsia="仿宋" w:cs="仿宋"/>
          <w:b/>
          <w:bCs/>
          <w:sz w:val="32"/>
          <w:szCs w:val="32"/>
          <w:lang w:val="en-US" w:eastAsia="zh-CN"/>
        </w:rPr>
        <w:t>17407.60</w:t>
      </w:r>
      <w:r>
        <w:rPr>
          <w:rFonts w:hint="eastAsia" w:ascii="仿宋" w:hAnsi="仿宋" w:eastAsia="仿宋" w:cs="仿宋"/>
          <w:b/>
          <w:bCs/>
          <w:sz w:val="32"/>
          <w:szCs w:val="32"/>
        </w:rPr>
        <w:t>万元，与201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年相比，</w:t>
      </w:r>
      <w:r>
        <w:rPr>
          <w:rFonts w:hint="eastAsia" w:ascii="仿宋" w:hAnsi="仿宋" w:eastAsia="仿宋" w:cs="仿宋"/>
          <w:b/>
          <w:bCs/>
          <w:sz w:val="32"/>
          <w:szCs w:val="32"/>
          <w:lang w:eastAsia="zh-CN"/>
        </w:rPr>
        <w:t>减少</w:t>
      </w:r>
      <w:r>
        <w:rPr>
          <w:rFonts w:hint="eastAsia" w:ascii="仿宋" w:hAnsi="仿宋" w:eastAsia="仿宋" w:cs="仿宋"/>
          <w:b/>
          <w:bCs/>
          <w:sz w:val="32"/>
          <w:szCs w:val="32"/>
          <w:lang w:val="en-US" w:eastAsia="zh-CN"/>
        </w:rPr>
        <w:t>480.85万</w:t>
      </w:r>
      <w:r>
        <w:rPr>
          <w:rFonts w:hint="eastAsia" w:ascii="仿宋" w:hAnsi="仿宋" w:eastAsia="仿宋" w:cs="仿宋"/>
          <w:b/>
          <w:bCs/>
          <w:sz w:val="32"/>
          <w:szCs w:val="32"/>
        </w:rPr>
        <w:t>元</w:t>
      </w:r>
      <w:r>
        <w:rPr>
          <w:rFonts w:hint="eastAsia" w:ascii="仿宋" w:hAnsi="仿宋" w:eastAsia="仿宋" w:cs="仿宋"/>
          <w:b/>
          <w:bCs/>
          <w:sz w:val="32"/>
          <w:szCs w:val="32"/>
          <w:lang w:eastAsia="zh-CN"/>
        </w:rPr>
        <w:t>，下降</w:t>
      </w:r>
      <w:r>
        <w:rPr>
          <w:rFonts w:hint="eastAsia" w:ascii="仿宋" w:hAnsi="仿宋" w:eastAsia="仿宋" w:cs="仿宋"/>
          <w:b/>
          <w:bCs/>
          <w:sz w:val="32"/>
          <w:szCs w:val="32"/>
          <w:lang w:val="en-US" w:eastAsia="zh-CN"/>
        </w:rPr>
        <w:t>2.69</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2019年</w:t>
      </w:r>
      <w:r>
        <w:rPr>
          <w:rFonts w:hint="eastAsia" w:ascii="仿宋" w:hAnsi="仿宋" w:eastAsia="仿宋" w:cs="仿宋"/>
          <w:b/>
          <w:bCs/>
          <w:sz w:val="32"/>
          <w:szCs w:val="32"/>
          <w:lang w:eastAsia="zh-CN"/>
        </w:rPr>
        <w:t>财政拨款</w:t>
      </w:r>
      <w:r>
        <w:rPr>
          <w:rFonts w:hint="eastAsia" w:ascii="仿宋" w:hAnsi="仿宋" w:eastAsia="仿宋" w:cs="仿宋"/>
          <w:b/>
          <w:bCs/>
          <w:sz w:val="32"/>
          <w:szCs w:val="32"/>
          <w:lang w:val="en-US" w:eastAsia="zh-CN"/>
        </w:rPr>
        <w:t>收入年末决算数为21118.10万元，与2018年相比，增加929.26万元，增长4.6%，</w:t>
      </w:r>
      <w:r>
        <w:rPr>
          <w:rFonts w:hint="eastAsia" w:ascii="仿宋" w:hAnsi="仿宋" w:eastAsia="仿宋" w:cs="仿宋"/>
          <w:b/>
          <w:bCs/>
          <w:color w:val="auto"/>
          <w:sz w:val="32"/>
          <w:szCs w:val="32"/>
          <w:lang w:val="en-US" w:eastAsia="zh-CN"/>
        </w:rPr>
        <w:t>主要原因是2019年预算执行中追加了一次性基建项目经费。</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（二）部门财政资金支出情况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省委办公厅201</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年</w:t>
      </w:r>
      <w:r>
        <w:rPr>
          <w:rFonts w:hint="eastAsia" w:ascii="仿宋" w:hAnsi="仿宋" w:eastAsia="仿宋" w:cs="仿宋"/>
          <w:b/>
          <w:bCs/>
          <w:sz w:val="32"/>
          <w:szCs w:val="32"/>
          <w:lang w:eastAsia="zh-CN"/>
        </w:rPr>
        <w:t>财政拨款支出年初预算数为</w:t>
      </w:r>
      <w:r>
        <w:rPr>
          <w:rFonts w:hint="eastAsia" w:ascii="仿宋" w:hAnsi="仿宋" w:eastAsia="仿宋" w:cs="仿宋"/>
          <w:b/>
          <w:bCs/>
          <w:sz w:val="32"/>
          <w:szCs w:val="32"/>
          <w:lang w:val="en-US" w:eastAsia="zh-CN"/>
        </w:rPr>
        <w:t>17407.60万</w:t>
      </w:r>
      <w:r>
        <w:rPr>
          <w:rFonts w:hint="eastAsia" w:ascii="仿宋" w:hAnsi="仿宋" w:eastAsia="仿宋" w:cs="仿宋"/>
          <w:b/>
          <w:bCs/>
          <w:sz w:val="32"/>
          <w:szCs w:val="32"/>
        </w:rPr>
        <w:t>元</w:t>
      </w:r>
      <w:r>
        <w:rPr>
          <w:rFonts w:hint="eastAsia" w:ascii="仿宋" w:hAnsi="仿宋" w:eastAsia="仿宋" w:cs="仿宋"/>
          <w:b/>
          <w:bCs/>
          <w:sz w:val="32"/>
          <w:szCs w:val="32"/>
          <w:lang w:eastAsia="zh-CN"/>
        </w:rPr>
        <w:t>，</w:t>
      </w:r>
      <w:r>
        <w:rPr>
          <w:rFonts w:hint="eastAsia" w:ascii="仿宋" w:hAnsi="仿宋" w:eastAsia="仿宋" w:cs="仿宋"/>
          <w:b/>
          <w:bCs/>
          <w:sz w:val="32"/>
          <w:szCs w:val="32"/>
        </w:rPr>
        <w:t>与201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年相比，</w:t>
      </w:r>
      <w:r>
        <w:rPr>
          <w:rFonts w:hint="eastAsia" w:ascii="仿宋" w:hAnsi="仿宋" w:eastAsia="仿宋" w:cs="仿宋"/>
          <w:b/>
          <w:bCs/>
          <w:sz w:val="32"/>
          <w:szCs w:val="32"/>
          <w:lang w:eastAsia="zh-CN"/>
        </w:rPr>
        <w:t>减少</w:t>
      </w:r>
      <w:r>
        <w:rPr>
          <w:rFonts w:hint="eastAsia" w:ascii="仿宋" w:hAnsi="仿宋" w:eastAsia="仿宋" w:cs="仿宋"/>
          <w:b/>
          <w:bCs/>
          <w:sz w:val="32"/>
          <w:szCs w:val="32"/>
          <w:lang w:val="en-US" w:eastAsia="zh-CN"/>
        </w:rPr>
        <w:t>480.85万</w:t>
      </w:r>
      <w:r>
        <w:rPr>
          <w:rFonts w:hint="eastAsia" w:ascii="仿宋" w:hAnsi="仿宋" w:eastAsia="仿宋" w:cs="仿宋"/>
          <w:b/>
          <w:bCs/>
          <w:sz w:val="32"/>
          <w:szCs w:val="32"/>
        </w:rPr>
        <w:t>元</w:t>
      </w:r>
      <w:r>
        <w:rPr>
          <w:rFonts w:hint="eastAsia" w:ascii="仿宋" w:hAnsi="仿宋" w:eastAsia="仿宋" w:cs="仿宋"/>
          <w:b/>
          <w:bCs/>
          <w:sz w:val="32"/>
          <w:szCs w:val="32"/>
          <w:lang w:eastAsia="zh-CN"/>
        </w:rPr>
        <w:t>，下降</w:t>
      </w:r>
      <w:r>
        <w:rPr>
          <w:rFonts w:hint="eastAsia" w:ascii="仿宋" w:hAnsi="仿宋" w:eastAsia="仿宋" w:cs="仿宋"/>
          <w:b/>
          <w:bCs/>
          <w:sz w:val="32"/>
          <w:szCs w:val="32"/>
          <w:lang w:val="en-US" w:eastAsia="zh-CN"/>
        </w:rPr>
        <w:t>2.69</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2019年</w:t>
      </w:r>
      <w:r>
        <w:rPr>
          <w:rFonts w:hint="eastAsia" w:ascii="仿宋" w:hAnsi="仿宋" w:eastAsia="仿宋" w:cs="仿宋"/>
          <w:b/>
          <w:bCs/>
          <w:sz w:val="32"/>
          <w:szCs w:val="32"/>
          <w:lang w:eastAsia="zh-CN"/>
        </w:rPr>
        <w:t>财政拨款支出年末</w:t>
      </w:r>
      <w:r>
        <w:rPr>
          <w:rFonts w:hint="eastAsia" w:ascii="仿宋" w:hAnsi="仿宋" w:eastAsia="仿宋" w:cs="仿宋"/>
          <w:b/>
          <w:bCs/>
          <w:sz w:val="32"/>
          <w:szCs w:val="32"/>
          <w:lang w:val="en-US" w:eastAsia="zh-CN"/>
        </w:rPr>
        <w:t>决算数为21118.10万元，与2018年相比，增加929.26万元，增长4.6%。2019年</w:t>
      </w:r>
      <w:r>
        <w:rPr>
          <w:rFonts w:hint="eastAsia" w:ascii="仿宋" w:hAnsi="仿宋" w:eastAsia="仿宋" w:cs="仿宋"/>
          <w:b/>
          <w:bCs/>
          <w:sz w:val="32"/>
          <w:szCs w:val="32"/>
          <w:lang w:eastAsia="zh-CN"/>
        </w:rPr>
        <w:t>财政拨款</w:t>
      </w:r>
      <w:r>
        <w:rPr>
          <w:rFonts w:hint="eastAsia" w:ascii="仿宋" w:hAnsi="仿宋" w:eastAsia="仿宋" w:cs="仿宋"/>
          <w:b/>
          <w:bCs/>
          <w:sz w:val="32"/>
          <w:szCs w:val="32"/>
          <w:lang w:val="en-US" w:eastAsia="zh-CN"/>
        </w:rPr>
        <w:t>决算支出</w:t>
      </w:r>
      <w:r>
        <w:rPr>
          <w:rFonts w:hint="eastAsia" w:ascii="仿宋" w:hAnsi="仿宋" w:eastAsia="仿宋" w:cs="仿宋"/>
          <w:b/>
          <w:bCs/>
          <w:color w:val="auto"/>
          <w:sz w:val="32"/>
          <w:szCs w:val="32"/>
          <w:lang w:val="en-US" w:eastAsia="zh-CN"/>
        </w:rPr>
        <w:t>中，人员经费支出7459.93万元，占比为35.32%；</w:t>
      </w:r>
      <w:r>
        <w:rPr>
          <w:rFonts w:hint="eastAsia" w:ascii="仿宋" w:hAnsi="仿宋" w:eastAsia="仿宋" w:cs="仿宋"/>
          <w:b/>
          <w:bCs/>
          <w:sz w:val="32"/>
          <w:szCs w:val="32"/>
          <w:lang w:val="en-US" w:eastAsia="zh-CN"/>
        </w:rPr>
        <w:t>日常公用经费支出4754.68万元，占比为22.52%；项目支出8903.49万元，占比为42.16%。</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二、</w:t>
      </w:r>
      <w:r>
        <w:rPr>
          <w:rFonts w:hint="eastAsia" w:ascii="黑体" w:hAnsi="黑体" w:eastAsia="黑体" w:cs="黑体"/>
          <w:b/>
          <w:sz w:val="32"/>
          <w:szCs w:val="32"/>
        </w:rPr>
        <w:t>部门整体预算绩效管理情况</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（一）部门预算管理</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2019年省委办公厅部门整体和项目绩效目标要素完整，绩效指标按要求细化量化，部门整体与项目绩效目标实际实现程度与预期目标相符。部门年初预算编制较为准确，2019年全年预算调剂数为764.23万元，占年初预算数的4.34%。基本支出与项目支出预算控制情况良好，部门日常公用经费、项目支出中“办公费、印刷费、水费、电费、物业管理费”等科目年初预算数与决算数偏差程度在10%以内。积极推进预算绩效运行监控，及时根据监控结果和工作任务变动开展预算动态调整，2019年部门项目支出绩效监控调整取消额为422万元，预算项目结余注销额为944.27万元。2019年6、9、11月预算执行进度分别为38%、67.27%、80%，基本达到预算执行序时进度要求。全年预算总执行率为94%，</w:t>
      </w:r>
      <w:r>
        <w:rPr>
          <w:rStyle w:val="29"/>
          <w:rFonts w:hint="eastAsia" w:ascii="仿宋" w:hAnsi="仿宋" w:eastAsia="仿宋" w:cs="仿宋"/>
          <w:b/>
          <w:bCs/>
          <w:color w:val="auto"/>
          <w:kern w:val="0"/>
          <w:sz w:val="32"/>
          <w:szCs w:val="32"/>
          <w:highlight w:val="none"/>
          <w:u w:val="none" w:color="auto"/>
          <w:shd w:val="clear" w:color="auto" w:fill="auto"/>
          <w:lang w:val="en-US" w:eastAsia="zh-CN" w:bidi="ar"/>
        </w:rPr>
        <w:t>较好地保障了省委和办公厅各项工作顺利开展。</w:t>
      </w:r>
      <w:r>
        <w:rPr>
          <w:rFonts w:hint="eastAsia" w:ascii="仿宋" w:hAnsi="仿宋" w:eastAsia="仿宋" w:cs="仿宋"/>
          <w:b/>
          <w:sz w:val="32"/>
          <w:szCs w:val="32"/>
          <w:lang w:val="en-US" w:eastAsia="zh-CN"/>
        </w:rPr>
        <w:t>2019年部门预算管理合法合规，未出现任何违纪违规问题。</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（二）绩效结果应用</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2019年，按照财政厅的统一部署和要求，省委办公厅组织开展了2018年部门整体支出绩效自评，并选取个别项目开展了项目支出绩效评价，评价结果均按要求及时向社会公开。同时，根据绩效评价结果积极整改问题、完善政策、改进管理。</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zh-CN" w:eastAsia="zh-CN"/>
        </w:rPr>
        <w:t>综合上述情况，根据《</w:t>
      </w:r>
      <w:r>
        <w:rPr>
          <w:rFonts w:hint="eastAsia" w:ascii="仿宋" w:hAnsi="仿宋" w:eastAsia="仿宋" w:cs="仿宋"/>
          <w:b/>
          <w:sz w:val="32"/>
          <w:szCs w:val="32"/>
          <w:lang w:val="en-US" w:eastAsia="zh-CN"/>
        </w:rPr>
        <w:t>2020年省级部门整体支出绩效评价指标体系</w:t>
      </w:r>
      <w:r>
        <w:rPr>
          <w:rFonts w:hint="eastAsia" w:ascii="仿宋" w:hAnsi="仿宋" w:eastAsia="仿宋" w:cs="仿宋"/>
          <w:b/>
          <w:sz w:val="32"/>
          <w:szCs w:val="32"/>
          <w:lang w:val="zh-CN" w:eastAsia="zh-CN"/>
        </w:rPr>
        <w:t>》的评分标准，</w:t>
      </w:r>
      <w:r>
        <w:rPr>
          <w:rFonts w:hint="eastAsia" w:ascii="仿宋" w:hAnsi="仿宋" w:eastAsia="仿宋" w:cs="仿宋"/>
          <w:b/>
          <w:sz w:val="32"/>
          <w:szCs w:val="32"/>
          <w:lang w:val="en-US" w:eastAsia="zh-CN"/>
        </w:rPr>
        <w:t>2019年度省委办公厅部门整体支出绩效评价得分为81.88分（自评满分90分）。</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评价结论及建议</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2" w:leftChars="0"/>
        <w:textAlignment w:val="auto"/>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zh-CN" w:eastAsia="zh-CN"/>
        </w:rPr>
        <w:t>（一）评价结论</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sz w:val="32"/>
          <w:szCs w:val="32"/>
        </w:rPr>
      </w:pPr>
      <w:r>
        <w:rPr>
          <w:rFonts w:hint="eastAsia" w:ascii="仿宋" w:hAnsi="仿宋" w:eastAsia="仿宋" w:cs="仿宋"/>
          <w:b/>
          <w:sz w:val="32"/>
          <w:szCs w:val="32"/>
        </w:rPr>
        <w:t>按照《中共四川省委 四川省人民政府关于全面实施预算绩效管理的实施意见》（川委发〔2019〕8号）要求，2019年我厅将部门预算收支全面纳入绩效管理，以预算资金管理为主线，统筹考虑资产和业务活动，从运行成本、管理效率、履职效能、社会效应、可持续发展能力和服务对象满意度等方面，衡量部门整体及重点项目实施效果，推动提高部门整体绩效水平。一是建立绩效评估机制。认真开展项目事前绩效评估，对新增项目和重点项目的立项必要性、投入经济性、绩效目标合理性、实施方案可行性等方面进行论证，并将评估结果作为申请预算的必要条件。二是加强绩效运行监控。预算执行过程中，严格对项目绩效目标实现程度和预算执行进度实施监控，发现问题及时纠正，确保项目绩效目标如期保质保量实现。三是深入开展绩效评价。积极完善绩效自评体系，落实</w:t>
      </w:r>
      <w:r>
        <w:rPr>
          <w:rFonts w:hint="eastAsia" w:ascii="仿宋" w:hAnsi="仿宋" w:eastAsia="仿宋" w:cs="仿宋"/>
          <w:b/>
          <w:sz w:val="32"/>
          <w:szCs w:val="32"/>
          <w:lang w:eastAsia="zh-CN"/>
        </w:rPr>
        <w:t>项目实施机构</w:t>
      </w:r>
      <w:r>
        <w:rPr>
          <w:rFonts w:hint="eastAsia" w:ascii="仿宋" w:hAnsi="仿宋" w:eastAsia="仿宋" w:cs="仿宋"/>
          <w:b/>
          <w:sz w:val="32"/>
          <w:szCs w:val="32"/>
        </w:rPr>
        <w:t>绩效评价主体责任，对预算执行情况和项目实施效果开展绩效自评。四是强化评价结果应用。建立健全绩效评价结果反馈制度和绩效问题整改责任制，将评价结果用于调整预算安排方式、增减预算规模和优化支出结构，并作为改进业务管理、财务管理的重要参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color w:val="auto"/>
          <w:sz w:val="32"/>
          <w:szCs w:val="32"/>
          <w:lang w:val="zh-CN" w:eastAsia="zh-CN"/>
        </w:rPr>
      </w:pPr>
      <w:r>
        <w:rPr>
          <w:rFonts w:hint="eastAsia" w:ascii="楷体" w:hAnsi="楷体" w:eastAsia="楷体" w:cs="楷体"/>
          <w:b/>
          <w:sz w:val="32"/>
          <w:szCs w:val="32"/>
          <w:lang w:eastAsia="zh-CN"/>
        </w:rPr>
        <w:t>（二）</w:t>
      </w:r>
      <w:r>
        <w:rPr>
          <w:rFonts w:hint="eastAsia" w:ascii="楷体" w:hAnsi="楷体" w:eastAsia="楷体" w:cs="楷体"/>
          <w:b/>
          <w:bCs/>
          <w:color w:val="auto"/>
          <w:sz w:val="32"/>
          <w:szCs w:val="32"/>
          <w:lang w:val="zh-CN" w:eastAsia="zh-CN"/>
        </w:rPr>
        <w:t>存在问题</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从自评结果看，我厅在预算整体执行进度的把控、预算执行过程中的调剂、项目绩效目标的完成等方面还需进一步加强，主要原因在于我厅承担服务省委、服务部门、服务基层的重要职能，常遇突发事件和紧急重要事项，年初精确预算的难度较大，在预算执行过程中，因工作事项调整等原因，个别专项经费很难实现全年均衡支出</w:t>
      </w:r>
      <w:r>
        <w:rPr>
          <w:rFonts w:hint="eastAsia" w:ascii="仿宋" w:hAnsi="仿宋" w:eastAsia="仿宋" w:cs="仿宋"/>
          <w:b/>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2" w:leftChars="0"/>
        <w:textAlignment w:val="auto"/>
        <w:rPr>
          <w:rFonts w:hint="eastAsia" w:ascii="楷体" w:hAnsi="楷体" w:eastAsia="楷体" w:cs="楷体"/>
          <w:b/>
          <w:bCs/>
          <w:color w:val="auto"/>
          <w:sz w:val="32"/>
          <w:szCs w:val="32"/>
          <w:lang w:val="zh-CN" w:eastAsia="zh-CN"/>
        </w:rPr>
      </w:pPr>
      <w:r>
        <w:rPr>
          <w:rFonts w:hint="eastAsia" w:ascii="楷体" w:hAnsi="楷体" w:eastAsia="楷体" w:cs="楷体"/>
          <w:b/>
          <w:bCs/>
          <w:color w:val="auto"/>
          <w:sz w:val="32"/>
          <w:szCs w:val="32"/>
          <w:lang w:val="zh-CN" w:eastAsia="zh-CN"/>
        </w:rPr>
        <w:t>（三）改进建议</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是进一步细化预算编制。我厅将进一步精细化预算编制工作，提高预测分析能力、资金使用效率，减少预算调整和结余结转。进一步提高预算编制的科学性、合理性、完整性，提高单位预算执行力度，在提升预算管理上持续用力、久久为功。</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是针对具体项目，探索完善更科学更精准的绩效评价策略。在预算编制前期，组织各局室处和二级预算单位，根据工作任务和以前年度绩效情况，进一步细化指标体系，优化目标设置，以此不断夯实预算绩效管理基础，推动项目绩效管理水平提升。</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三是继续健全完善部门预算绩效管理体系。在2020年工作中，进一步修订完善预算绩效目标管理办法，把握预算编制与预算执行两个重要节点，将绩效目标编制、绩效运行监控、绩效评价与结果</w:t>
      </w:r>
      <w:r>
        <w:rPr>
          <w:rFonts w:hint="eastAsia" w:ascii="仿宋" w:hAnsi="仿宋" w:eastAsia="仿宋" w:cs="仿宋"/>
          <w:b/>
          <w:sz w:val="32"/>
          <w:szCs w:val="32"/>
          <w:lang w:eastAsia="zh-CN"/>
        </w:rPr>
        <w:t>应</w:t>
      </w:r>
      <w:r>
        <w:rPr>
          <w:rFonts w:hint="eastAsia" w:ascii="仿宋" w:hAnsi="仿宋" w:eastAsia="仿宋" w:cs="仿宋"/>
          <w:b/>
          <w:sz w:val="32"/>
          <w:szCs w:val="32"/>
        </w:rPr>
        <w:t>用全流程纳入部门预算管理，推动绩效管理与预算管理的深度融合。</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color w:val="000000"/>
          <w:kern w:val="0"/>
          <w:sz w:val="32"/>
          <w:szCs w:val="32"/>
          <w:lang w:eastAsia="zh-CN"/>
        </w:rPr>
      </w:pPr>
      <w:r>
        <w:rPr>
          <w:rFonts w:hint="eastAsia" w:ascii="仿宋" w:hAnsi="仿宋" w:eastAsia="仿宋" w:cs="仿宋"/>
          <w:b/>
          <w:sz w:val="32"/>
          <w:szCs w:val="32"/>
        </w:rPr>
        <w:t>四是加强绩效管理业务培训。针对这方面的短板不足，</w:t>
      </w:r>
      <w:r>
        <w:rPr>
          <w:rFonts w:hint="eastAsia" w:ascii="仿宋" w:hAnsi="仿宋" w:eastAsia="仿宋" w:cs="仿宋"/>
          <w:b/>
          <w:sz w:val="32"/>
          <w:szCs w:val="32"/>
          <w:lang w:eastAsia="zh-CN"/>
        </w:rPr>
        <w:t>我厅</w:t>
      </w:r>
      <w:r>
        <w:rPr>
          <w:rFonts w:hint="eastAsia" w:ascii="仿宋" w:hAnsi="仿宋" w:eastAsia="仿宋" w:cs="仿宋"/>
          <w:b/>
          <w:sz w:val="32"/>
          <w:szCs w:val="32"/>
        </w:rPr>
        <w:t>将积极联系财政厅绩效管理相关处室，结合</w:t>
      </w:r>
      <w:r>
        <w:rPr>
          <w:rFonts w:hint="eastAsia" w:ascii="仿宋" w:hAnsi="仿宋" w:eastAsia="仿宋" w:cs="仿宋"/>
          <w:b/>
          <w:sz w:val="32"/>
          <w:szCs w:val="32"/>
          <w:lang w:eastAsia="zh-CN"/>
        </w:rPr>
        <w:t>绩效管理实际</w:t>
      </w:r>
      <w:r>
        <w:rPr>
          <w:rFonts w:hint="eastAsia" w:ascii="仿宋" w:hAnsi="仿宋" w:eastAsia="仿宋" w:cs="仿宋"/>
          <w:b/>
          <w:sz w:val="32"/>
          <w:szCs w:val="32"/>
        </w:rPr>
        <w:t>开展针对性的业务培训，同时加强对所属二级预算单位的指导，不断提升部门预算绩效管理水平。</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方正仿宋简体" w:cs="Times New Roman"/>
          <w:b/>
          <w:color w:val="000000"/>
          <w:kern w:val="0"/>
          <w:sz w:val="32"/>
          <w:szCs w:val="32"/>
          <w:lang w:eastAsia="zh-CN"/>
        </w:rPr>
        <w:sectPr>
          <w:footerReference r:id="rId7" w:type="default"/>
          <w:pgSz w:w="11906" w:h="16838"/>
          <w:pgMar w:top="1440" w:right="1800" w:bottom="1440" w:left="1800" w:header="851" w:footer="992" w:gutter="0"/>
          <w:pgNumType w:start="1"/>
          <w:cols w:space="425" w:num="1"/>
          <w:docGrid w:type="lines" w:linePitch="312" w:charSpace="0"/>
        </w:sectPr>
      </w:pPr>
    </w:p>
    <w:p>
      <w:pPr>
        <w:pageBreakBefore w:val="0"/>
        <w:widowControl w:val="0"/>
        <w:kinsoku/>
        <w:wordWrap/>
        <w:overflowPunct/>
        <w:topLinePunct w:val="0"/>
        <w:autoSpaceDE/>
        <w:autoSpaceDN/>
        <w:bidi w:val="0"/>
        <w:adjustRightInd w:val="0"/>
        <w:snapToGrid w:val="0"/>
        <w:spacing w:line="600" w:lineRule="exact"/>
        <w:jc w:val="center"/>
        <w:textAlignment w:val="auto"/>
        <w:outlineLvl w:val="0"/>
        <w:rPr>
          <w:rStyle w:val="23"/>
          <w:rFonts w:hint="default" w:ascii="Times New Roman" w:hAnsi="Times New Roman" w:eastAsia="黑体" w:cs="Times New Roman"/>
          <w:b/>
          <w:bCs/>
        </w:rPr>
      </w:pPr>
      <w:bookmarkStart w:id="70" w:name="_Toc22133"/>
      <w:r>
        <w:rPr>
          <w:rFonts w:hint="default" w:ascii="Times New Roman" w:hAnsi="Times New Roman" w:eastAsia="黑体" w:cs="Times New Roman"/>
          <w:b/>
          <w:bCs/>
          <w:color w:val="000000"/>
          <w:sz w:val="44"/>
          <w:szCs w:val="44"/>
        </w:rPr>
        <w:t>第</w:t>
      </w:r>
      <w:r>
        <w:rPr>
          <w:rStyle w:val="23"/>
          <w:rFonts w:hint="default" w:ascii="Times New Roman" w:hAnsi="Times New Roman" w:eastAsia="黑体" w:cs="Times New Roman"/>
          <w:b/>
          <w:bCs/>
        </w:rPr>
        <w:t>五部分 附表</w:t>
      </w:r>
      <w:bookmarkEnd w:id="68"/>
      <w:bookmarkEnd w:id="70"/>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1" w:name="_Toc27919"/>
      <w:r>
        <w:rPr>
          <w:rFonts w:hint="eastAsia" w:ascii="仿宋" w:hAnsi="仿宋" w:eastAsia="仿宋" w:cs="仿宋"/>
          <w:b/>
          <w:bCs/>
          <w:color w:val="000000"/>
        </w:rPr>
        <w:t>一、收</w:t>
      </w:r>
      <w:r>
        <w:rPr>
          <w:rStyle w:val="24"/>
          <w:rFonts w:hint="eastAsia" w:ascii="仿宋" w:hAnsi="仿宋" w:eastAsia="仿宋" w:cs="仿宋"/>
          <w:b/>
          <w:bCs/>
        </w:rPr>
        <w:t>入支出决算总表</w:t>
      </w:r>
      <w:bookmarkEnd w:id="71"/>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2" w:name="_Toc5888"/>
      <w:r>
        <w:rPr>
          <w:rFonts w:hint="eastAsia" w:ascii="仿宋" w:hAnsi="仿宋" w:eastAsia="仿宋" w:cs="仿宋"/>
          <w:b/>
          <w:bCs/>
          <w:color w:val="000000"/>
        </w:rPr>
        <w:t>二、收</w:t>
      </w:r>
      <w:r>
        <w:rPr>
          <w:rStyle w:val="24"/>
          <w:rFonts w:hint="eastAsia" w:ascii="仿宋" w:hAnsi="仿宋" w:eastAsia="仿宋" w:cs="仿宋"/>
          <w:b/>
          <w:bCs/>
        </w:rPr>
        <w:t>入</w:t>
      </w:r>
      <w:r>
        <w:rPr>
          <w:rStyle w:val="24"/>
          <w:rFonts w:hint="eastAsia" w:ascii="仿宋" w:hAnsi="仿宋" w:eastAsia="仿宋" w:cs="仿宋"/>
          <w:b/>
          <w:bCs/>
          <w:lang w:eastAsia="zh-CN"/>
        </w:rPr>
        <w:t>决算</w:t>
      </w:r>
      <w:r>
        <w:rPr>
          <w:rStyle w:val="24"/>
          <w:rFonts w:hint="eastAsia" w:ascii="仿宋" w:hAnsi="仿宋" w:eastAsia="仿宋" w:cs="仿宋"/>
          <w:b/>
          <w:bCs/>
        </w:rPr>
        <w:t>表</w:t>
      </w:r>
      <w:bookmarkEnd w:id="72"/>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3" w:name="_Toc14432"/>
      <w:r>
        <w:rPr>
          <w:rStyle w:val="24"/>
          <w:rFonts w:hint="eastAsia" w:ascii="仿宋" w:hAnsi="仿宋" w:eastAsia="仿宋" w:cs="仿宋"/>
          <w:b/>
          <w:bCs/>
        </w:rPr>
        <w:t>三、</w:t>
      </w:r>
      <w:r>
        <w:rPr>
          <w:rFonts w:hint="eastAsia" w:ascii="仿宋" w:hAnsi="仿宋" w:eastAsia="仿宋" w:cs="仿宋"/>
          <w:b/>
          <w:bCs/>
          <w:color w:val="000000"/>
        </w:rPr>
        <w:t>支</w:t>
      </w:r>
      <w:r>
        <w:rPr>
          <w:rStyle w:val="24"/>
          <w:rFonts w:hint="eastAsia" w:ascii="仿宋" w:hAnsi="仿宋" w:eastAsia="仿宋" w:cs="仿宋"/>
          <w:b/>
          <w:bCs/>
        </w:rPr>
        <w:t>出</w:t>
      </w:r>
      <w:r>
        <w:rPr>
          <w:rStyle w:val="24"/>
          <w:rFonts w:hint="eastAsia" w:ascii="仿宋" w:hAnsi="仿宋" w:eastAsia="仿宋" w:cs="仿宋"/>
          <w:b/>
          <w:bCs/>
          <w:lang w:eastAsia="zh-CN"/>
        </w:rPr>
        <w:t>决算</w:t>
      </w:r>
      <w:r>
        <w:rPr>
          <w:rStyle w:val="24"/>
          <w:rFonts w:hint="eastAsia" w:ascii="仿宋" w:hAnsi="仿宋" w:eastAsia="仿宋" w:cs="仿宋"/>
          <w:b/>
          <w:bCs/>
        </w:rPr>
        <w:t>表</w:t>
      </w:r>
      <w:bookmarkEnd w:id="73"/>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4" w:name="_Toc32089"/>
      <w:r>
        <w:rPr>
          <w:rStyle w:val="24"/>
          <w:rFonts w:hint="eastAsia" w:ascii="仿宋" w:hAnsi="仿宋" w:eastAsia="仿宋" w:cs="仿宋"/>
          <w:b/>
          <w:bCs/>
        </w:rPr>
        <w:t>四、</w:t>
      </w:r>
      <w:r>
        <w:rPr>
          <w:rFonts w:hint="eastAsia" w:ascii="仿宋" w:hAnsi="仿宋" w:eastAsia="仿宋" w:cs="仿宋"/>
          <w:b/>
          <w:bCs/>
          <w:color w:val="000000"/>
        </w:rPr>
        <w:t>财</w:t>
      </w:r>
      <w:r>
        <w:rPr>
          <w:rStyle w:val="24"/>
          <w:rFonts w:hint="eastAsia" w:ascii="仿宋" w:hAnsi="仿宋" w:eastAsia="仿宋" w:cs="仿宋"/>
          <w:b/>
          <w:bCs/>
        </w:rPr>
        <w:t>政拨款收入支出决算总表</w:t>
      </w:r>
      <w:bookmarkEnd w:id="74"/>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5" w:name="_Toc24337"/>
      <w:r>
        <w:rPr>
          <w:rStyle w:val="24"/>
          <w:rFonts w:hint="eastAsia" w:ascii="仿宋" w:hAnsi="仿宋" w:eastAsia="仿宋" w:cs="仿宋"/>
          <w:b/>
          <w:bCs/>
        </w:rPr>
        <w:t>五、</w:t>
      </w:r>
      <w:r>
        <w:rPr>
          <w:rFonts w:hint="eastAsia" w:ascii="仿宋" w:hAnsi="仿宋" w:eastAsia="仿宋" w:cs="仿宋"/>
          <w:b/>
          <w:bCs/>
          <w:color w:val="000000"/>
        </w:rPr>
        <w:t>财</w:t>
      </w:r>
      <w:r>
        <w:rPr>
          <w:rStyle w:val="24"/>
          <w:rFonts w:hint="eastAsia" w:ascii="仿宋" w:hAnsi="仿宋" w:eastAsia="仿宋" w:cs="仿宋"/>
          <w:b/>
          <w:bCs/>
        </w:rPr>
        <w:t>政拨款支出决算明细表</w:t>
      </w:r>
      <w:bookmarkEnd w:id="75"/>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6" w:name="_Toc25652"/>
      <w:r>
        <w:rPr>
          <w:rStyle w:val="24"/>
          <w:rFonts w:hint="eastAsia" w:ascii="仿宋" w:hAnsi="仿宋" w:eastAsia="仿宋" w:cs="仿宋"/>
          <w:b/>
          <w:bCs/>
        </w:rPr>
        <w:t>六、</w:t>
      </w:r>
      <w:r>
        <w:rPr>
          <w:rFonts w:hint="eastAsia" w:ascii="仿宋" w:hAnsi="仿宋" w:eastAsia="仿宋" w:cs="仿宋"/>
          <w:b/>
          <w:bCs/>
          <w:color w:val="000000"/>
        </w:rPr>
        <w:t>一</w:t>
      </w:r>
      <w:r>
        <w:rPr>
          <w:rStyle w:val="24"/>
          <w:rFonts w:hint="eastAsia" w:ascii="仿宋" w:hAnsi="仿宋" w:eastAsia="仿宋" w:cs="仿宋"/>
          <w:b/>
          <w:bCs/>
        </w:rPr>
        <w:t>般公共预算财政拨款支出决算表</w:t>
      </w:r>
      <w:bookmarkEnd w:id="76"/>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7" w:name="_Toc24920"/>
      <w:r>
        <w:rPr>
          <w:rStyle w:val="24"/>
          <w:rFonts w:hint="eastAsia" w:ascii="仿宋" w:hAnsi="仿宋" w:eastAsia="仿宋" w:cs="仿宋"/>
          <w:b/>
          <w:bCs/>
        </w:rPr>
        <w:t>七、</w:t>
      </w:r>
      <w:r>
        <w:rPr>
          <w:rFonts w:hint="eastAsia" w:ascii="仿宋" w:hAnsi="仿宋" w:eastAsia="仿宋" w:cs="仿宋"/>
          <w:b/>
          <w:bCs/>
          <w:color w:val="000000"/>
        </w:rPr>
        <w:t>一</w:t>
      </w:r>
      <w:r>
        <w:rPr>
          <w:rStyle w:val="24"/>
          <w:rFonts w:hint="eastAsia" w:ascii="仿宋" w:hAnsi="仿宋" w:eastAsia="仿宋" w:cs="仿宋"/>
          <w:b/>
          <w:bCs/>
        </w:rPr>
        <w:t>般公共预算财政拨款支出决算明细表</w:t>
      </w:r>
      <w:bookmarkEnd w:id="77"/>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8" w:name="_Toc25080"/>
      <w:r>
        <w:rPr>
          <w:rStyle w:val="24"/>
          <w:rFonts w:hint="eastAsia" w:ascii="仿宋" w:hAnsi="仿宋" w:eastAsia="仿宋" w:cs="仿宋"/>
          <w:b/>
          <w:bCs/>
        </w:rPr>
        <w:t>八、</w:t>
      </w:r>
      <w:r>
        <w:rPr>
          <w:rFonts w:hint="eastAsia" w:ascii="仿宋" w:hAnsi="仿宋" w:eastAsia="仿宋" w:cs="仿宋"/>
          <w:b/>
          <w:bCs/>
          <w:color w:val="000000"/>
        </w:rPr>
        <w:t>一</w:t>
      </w:r>
      <w:r>
        <w:rPr>
          <w:rStyle w:val="24"/>
          <w:rFonts w:hint="eastAsia" w:ascii="仿宋" w:hAnsi="仿宋" w:eastAsia="仿宋" w:cs="仿宋"/>
          <w:b/>
          <w:bCs/>
        </w:rPr>
        <w:t>般公共预算财政拨款基本支出决算表</w:t>
      </w:r>
      <w:bookmarkEnd w:id="78"/>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79" w:name="_Toc24289"/>
      <w:r>
        <w:rPr>
          <w:rStyle w:val="24"/>
          <w:rFonts w:hint="eastAsia" w:ascii="仿宋" w:hAnsi="仿宋" w:eastAsia="仿宋" w:cs="仿宋"/>
          <w:b/>
          <w:bCs/>
        </w:rPr>
        <w:t>九、</w:t>
      </w:r>
      <w:r>
        <w:rPr>
          <w:rFonts w:hint="eastAsia" w:ascii="仿宋" w:hAnsi="仿宋" w:eastAsia="仿宋" w:cs="仿宋"/>
          <w:b/>
          <w:bCs/>
          <w:color w:val="000000"/>
        </w:rPr>
        <w:t>一</w:t>
      </w:r>
      <w:r>
        <w:rPr>
          <w:rStyle w:val="24"/>
          <w:rFonts w:hint="eastAsia" w:ascii="仿宋" w:hAnsi="仿宋" w:eastAsia="仿宋" w:cs="仿宋"/>
          <w:b/>
          <w:bCs/>
        </w:rPr>
        <w:t>般公共预算财政拨款项目支出决算表</w:t>
      </w:r>
      <w:bookmarkEnd w:id="79"/>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80" w:name="_Toc30460"/>
      <w:r>
        <w:rPr>
          <w:rStyle w:val="24"/>
          <w:rFonts w:hint="eastAsia" w:ascii="仿宋" w:hAnsi="仿宋" w:eastAsia="仿宋" w:cs="仿宋"/>
          <w:b/>
          <w:bCs/>
        </w:rPr>
        <w:t>十、</w:t>
      </w:r>
      <w:r>
        <w:rPr>
          <w:rFonts w:hint="eastAsia" w:ascii="仿宋" w:hAnsi="仿宋" w:eastAsia="仿宋" w:cs="仿宋"/>
          <w:b/>
          <w:bCs/>
          <w:color w:val="000000"/>
        </w:rPr>
        <w:t>一</w:t>
      </w:r>
      <w:r>
        <w:rPr>
          <w:rStyle w:val="24"/>
          <w:rFonts w:hint="eastAsia" w:ascii="仿宋" w:hAnsi="仿宋" w:eastAsia="仿宋" w:cs="仿宋"/>
          <w:b/>
          <w:bCs/>
        </w:rPr>
        <w:t>般公共预算财政拨款“三公”经费支出决算表</w:t>
      </w:r>
      <w:bookmarkEnd w:id="80"/>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81" w:name="_Toc8348"/>
      <w:r>
        <w:rPr>
          <w:rStyle w:val="24"/>
          <w:rFonts w:hint="eastAsia" w:ascii="仿宋" w:hAnsi="仿宋" w:eastAsia="仿宋" w:cs="仿宋"/>
          <w:b/>
          <w:bCs/>
        </w:rPr>
        <w:t>十一、</w:t>
      </w:r>
      <w:r>
        <w:rPr>
          <w:rFonts w:hint="eastAsia" w:ascii="仿宋" w:hAnsi="仿宋" w:eastAsia="仿宋" w:cs="仿宋"/>
          <w:b/>
          <w:bCs/>
          <w:color w:val="000000"/>
        </w:rPr>
        <w:t>政</w:t>
      </w:r>
      <w:r>
        <w:rPr>
          <w:rStyle w:val="24"/>
          <w:rFonts w:hint="eastAsia" w:ascii="仿宋" w:hAnsi="仿宋" w:eastAsia="仿宋" w:cs="仿宋"/>
          <w:b/>
          <w:bCs/>
        </w:rPr>
        <w:t>府性基金预算财政拨款收入支出决算表</w:t>
      </w:r>
      <w:bookmarkEnd w:id="81"/>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rPr>
      </w:pPr>
      <w:bookmarkStart w:id="82" w:name="_Toc12951"/>
      <w:r>
        <w:rPr>
          <w:rStyle w:val="24"/>
          <w:rFonts w:hint="eastAsia" w:ascii="仿宋" w:hAnsi="仿宋" w:eastAsia="仿宋" w:cs="仿宋"/>
          <w:b/>
          <w:bCs/>
        </w:rPr>
        <w:t>十二、</w:t>
      </w:r>
      <w:r>
        <w:rPr>
          <w:rFonts w:hint="eastAsia" w:ascii="仿宋" w:hAnsi="仿宋" w:eastAsia="仿宋" w:cs="仿宋"/>
          <w:b/>
          <w:bCs/>
          <w:color w:val="000000"/>
        </w:rPr>
        <w:t>政</w:t>
      </w:r>
      <w:r>
        <w:rPr>
          <w:rStyle w:val="24"/>
          <w:rFonts w:hint="eastAsia" w:ascii="仿宋" w:hAnsi="仿宋" w:eastAsia="仿宋" w:cs="仿宋"/>
          <w:b/>
          <w:bCs/>
        </w:rPr>
        <w:t>府性基金预算财政拨款“三公”经费支出决算表</w:t>
      </w:r>
      <w:bookmarkEnd w:id="82"/>
    </w:p>
    <w:p>
      <w:pPr>
        <w:pStyle w:val="3"/>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
          <w:bCs/>
          <w:color w:val="000000" w:themeColor="text1"/>
          <w14:textFill>
            <w14:solidFill>
              <w14:schemeClr w14:val="tx1"/>
            </w14:solidFill>
          </w14:textFill>
        </w:rPr>
      </w:pPr>
      <w:bookmarkStart w:id="83" w:name="_Toc25090"/>
      <w:r>
        <w:rPr>
          <w:rStyle w:val="24"/>
          <w:rFonts w:hint="eastAsia" w:ascii="仿宋" w:hAnsi="仿宋" w:eastAsia="仿宋" w:cs="仿宋"/>
          <w:b/>
          <w:bCs/>
        </w:rPr>
        <w:t>十三、</w:t>
      </w:r>
      <w:r>
        <w:rPr>
          <w:rFonts w:hint="eastAsia" w:ascii="仿宋" w:hAnsi="仿宋" w:eastAsia="仿宋" w:cs="仿宋"/>
          <w:b/>
          <w:bCs/>
          <w:color w:val="000000"/>
        </w:rPr>
        <w:t>国</w:t>
      </w:r>
      <w:r>
        <w:rPr>
          <w:rStyle w:val="24"/>
          <w:rFonts w:hint="eastAsia" w:ascii="仿宋" w:hAnsi="仿宋" w:eastAsia="仿宋" w:cs="仿宋"/>
          <w:b/>
          <w:bCs/>
        </w:rPr>
        <w:t>有资本经营预算支出决算表</w:t>
      </w:r>
      <w:bookmarkEnd w:id="83"/>
    </w:p>
    <w:sectPr>
      <w:footerReference r:id="rId9" w:type="first"/>
      <w:footerReference r:id="rId8"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sdt>
                    <w:sdtPr>
                      <w:id w:val="-1994781956"/>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7"/>
      <w:tabs>
        <w:tab w:val="clear" w:pos="4153"/>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sdt>
                    <w:sdtPr>
                      <w:id w:val="-1994781956"/>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8D616"/>
    <w:multiLevelType w:val="singleLevel"/>
    <w:tmpl w:val="8808D616"/>
    <w:lvl w:ilvl="0" w:tentative="0">
      <w:start w:val="5"/>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F09ACF31"/>
    <w:multiLevelType w:val="singleLevel"/>
    <w:tmpl w:val="F09ACF31"/>
    <w:lvl w:ilvl="0" w:tentative="0">
      <w:start w:val="1"/>
      <w:numFmt w:val="decimal"/>
      <w:suff w:val="space"/>
      <w:lvlText w:val="%1."/>
      <w:lvlJc w:val="left"/>
    </w:lvl>
  </w:abstractNum>
  <w:abstractNum w:abstractNumId="5">
    <w:nsid w:val="FBCB5F45"/>
    <w:multiLevelType w:val="singleLevel"/>
    <w:tmpl w:val="FBCB5F45"/>
    <w:lvl w:ilvl="0" w:tentative="0">
      <w:start w:val="1"/>
      <w:numFmt w:val="decimal"/>
      <w:lvlText w:val="%1."/>
      <w:lvlJc w:val="left"/>
      <w:pPr>
        <w:tabs>
          <w:tab w:val="left" w:pos="312"/>
        </w:tabs>
      </w:pPr>
    </w:lvl>
  </w:abstractNum>
  <w:abstractNum w:abstractNumId="6">
    <w:nsid w:val="09ECF7C4"/>
    <w:multiLevelType w:val="singleLevel"/>
    <w:tmpl w:val="09ECF7C4"/>
    <w:lvl w:ilvl="0" w:tentative="0">
      <w:start w:val="1"/>
      <w:numFmt w:val="decimal"/>
      <w:suff w:val="space"/>
      <w:lvlText w:val="%1."/>
      <w:lvlJc w:val="left"/>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9">
    <w:nsid w:val="1B4BCB90"/>
    <w:multiLevelType w:val="singleLevel"/>
    <w:tmpl w:val="1B4BCB90"/>
    <w:lvl w:ilvl="0" w:tentative="0">
      <w:start w:val="1"/>
      <w:numFmt w:val="decimal"/>
      <w:suff w:val="space"/>
      <w:lvlText w:val="%1."/>
      <w:lvlJc w:val="left"/>
    </w:lvl>
  </w:abstractNum>
  <w:num w:numId="1">
    <w:abstractNumId w:val="7"/>
  </w:num>
  <w:num w:numId="2">
    <w:abstractNumId w:val="5"/>
  </w:num>
  <w:num w:numId="3">
    <w:abstractNumId w:val="4"/>
  </w:num>
  <w:num w:numId="4">
    <w:abstractNumId w:val="9"/>
  </w:num>
  <w:num w:numId="5">
    <w:abstractNumId w:val="1"/>
  </w:num>
  <w:num w:numId="6">
    <w:abstractNumId w:val="8"/>
  </w:num>
  <w:num w:numId="7">
    <w:abstractNumId w:val="3"/>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8486E"/>
    <w:rsid w:val="005B7FE4"/>
    <w:rsid w:val="005D1C8B"/>
    <w:rsid w:val="005D5CED"/>
    <w:rsid w:val="005F1A4C"/>
    <w:rsid w:val="00605688"/>
    <w:rsid w:val="006070AF"/>
    <w:rsid w:val="00607E6C"/>
    <w:rsid w:val="006101B1"/>
    <w:rsid w:val="00622830"/>
    <w:rsid w:val="00630AEF"/>
    <w:rsid w:val="006325F8"/>
    <w:rsid w:val="00634C9A"/>
    <w:rsid w:val="006440E4"/>
    <w:rsid w:val="0066343B"/>
    <w:rsid w:val="006748A4"/>
    <w:rsid w:val="00683E73"/>
    <w:rsid w:val="006A3141"/>
    <w:rsid w:val="006A5E34"/>
    <w:rsid w:val="006B2422"/>
    <w:rsid w:val="006B2B9A"/>
    <w:rsid w:val="006C1937"/>
    <w:rsid w:val="006F020C"/>
    <w:rsid w:val="007127B7"/>
    <w:rsid w:val="007416B6"/>
    <w:rsid w:val="00746F48"/>
    <w:rsid w:val="0075404D"/>
    <w:rsid w:val="0076182A"/>
    <w:rsid w:val="00766A53"/>
    <w:rsid w:val="00767B7E"/>
    <w:rsid w:val="007770C3"/>
    <w:rsid w:val="00784D24"/>
    <w:rsid w:val="00785FBA"/>
    <w:rsid w:val="00786E4A"/>
    <w:rsid w:val="007875EB"/>
    <w:rsid w:val="0079426B"/>
    <w:rsid w:val="007C6106"/>
    <w:rsid w:val="007D3F19"/>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968E7"/>
    <w:rsid w:val="009B2C43"/>
    <w:rsid w:val="009B4EAE"/>
    <w:rsid w:val="009B7573"/>
    <w:rsid w:val="009C22F4"/>
    <w:rsid w:val="009C2E98"/>
    <w:rsid w:val="009D3447"/>
    <w:rsid w:val="009D4711"/>
    <w:rsid w:val="009F1185"/>
    <w:rsid w:val="009F18CD"/>
    <w:rsid w:val="009F2A13"/>
    <w:rsid w:val="00A04EB0"/>
    <w:rsid w:val="00A13CC1"/>
    <w:rsid w:val="00A16847"/>
    <w:rsid w:val="00A268C4"/>
    <w:rsid w:val="00A307CD"/>
    <w:rsid w:val="00A40A00"/>
    <w:rsid w:val="00A4142F"/>
    <w:rsid w:val="00A56DF2"/>
    <w:rsid w:val="00A67AB5"/>
    <w:rsid w:val="00A91760"/>
    <w:rsid w:val="00A93B00"/>
    <w:rsid w:val="00A93C21"/>
    <w:rsid w:val="00AB2AC5"/>
    <w:rsid w:val="00AC3C6A"/>
    <w:rsid w:val="00AD5620"/>
    <w:rsid w:val="00AD7C1B"/>
    <w:rsid w:val="00AE16BA"/>
    <w:rsid w:val="00AE1EBE"/>
    <w:rsid w:val="00B03C9D"/>
    <w:rsid w:val="00B060AE"/>
    <w:rsid w:val="00B10517"/>
    <w:rsid w:val="00B1126D"/>
    <w:rsid w:val="00B14E76"/>
    <w:rsid w:val="00B161B8"/>
    <w:rsid w:val="00B2048C"/>
    <w:rsid w:val="00B310B9"/>
    <w:rsid w:val="00B35F3F"/>
    <w:rsid w:val="00B36CBB"/>
    <w:rsid w:val="00B425E0"/>
    <w:rsid w:val="00B440AA"/>
    <w:rsid w:val="00B44B70"/>
    <w:rsid w:val="00B53C56"/>
    <w:rsid w:val="00B77EA6"/>
    <w:rsid w:val="00B81598"/>
    <w:rsid w:val="00B841F1"/>
    <w:rsid w:val="00B844DC"/>
    <w:rsid w:val="00B944D6"/>
    <w:rsid w:val="00BB4DF0"/>
    <w:rsid w:val="00BC289F"/>
    <w:rsid w:val="00BC5361"/>
    <w:rsid w:val="00BC5460"/>
    <w:rsid w:val="00BC6B50"/>
    <w:rsid w:val="00BD0E25"/>
    <w:rsid w:val="00BF5BD6"/>
    <w:rsid w:val="00C03E31"/>
    <w:rsid w:val="00C33E72"/>
    <w:rsid w:val="00C354B2"/>
    <w:rsid w:val="00C35554"/>
    <w:rsid w:val="00C42709"/>
    <w:rsid w:val="00C525AE"/>
    <w:rsid w:val="00C533CC"/>
    <w:rsid w:val="00C5751C"/>
    <w:rsid w:val="00C61BFC"/>
    <w:rsid w:val="00C62B85"/>
    <w:rsid w:val="00C65438"/>
    <w:rsid w:val="00C91CBB"/>
    <w:rsid w:val="00CA6518"/>
    <w:rsid w:val="00CC09B6"/>
    <w:rsid w:val="00CC40E8"/>
    <w:rsid w:val="00CC666F"/>
    <w:rsid w:val="00CD1E3F"/>
    <w:rsid w:val="00CE44F6"/>
    <w:rsid w:val="00CE49DA"/>
    <w:rsid w:val="00CE7B61"/>
    <w:rsid w:val="00D00095"/>
    <w:rsid w:val="00D20620"/>
    <w:rsid w:val="00D26091"/>
    <w:rsid w:val="00D34E7C"/>
    <w:rsid w:val="00D35489"/>
    <w:rsid w:val="00D51276"/>
    <w:rsid w:val="00D7035F"/>
    <w:rsid w:val="00D952A2"/>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34714E"/>
    <w:rsid w:val="015D74CC"/>
    <w:rsid w:val="017A49FE"/>
    <w:rsid w:val="017C721E"/>
    <w:rsid w:val="0185104E"/>
    <w:rsid w:val="019F7441"/>
    <w:rsid w:val="01D1123D"/>
    <w:rsid w:val="01D55F13"/>
    <w:rsid w:val="01DE0F9E"/>
    <w:rsid w:val="01F462DE"/>
    <w:rsid w:val="021C53B8"/>
    <w:rsid w:val="023A70FE"/>
    <w:rsid w:val="024C438C"/>
    <w:rsid w:val="02576AB9"/>
    <w:rsid w:val="02675CE5"/>
    <w:rsid w:val="029134F5"/>
    <w:rsid w:val="02A543F1"/>
    <w:rsid w:val="02E434AE"/>
    <w:rsid w:val="02F743CA"/>
    <w:rsid w:val="031B34FA"/>
    <w:rsid w:val="034B442F"/>
    <w:rsid w:val="036F09EC"/>
    <w:rsid w:val="037424B2"/>
    <w:rsid w:val="03900CE7"/>
    <w:rsid w:val="03CE2112"/>
    <w:rsid w:val="03ED1A6F"/>
    <w:rsid w:val="03F21EC7"/>
    <w:rsid w:val="03FA7625"/>
    <w:rsid w:val="04083A9B"/>
    <w:rsid w:val="04C45D76"/>
    <w:rsid w:val="04C60B81"/>
    <w:rsid w:val="04DB480C"/>
    <w:rsid w:val="05213E47"/>
    <w:rsid w:val="05337991"/>
    <w:rsid w:val="0590502C"/>
    <w:rsid w:val="059705FA"/>
    <w:rsid w:val="05BC1413"/>
    <w:rsid w:val="05BD0CDD"/>
    <w:rsid w:val="05BE3E29"/>
    <w:rsid w:val="05D1565E"/>
    <w:rsid w:val="05E24935"/>
    <w:rsid w:val="05F037C6"/>
    <w:rsid w:val="05F50C8B"/>
    <w:rsid w:val="05FD5505"/>
    <w:rsid w:val="05FF678B"/>
    <w:rsid w:val="060C7B8C"/>
    <w:rsid w:val="063F3AB9"/>
    <w:rsid w:val="06633455"/>
    <w:rsid w:val="06DD1535"/>
    <w:rsid w:val="078431D1"/>
    <w:rsid w:val="07C40ED7"/>
    <w:rsid w:val="0810100A"/>
    <w:rsid w:val="0859022E"/>
    <w:rsid w:val="08B40CC8"/>
    <w:rsid w:val="08BA4D8A"/>
    <w:rsid w:val="08EA5B6E"/>
    <w:rsid w:val="095F237E"/>
    <w:rsid w:val="09897992"/>
    <w:rsid w:val="09B108C0"/>
    <w:rsid w:val="09B12B57"/>
    <w:rsid w:val="09B666F1"/>
    <w:rsid w:val="09C63351"/>
    <w:rsid w:val="09F729DF"/>
    <w:rsid w:val="09FF15A1"/>
    <w:rsid w:val="0A030E0E"/>
    <w:rsid w:val="0A2B3473"/>
    <w:rsid w:val="0A3C686F"/>
    <w:rsid w:val="0A80764E"/>
    <w:rsid w:val="0A9C1552"/>
    <w:rsid w:val="0AB30820"/>
    <w:rsid w:val="0ACF3BC0"/>
    <w:rsid w:val="0B022E55"/>
    <w:rsid w:val="0B0429EB"/>
    <w:rsid w:val="0B2719FC"/>
    <w:rsid w:val="0B4B734D"/>
    <w:rsid w:val="0B533CB3"/>
    <w:rsid w:val="0B762A27"/>
    <w:rsid w:val="0B8B1A4C"/>
    <w:rsid w:val="0B956417"/>
    <w:rsid w:val="0BA838B7"/>
    <w:rsid w:val="0BD44ED8"/>
    <w:rsid w:val="0BEF6334"/>
    <w:rsid w:val="0C163ED9"/>
    <w:rsid w:val="0C3D0BC3"/>
    <w:rsid w:val="0C570F30"/>
    <w:rsid w:val="0CAF46BA"/>
    <w:rsid w:val="0CED4AAB"/>
    <w:rsid w:val="0D0935A9"/>
    <w:rsid w:val="0D0A1F41"/>
    <w:rsid w:val="0D0A35CB"/>
    <w:rsid w:val="0D17337B"/>
    <w:rsid w:val="0D3C1245"/>
    <w:rsid w:val="0D40113E"/>
    <w:rsid w:val="0D9A0974"/>
    <w:rsid w:val="0DA03719"/>
    <w:rsid w:val="0DB82FC6"/>
    <w:rsid w:val="0E0E2959"/>
    <w:rsid w:val="0E2B4868"/>
    <w:rsid w:val="0E2F543E"/>
    <w:rsid w:val="0E31016F"/>
    <w:rsid w:val="0E46049D"/>
    <w:rsid w:val="0E58041E"/>
    <w:rsid w:val="0E5A1440"/>
    <w:rsid w:val="0E5C3034"/>
    <w:rsid w:val="0E8962F2"/>
    <w:rsid w:val="0E9B68DB"/>
    <w:rsid w:val="0ED26B1D"/>
    <w:rsid w:val="0F184478"/>
    <w:rsid w:val="0F3F2AB0"/>
    <w:rsid w:val="0F7420B4"/>
    <w:rsid w:val="10524A27"/>
    <w:rsid w:val="108B5788"/>
    <w:rsid w:val="10972599"/>
    <w:rsid w:val="109A067B"/>
    <w:rsid w:val="10C055FF"/>
    <w:rsid w:val="11037D1D"/>
    <w:rsid w:val="11163158"/>
    <w:rsid w:val="11313DEA"/>
    <w:rsid w:val="11662C34"/>
    <w:rsid w:val="116D46BD"/>
    <w:rsid w:val="1172737C"/>
    <w:rsid w:val="11F54669"/>
    <w:rsid w:val="121026F2"/>
    <w:rsid w:val="124E684D"/>
    <w:rsid w:val="129F1627"/>
    <w:rsid w:val="12B16A1E"/>
    <w:rsid w:val="12FC1DE9"/>
    <w:rsid w:val="134D19E0"/>
    <w:rsid w:val="13A64B88"/>
    <w:rsid w:val="141226E4"/>
    <w:rsid w:val="14387264"/>
    <w:rsid w:val="14433D6F"/>
    <w:rsid w:val="146B61E6"/>
    <w:rsid w:val="14770163"/>
    <w:rsid w:val="14DA121B"/>
    <w:rsid w:val="14EF7818"/>
    <w:rsid w:val="14F61C61"/>
    <w:rsid w:val="150A0C22"/>
    <w:rsid w:val="154523BF"/>
    <w:rsid w:val="155C2A53"/>
    <w:rsid w:val="159E4B67"/>
    <w:rsid w:val="15B67D22"/>
    <w:rsid w:val="16197596"/>
    <w:rsid w:val="165656DF"/>
    <w:rsid w:val="167D6888"/>
    <w:rsid w:val="16BB723D"/>
    <w:rsid w:val="16C45DDA"/>
    <w:rsid w:val="17447C37"/>
    <w:rsid w:val="175C3675"/>
    <w:rsid w:val="17C266EE"/>
    <w:rsid w:val="17ED693C"/>
    <w:rsid w:val="17FA36F6"/>
    <w:rsid w:val="183237E4"/>
    <w:rsid w:val="184E5B1E"/>
    <w:rsid w:val="18B4159C"/>
    <w:rsid w:val="18CF6DBE"/>
    <w:rsid w:val="18F85453"/>
    <w:rsid w:val="19056D8F"/>
    <w:rsid w:val="192D447F"/>
    <w:rsid w:val="194477C6"/>
    <w:rsid w:val="19537D12"/>
    <w:rsid w:val="19541716"/>
    <w:rsid w:val="199B46C2"/>
    <w:rsid w:val="19FB3BF8"/>
    <w:rsid w:val="1A1B56C8"/>
    <w:rsid w:val="1AFB5788"/>
    <w:rsid w:val="1B29136A"/>
    <w:rsid w:val="1B625949"/>
    <w:rsid w:val="1B6715F7"/>
    <w:rsid w:val="1B893B92"/>
    <w:rsid w:val="1BB36D4A"/>
    <w:rsid w:val="1BB979D5"/>
    <w:rsid w:val="1BDF3007"/>
    <w:rsid w:val="1BE14580"/>
    <w:rsid w:val="1C1576D9"/>
    <w:rsid w:val="1C426807"/>
    <w:rsid w:val="1C6D330F"/>
    <w:rsid w:val="1C7D1A47"/>
    <w:rsid w:val="1CC112A9"/>
    <w:rsid w:val="1CC57BED"/>
    <w:rsid w:val="1CD4002E"/>
    <w:rsid w:val="1D2149C9"/>
    <w:rsid w:val="1D233F72"/>
    <w:rsid w:val="1D454DAB"/>
    <w:rsid w:val="1D7A370B"/>
    <w:rsid w:val="1D8310C3"/>
    <w:rsid w:val="1D976051"/>
    <w:rsid w:val="1DA65E41"/>
    <w:rsid w:val="1DAA00DE"/>
    <w:rsid w:val="1DEB4A7D"/>
    <w:rsid w:val="1E2A1A74"/>
    <w:rsid w:val="1E3126F4"/>
    <w:rsid w:val="1E3B5B2C"/>
    <w:rsid w:val="1E495499"/>
    <w:rsid w:val="1E6657E2"/>
    <w:rsid w:val="1E826E10"/>
    <w:rsid w:val="1E9D3641"/>
    <w:rsid w:val="1F056FCC"/>
    <w:rsid w:val="1F4A08AA"/>
    <w:rsid w:val="1FBE5875"/>
    <w:rsid w:val="1FD26A68"/>
    <w:rsid w:val="20466D9C"/>
    <w:rsid w:val="20D01A39"/>
    <w:rsid w:val="21180641"/>
    <w:rsid w:val="21512FB2"/>
    <w:rsid w:val="2177524E"/>
    <w:rsid w:val="21997BCC"/>
    <w:rsid w:val="21AC6948"/>
    <w:rsid w:val="21C24357"/>
    <w:rsid w:val="21DE7F62"/>
    <w:rsid w:val="21DF5CBD"/>
    <w:rsid w:val="220D0BE0"/>
    <w:rsid w:val="224E4629"/>
    <w:rsid w:val="225405C2"/>
    <w:rsid w:val="226A2D2A"/>
    <w:rsid w:val="227359E3"/>
    <w:rsid w:val="227859EE"/>
    <w:rsid w:val="22847938"/>
    <w:rsid w:val="22B54DF6"/>
    <w:rsid w:val="22C72194"/>
    <w:rsid w:val="234C47C3"/>
    <w:rsid w:val="237F316C"/>
    <w:rsid w:val="23AB2A09"/>
    <w:rsid w:val="23BB68E0"/>
    <w:rsid w:val="23F83E44"/>
    <w:rsid w:val="240371BF"/>
    <w:rsid w:val="244C19CB"/>
    <w:rsid w:val="247F10D1"/>
    <w:rsid w:val="24F210CB"/>
    <w:rsid w:val="25011E26"/>
    <w:rsid w:val="25017EA9"/>
    <w:rsid w:val="250250D9"/>
    <w:rsid w:val="250C07DA"/>
    <w:rsid w:val="25212B8B"/>
    <w:rsid w:val="252E000A"/>
    <w:rsid w:val="254C4243"/>
    <w:rsid w:val="257778C4"/>
    <w:rsid w:val="257D791F"/>
    <w:rsid w:val="25C574DF"/>
    <w:rsid w:val="25F70070"/>
    <w:rsid w:val="26362FB2"/>
    <w:rsid w:val="26520854"/>
    <w:rsid w:val="26C3458D"/>
    <w:rsid w:val="26D75E10"/>
    <w:rsid w:val="274417F9"/>
    <w:rsid w:val="27543F80"/>
    <w:rsid w:val="27BB727B"/>
    <w:rsid w:val="27C26906"/>
    <w:rsid w:val="27EB4C40"/>
    <w:rsid w:val="27FD106A"/>
    <w:rsid w:val="28016C22"/>
    <w:rsid w:val="28147850"/>
    <w:rsid w:val="28170C71"/>
    <w:rsid w:val="28427682"/>
    <w:rsid w:val="28451115"/>
    <w:rsid w:val="284C31E0"/>
    <w:rsid w:val="28750A46"/>
    <w:rsid w:val="28901816"/>
    <w:rsid w:val="289F4176"/>
    <w:rsid w:val="28C15A7C"/>
    <w:rsid w:val="291776DD"/>
    <w:rsid w:val="291B3271"/>
    <w:rsid w:val="295221ED"/>
    <w:rsid w:val="296F3983"/>
    <w:rsid w:val="29FD04D3"/>
    <w:rsid w:val="2A023505"/>
    <w:rsid w:val="2A14179D"/>
    <w:rsid w:val="2A193111"/>
    <w:rsid w:val="2AA86D6B"/>
    <w:rsid w:val="2ACE43D8"/>
    <w:rsid w:val="2ADF1028"/>
    <w:rsid w:val="2AF97160"/>
    <w:rsid w:val="2B0B4CEE"/>
    <w:rsid w:val="2B255B02"/>
    <w:rsid w:val="2C1D79A8"/>
    <w:rsid w:val="2C456659"/>
    <w:rsid w:val="2C4938D2"/>
    <w:rsid w:val="2C6274BE"/>
    <w:rsid w:val="2C8E05D7"/>
    <w:rsid w:val="2C8F7E70"/>
    <w:rsid w:val="2C975468"/>
    <w:rsid w:val="2CA42F84"/>
    <w:rsid w:val="2CB22649"/>
    <w:rsid w:val="2CED383A"/>
    <w:rsid w:val="2D56396E"/>
    <w:rsid w:val="2D5F4E5F"/>
    <w:rsid w:val="2D634EAD"/>
    <w:rsid w:val="2D7514D8"/>
    <w:rsid w:val="2DCF2FCB"/>
    <w:rsid w:val="2DF47A49"/>
    <w:rsid w:val="2E165B9E"/>
    <w:rsid w:val="2E190AE3"/>
    <w:rsid w:val="2E8520C3"/>
    <w:rsid w:val="2EB42BF1"/>
    <w:rsid w:val="2EF36A3C"/>
    <w:rsid w:val="2F031607"/>
    <w:rsid w:val="2F23799A"/>
    <w:rsid w:val="2F5225B0"/>
    <w:rsid w:val="2F586635"/>
    <w:rsid w:val="2F601B8A"/>
    <w:rsid w:val="2F6871D8"/>
    <w:rsid w:val="2F7321B4"/>
    <w:rsid w:val="2F845D0E"/>
    <w:rsid w:val="2FA079B6"/>
    <w:rsid w:val="2FE426C4"/>
    <w:rsid w:val="30584E64"/>
    <w:rsid w:val="306A1B3F"/>
    <w:rsid w:val="307E7588"/>
    <w:rsid w:val="30944491"/>
    <w:rsid w:val="30AD2B3B"/>
    <w:rsid w:val="30BA1F1A"/>
    <w:rsid w:val="30C17FD9"/>
    <w:rsid w:val="30C65C79"/>
    <w:rsid w:val="31223B07"/>
    <w:rsid w:val="312636E5"/>
    <w:rsid w:val="319B1372"/>
    <w:rsid w:val="319F7F4E"/>
    <w:rsid w:val="31CE3E14"/>
    <w:rsid w:val="32123F91"/>
    <w:rsid w:val="3214405D"/>
    <w:rsid w:val="327939BF"/>
    <w:rsid w:val="32CC2965"/>
    <w:rsid w:val="32EA6D4C"/>
    <w:rsid w:val="333D245A"/>
    <w:rsid w:val="333F5C6D"/>
    <w:rsid w:val="33630B20"/>
    <w:rsid w:val="33690D36"/>
    <w:rsid w:val="339869F7"/>
    <w:rsid w:val="33A36C4E"/>
    <w:rsid w:val="33D42BA1"/>
    <w:rsid w:val="33EE121C"/>
    <w:rsid w:val="33FA487A"/>
    <w:rsid w:val="341A20E2"/>
    <w:rsid w:val="342601C9"/>
    <w:rsid w:val="34304402"/>
    <w:rsid w:val="34481043"/>
    <w:rsid w:val="34555316"/>
    <w:rsid w:val="3491168A"/>
    <w:rsid w:val="350B47C7"/>
    <w:rsid w:val="353D71AC"/>
    <w:rsid w:val="356404C4"/>
    <w:rsid w:val="3596533D"/>
    <w:rsid w:val="35BD14D6"/>
    <w:rsid w:val="35F041A0"/>
    <w:rsid w:val="36737230"/>
    <w:rsid w:val="36CB1FC7"/>
    <w:rsid w:val="3718089D"/>
    <w:rsid w:val="371F35C7"/>
    <w:rsid w:val="372157E9"/>
    <w:rsid w:val="37342B9A"/>
    <w:rsid w:val="375441A5"/>
    <w:rsid w:val="378B29C9"/>
    <w:rsid w:val="37AE31EA"/>
    <w:rsid w:val="37AF4500"/>
    <w:rsid w:val="37B42B20"/>
    <w:rsid w:val="37E80537"/>
    <w:rsid w:val="37F47325"/>
    <w:rsid w:val="380C3D50"/>
    <w:rsid w:val="38140B5F"/>
    <w:rsid w:val="3836451C"/>
    <w:rsid w:val="38493F65"/>
    <w:rsid w:val="3851759C"/>
    <w:rsid w:val="38771FBA"/>
    <w:rsid w:val="38E82B1C"/>
    <w:rsid w:val="39857D99"/>
    <w:rsid w:val="39BF4459"/>
    <w:rsid w:val="3A320852"/>
    <w:rsid w:val="3A44767E"/>
    <w:rsid w:val="3A4D1079"/>
    <w:rsid w:val="3A5822A8"/>
    <w:rsid w:val="3A5A66FF"/>
    <w:rsid w:val="3A664AB6"/>
    <w:rsid w:val="3A863AA4"/>
    <w:rsid w:val="3A891A5C"/>
    <w:rsid w:val="3A8E1EDF"/>
    <w:rsid w:val="3AC57334"/>
    <w:rsid w:val="3ACE081A"/>
    <w:rsid w:val="3ADA6DDA"/>
    <w:rsid w:val="3ADE6050"/>
    <w:rsid w:val="3AEC5ABE"/>
    <w:rsid w:val="3B437A2D"/>
    <w:rsid w:val="3B671AF5"/>
    <w:rsid w:val="3B7643EA"/>
    <w:rsid w:val="3B9F21C3"/>
    <w:rsid w:val="3BA0511E"/>
    <w:rsid w:val="3BA060FC"/>
    <w:rsid w:val="3BCB13F7"/>
    <w:rsid w:val="3BF97BF8"/>
    <w:rsid w:val="3C187DF8"/>
    <w:rsid w:val="3C1D0008"/>
    <w:rsid w:val="3C2352C8"/>
    <w:rsid w:val="3C5976F8"/>
    <w:rsid w:val="3CC87D2D"/>
    <w:rsid w:val="3CCB1D67"/>
    <w:rsid w:val="3D1D04F6"/>
    <w:rsid w:val="3D1D471F"/>
    <w:rsid w:val="3DCD3FE1"/>
    <w:rsid w:val="3DE26E09"/>
    <w:rsid w:val="3DEC45A2"/>
    <w:rsid w:val="3E025562"/>
    <w:rsid w:val="3E1D58B3"/>
    <w:rsid w:val="3E517657"/>
    <w:rsid w:val="3E5F6295"/>
    <w:rsid w:val="3EC653D0"/>
    <w:rsid w:val="3EDB17F4"/>
    <w:rsid w:val="3EE447E9"/>
    <w:rsid w:val="3F3B2E97"/>
    <w:rsid w:val="3F9209B2"/>
    <w:rsid w:val="40245DD4"/>
    <w:rsid w:val="402A54EB"/>
    <w:rsid w:val="40306E40"/>
    <w:rsid w:val="404A78CE"/>
    <w:rsid w:val="40985E5D"/>
    <w:rsid w:val="40C60516"/>
    <w:rsid w:val="40D37DFE"/>
    <w:rsid w:val="40FE7CBC"/>
    <w:rsid w:val="411069FA"/>
    <w:rsid w:val="414E2340"/>
    <w:rsid w:val="41791DC8"/>
    <w:rsid w:val="419602D6"/>
    <w:rsid w:val="41B71350"/>
    <w:rsid w:val="41C27A87"/>
    <w:rsid w:val="41DA53E0"/>
    <w:rsid w:val="41F230F1"/>
    <w:rsid w:val="41F521F3"/>
    <w:rsid w:val="420B0E4F"/>
    <w:rsid w:val="424B5091"/>
    <w:rsid w:val="42534DD8"/>
    <w:rsid w:val="42CC54D7"/>
    <w:rsid w:val="43237E01"/>
    <w:rsid w:val="432E09B8"/>
    <w:rsid w:val="43313A5A"/>
    <w:rsid w:val="436B40C2"/>
    <w:rsid w:val="43812C80"/>
    <w:rsid w:val="43CE7A75"/>
    <w:rsid w:val="43D76590"/>
    <w:rsid w:val="43DD35F2"/>
    <w:rsid w:val="440539B0"/>
    <w:rsid w:val="440A760E"/>
    <w:rsid w:val="44161471"/>
    <w:rsid w:val="44265361"/>
    <w:rsid w:val="444B286B"/>
    <w:rsid w:val="445826AF"/>
    <w:rsid w:val="4464026F"/>
    <w:rsid w:val="446E67AC"/>
    <w:rsid w:val="4496034E"/>
    <w:rsid w:val="44E036A3"/>
    <w:rsid w:val="44F87357"/>
    <w:rsid w:val="450338AA"/>
    <w:rsid w:val="451F03F4"/>
    <w:rsid w:val="460B08AF"/>
    <w:rsid w:val="46222F5F"/>
    <w:rsid w:val="46826A51"/>
    <w:rsid w:val="46A109D7"/>
    <w:rsid w:val="46AA29E3"/>
    <w:rsid w:val="46C12822"/>
    <w:rsid w:val="46D61EEB"/>
    <w:rsid w:val="479E23C0"/>
    <w:rsid w:val="47BF78F1"/>
    <w:rsid w:val="47EA3551"/>
    <w:rsid w:val="47F15CCD"/>
    <w:rsid w:val="48333FB1"/>
    <w:rsid w:val="4843209F"/>
    <w:rsid w:val="485D4BB8"/>
    <w:rsid w:val="486C3CAA"/>
    <w:rsid w:val="48741417"/>
    <w:rsid w:val="489D394F"/>
    <w:rsid w:val="489F4970"/>
    <w:rsid w:val="48B7076E"/>
    <w:rsid w:val="48F54882"/>
    <w:rsid w:val="490C79AB"/>
    <w:rsid w:val="49162786"/>
    <w:rsid w:val="49406BDD"/>
    <w:rsid w:val="495A71FC"/>
    <w:rsid w:val="49650050"/>
    <w:rsid w:val="49652FF8"/>
    <w:rsid w:val="499C4A81"/>
    <w:rsid w:val="49D97B38"/>
    <w:rsid w:val="4A141601"/>
    <w:rsid w:val="4A1D54F7"/>
    <w:rsid w:val="4A2F1196"/>
    <w:rsid w:val="4A3254E1"/>
    <w:rsid w:val="4A36216C"/>
    <w:rsid w:val="4A4C5380"/>
    <w:rsid w:val="4A6066A9"/>
    <w:rsid w:val="4A76742B"/>
    <w:rsid w:val="4A944EBA"/>
    <w:rsid w:val="4B172BBA"/>
    <w:rsid w:val="4B265CA5"/>
    <w:rsid w:val="4B422BED"/>
    <w:rsid w:val="4B4C1D18"/>
    <w:rsid w:val="4B99086C"/>
    <w:rsid w:val="4BAB53AC"/>
    <w:rsid w:val="4BEE4800"/>
    <w:rsid w:val="4BF10F3C"/>
    <w:rsid w:val="4C033B46"/>
    <w:rsid w:val="4C3B0EC7"/>
    <w:rsid w:val="4C3D35E3"/>
    <w:rsid w:val="4C52390E"/>
    <w:rsid w:val="4D2A3AAB"/>
    <w:rsid w:val="4D305099"/>
    <w:rsid w:val="4D4300F2"/>
    <w:rsid w:val="4D5A20B6"/>
    <w:rsid w:val="4D6E6979"/>
    <w:rsid w:val="4D914202"/>
    <w:rsid w:val="4DB27413"/>
    <w:rsid w:val="4DEC462C"/>
    <w:rsid w:val="4E4F6222"/>
    <w:rsid w:val="4EF200AF"/>
    <w:rsid w:val="4F381A17"/>
    <w:rsid w:val="4FAD1475"/>
    <w:rsid w:val="4FBC58D8"/>
    <w:rsid w:val="4FFA5C80"/>
    <w:rsid w:val="50421DCA"/>
    <w:rsid w:val="50755490"/>
    <w:rsid w:val="507A338E"/>
    <w:rsid w:val="507C4FC1"/>
    <w:rsid w:val="508569FA"/>
    <w:rsid w:val="50904F07"/>
    <w:rsid w:val="50972C96"/>
    <w:rsid w:val="50C771D8"/>
    <w:rsid w:val="50E535BF"/>
    <w:rsid w:val="50E54771"/>
    <w:rsid w:val="5160549E"/>
    <w:rsid w:val="51DF437C"/>
    <w:rsid w:val="51FB2D30"/>
    <w:rsid w:val="52144CB4"/>
    <w:rsid w:val="5262597E"/>
    <w:rsid w:val="527C2BC2"/>
    <w:rsid w:val="527D271D"/>
    <w:rsid w:val="5292273F"/>
    <w:rsid w:val="52A30310"/>
    <w:rsid w:val="52AD763A"/>
    <w:rsid w:val="52D54473"/>
    <w:rsid w:val="52F36228"/>
    <w:rsid w:val="530B0877"/>
    <w:rsid w:val="53226659"/>
    <w:rsid w:val="53423150"/>
    <w:rsid w:val="534C1F85"/>
    <w:rsid w:val="535469D4"/>
    <w:rsid w:val="53E77194"/>
    <w:rsid w:val="53EB5A67"/>
    <w:rsid w:val="540853DA"/>
    <w:rsid w:val="541A60F0"/>
    <w:rsid w:val="54264508"/>
    <w:rsid w:val="547C70C4"/>
    <w:rsid w:val="54DA60AE"/>
    <w:rsid w:val="54DE1B54"/>
    <w:rsid w:val="552E67F7"/>
    <w:rsid w:val="55764323"/>
    <w:rsid w:val="55A76204"/>
    <w:rsid w:val="55B5370E"/>
    <w:rsid w:val="55B85082"/>
    <w:rsid w:val="55EC5F49"/>
    <w:rsid w:val="560633C1"/>
    <w:rsid w:val="561206CA"/>
    <w:rsid w:val="561545AD"/>
    <w:rsid w:val="56492E22"/>
    <w:rsid w:val="565113CF"/>
    <w:rsid w:val="56A873BD"/>
    <w:rsid w:val="56B76C3F"/>
    <w:rsid w:val="574A26DF"/>
    <w:rsid w:val="575819DD"/>
    <w:rsid w:val="57C345D9"/>
    <w:rsid w:val="58496B54"/>
    <w:rsid w:val="58825524"/>
    <w:rsid w:val="58A74FC8"/>
    <w:rsid w:val="58BE37F8"/>
    <w:rsid w:val="58CD62EA"/>
    <w:rsid w:val="59083BAB"/>
    <w:rsid w:val="593819BB"/>
    <w:rsid w:val="593E3E9F"/>
    <w:rsid w:val="598E3C02"/>
    <w:rsid w:val="59A82A88"/>
    <w:rsid w:val="59D55A01"/>
    <w:rsid w:val="59E11B7A"/>
    <w:rsid w:val="59E706B3"/>
    <w:rsid w:val="5A574090"/>
    <w:rsid w:val="5A5E206B"/>
    <w:rsid w:val="5A6F6294"/>
    <w:rsid w:val="5A7C3A1B"/>
    <w:rsid w:val="5B2907B8"/>
    <w:rsid w:val="5B4C473C"/>
    <w:rsid w:val="5B677BF4"/>
    <w:rsid w:val="5B753AD1"/>
    <w:rsid w:val="5B960358"/>
    <w:rsid w:val="5BF83264"/>
    <w:rsid w:val="5C925A32"/>
    <w:rsid w:val="5CB912CF"/>
    <w:rsid w:val="5CCE781C"/>
    <w:rsid w:val="5CF60F2B"/>
    <w:rsid w:val="5D1C42B5"/>
    <w:rsid w:val="5D731F2B"/>
    <w:rsid w:val="5DEF3BB7"/>
    <w:rsid w:val="5E0D1F00"/>
    <w:rsid w:val="5E267589"/>
    <w:rsid w:val="5E6D5355"/>
    <w:rsid w:val="5E7F3DF2"/>
    <w:rsid w:val="5E8F507F"/>
    <w:rsid w:val="5EAC650D"/>
    <w:rsid w:val="5EE43014"/>
    <w:rsid w:val="5EEA1034"/>
    <w:rsid w:val="5EEC598C"/>
    <w:rsid w:val="5F09172E"/>
    <w:rsid w:val="5F467E2A"/>
    <w:rsid w:val="5F6A6296"/>
    <w:rsid w:val="5F8F3360"/>
    <w:rsid w:val="5FDD7C60"/>
    <w:rsid w:val="60062096"/>
    <w:rsid w:val="604E7BFD"/>
    <w:rsid w:val="61543C41"/>
    <w:rsid w:val="618978A6"/>
    <w:rsid w:val="61B6163E"/>
    <w:rsid w:val="61BA5906"/>
    <w:rsid w:val="61E20FBC"/>
    <w:rsid w:val="61E810BC"/>
    <w:rsid w:val="61FE5754"/>
    <w:rsid w:val="620E23CA"/>
    <w:rsid w:val="62102818"/>
    <w:rsid w:val="624A2095"/>
    <w:rsid w:val="62836778"/>
    <w:rsid w:val="62857E0D"/>
    <w:rsid w:val="62CC02CB"/>
    <w:rsid w:val="62DE4166"/>
    <w:rsid w:val="62EF3833"/>
    <w:rsid w:val="631D61C5"/>
    <w:rsid w:val="638719D2"/>
    <w:rsid w:val="638A7448"/>
    <w:rsid w:val="63D32FA2"/>
    <w:rsid w:val="64327DAA"/>
    <w:rsid w:val="643915B0"/>
    <w:rsid w:val="646A006E"/>
    <w:rsid w:val="6470374C"/>
    <w:rsid w:val="647249BF"/>
    <w:rsid w:val="647B06F0"/>
    <w:rsid w:val="64F6554D"/>
    <w:rsid w:val="64F84E50"/>
    <w:rsid w:val="6529747B"/>
    <w:rsid w:val="654E2F30"/>
    <w:rsid w:val="655E4797"/>
    <w:rsid w:val="65722FD4"/>
    <w:rsid w:val="65820706"/>
    <w:rsid w:val="658B3251"/>
    <w:rsid w:val="659E6372"/>
    <w:rsid w:val="65C63FE3"/>
    <w:rsid w:val="66004F01"/>
    <w:rsid w:val="6609392E"/>
    <w:rsid w:val="660A6DB1"/>
    <w:rsid w:val="66250B19"/>
    <w:rsid w:val="664663AB"/>
    <w:rsid w:val="66501C40"/>
    <w:rsid w:val="66824240"/>
    <w:rsid w:val="669155F7"/>
    <w:rsid w:val="66A259D9"/>
    <w:rsid w:val="66C03D83"/>
    <w:rsid w:val="66D44B16"/>
    <w:rsid w:val="67010E02"/>
    <w:rsid w:val="6719485A"/>
    <w:rsid w:val="672107DF"/>
    <w:rsid w:val="67280241"/>
    <w:rsid w:val="67466BCF"/>
    <w:rsid w:val="67844ABD"/>
    <w:rsid w:val="67C07D22"/>
    <w:rsid w:val="67C61613"/>
    <w:rsid w:val="67D05EC2"/>
    <w:rsid w:val="67D36E8D"/>
    <w:rsid w:val="67DF4840"/>
    <w:rsid w:val="67F137D5"/>
    <w:rsid w:val="681A5D1F"/>
    <w:rsid w:val="683547F7"/>
    <w:rsid w:val="683E761C"/>
    <w:rsid w:val="685E5676"/>
    <w:rsid w:val="68616631"/>
    <w:rsid w:val="68623CE4"/>
    <w:rsid w:val="686E6129"/>
    <w:rsid w:val="68A1687C"/>
    <w:rsid w:val="68D72FCD"/>
    <w:rsid w:val="68EC5ADC"/>
    <w:rsid w:val="69135B83"/>
    <w:rsid w:val="6938587E"/>
    <w:rsid w:val="694C4A31"/>
    <w:rsid w:val="699232E1"/>
    <w:rsid w:val="699941C6"/>
    <w:rsid w:val="699976EA"/>
    <w:rsid w:val="69C5778F"/>
    <w:rsid w:val="69D27622"/>
    <w:rsid w:val="69ED3265"/>
    <w:rsid w:val="6A0224F5"/>
    <w:rsid w:val="6A5A31FC"/>
    <w:rsid w:val="6A770068"/>
    <w:rsid w:val="6A8207E0"/>
    <w:rsid w:val="6A9D3E35"/>
    <w:rsid w:val="6AA25366"/>
    <w:rsid w:val="6B1061BB"/>
    <w:rsid w:val="6B2F2FEA"/>
    <w:rsid w:val="6B7D035D"/>
    <w:rsid w:val="6B8A714F"/>
    <w:rsid w:val="6BB31EA7"/>
    <w:rsid w:val="6BE1709B"/>
    <w:rsid w:val="6C154750"/>
    <w:rsid w:val="6CDE6CA9"/>
    <w:rsid w:val="6D1E65C7"/>
    <w:rsid w:val="6D3614C7"/>
    <w:rsid w:val="6D3B3476"/>
    <w:rsid w:val="6D3C5ABD"/>
    <w:rsid w:val="6E1566E0"/>
    <w:rsid w:val="6EE64186"/>
    <w:rsid w:val="6EF42C77"/>
    <w:rsid w:val="6F625A14"/>
    <w:rsid w:val="6FC90F0B"/>
    <w:rsid w:val="6FEB0581"/>
    <w:rsid w:val="706E50C0"/>
    <w:rsid w:val="70DA32A6"/>
    <w:rsid w:val="70E01009"/>
    <w:rsid w:val="70E317E7"/>
    <w:rsid w:val="70ED4246"/>
    <w:rsid w:val="70EE1F26"/>
    <w:rsid w:val="710B4B04"/>
    <w:rsid w:val="7117119A"/>
    <w:rsid w:val="71596AF6"/>
    <w:rsid w:val="71702154"/>
    <w:rsid w:val="717B7C26"/>
    <w:rsid w:val="71DA0900"/>
    <w:rsid w:val="72045BB5"/>
    <w:rsid w:val="722C40A6"/>
    <w:rsid w:val="727D4AF5"/>
    <w:rsid w:val="72AF0B9A"/>
    <w:rsid w:val="72C02149"/>
    <w:rsid w:val="73154FD7"/>
    <w:rsid w:val="74247876"/>
    <w:rsid w:val="74306D2C"/>
    <w:rsid w:val="74473732"/>
    <w:rsid w:val="74535CCA"/>
    <w:rsid w:val="747B1414"/>
    <w:rsid w:val="74E60282"/>
    <w:rsid w:val="75095F53"/>
    <w:rsid w:val="75441569"/>
    <w:rsid w:val="755A3C18"/>
    <w:rsid w:val="757E23E4"/>
    <w:rsid w:val="75AF03D0"/>
    <w:rsid w:val="75B149C7"/>
    <w:rsid w:val="75B45452"/>
    <w:rsid w:val="75BC51D0"/>
    <w:rsid w:val="75BE23F4"/>
    <w:rsid w:val="75EE0EF3"/>
    <w:rsid w:val="760F7A60"/>
    <w:rsid w:val="763F02DD"/>
    <w:rsid w:val="765E6ACD"/>
    <w:rsid w:val="76745605"/>
    <w:rsid w:val="76954CF7"/>
    <w:rsid w:val="76AE2875"/>
    <w:rsid w:val="76AF06E6"/>
    <w:rsid w:val="76B006CC"/>
    <w:rsid w:val="76CB6B69"/>
    <w:rsid w:val="76EF1F9A"/>
    <w:rsid w:val="77426605"/>
    <w:rsid w:val="780E66BC"/>
    <w:rsid w:val="782228B7"/>
    <w:rsid w:val="78733D12"/>
    <w:rsid w:val="78750F8D"/>
    <w:rsid w:val="787769B5"/>
    <w:rsid w:val="789471D5"/>
    <w:rsid w:val="78B438F3"/>
    <w:rsid w:val="78DD1797"/>
    <w:rsid w:val="78EF5568"/>
    <w:rsid w:val="790C708B"/>
    <w:rsid w:val="79432D09"/>
    <w:rsid w:val="797A5806"/>
    <w:rsid w:val="79FB30DD"/>
    <w:rsid w:val="7A7F58FF"/>
    <w:rsid w:val="7A8C6818"/>
    <w:rsid w:val="7A8E51C0"/>
    <w:rsid w:val="7A9F411A"/>
    <w:rsid w:val="7AAA77FD"/>
    <w:rsid w:val="7AEF02AD"/>
    <w:rsid w:val="7B180A13"/>
    <w:rsid w:val="7B1C0E5C"/>
    <w:rsid w:val="7B514AAB"/>
    <w:rsid w:val="7B603DB0"/>
    <w:rsid w:val="7B7036F4"/>
    <w:rsid w:val="7B8A2718"/>
    <w:rsid w:val="7BCC6881"/>
    <w:rsid w:val="7BD54D49"/>
    <w:rsid w:val="7BEC55F2"/>
    <w:rsid w:val="7C0379C0"/>
    <w:rsid w:val="7C2A58B0"/>
    <w:rsid w:val="7C3330C8"/>
    <w:rsid w:val="7C5643D7"/>
    <w:rsid w:val="7C56536B"/>
    <w:rsid w:val="7C5A40DE"/>
    <w:rsid w:val="7CE87FCB"/>
    <w:rsid w:val="7CF7325A"/>
    <w:rsid w:val="7D064990"/>
    <w:rsid w:val="7D291E5B"/>
    <w:rsid w:val="7DAE05F7"/>
    <w:rsid w:val="7DD90E26"/>
    <w:rsid w:val="7DEA6B7B"/>
    <w:rsid w:val="7E4E2F22"/>
    <w:rsid w:val="7EA678AB"/>
    <w:rsid w:val="7ECF5E07"/>
    <w:rsid w:val="7ED36730"/>
    <w:rsid w:val="7F2B06EF"/>
    <w:rsid w:val="7F2E6D52"/>
    <w:rsid w:val="7F50406E"/>
    <w:rsid w:val="7F706DB9"/>
    <w:rsid w:val="7F885F46"/>
    <w:rsid w:val="7F900C80"/>
    <w:rsid w:val="7FD97D68"/>
    <w:rsid w:val="7FE703A8"/>
    <w:rsid w:val="7FF9230A"/>
    <w:rsid w:val="7FFE40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99"/>
    <w:pPr>
      <w:spacing w:beforeLines="30"/>
    </w:pPr>
    <w:rPr>
      <w:rFonts w:ascii="仿宋_GB2312" w:eastAsia="仿宋_GB2312"/>
      <w:kern w:val="0"/>
      <w:sz w:val="30"/>
    </w:rPr>
  </w:style>
  <w:style w:type="paragraph" w:styleId="5">
    <w:name w:val="toc 3"/>
    <w:basedOn w:val="1"/>
    <w:next w:val="1"/>
    <w:unhideWhenUsed/>
    <w:qFormat/>
    <w:uiPriority w:val="39"/>
    <w:pPr>
      <w:tabs>
        <w:tab w:val="right" w:leader="dot" w:pos="8296"/>
      </w:tabs>
      <w:ind w:left="840" w:leftChars="400"/>
    </w:pPr>
  </w:style>
  <w:style w:type="paragraph" w:styleId="6">
    <w:name w:val="Balloon Text"/>
    <w:basedOn w:val="1"/>
    <w:link w:val="26"/>
    <w:semiHidden/>
    <w:unhideWhenUsed/>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1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Header Char"/>
    <w:basedOn w:val="12"/>
    <w:semiHidden/>
    <w:qFormat/>
    <w:uiPriority w:val="99"/>
    <w:rPr>
      <w:rFonts w:ascii="Times New Roman" w:hAnsi="Times New Roman"/>
      <w:sz w:val="18"/>
      <w:szCs w:val="18"/>
    </w:rPr>
  </w:style>
  <w:style w:type="character" w:customStyle="1" w:styleId="16">
    <w:name w:val="页眉 Char"/>
    <w:link w:val="8"/>
    <w:semiHidden/>
    <w:qFormat/>
    <w:locked/>
    <w:uiPriority w:val="99"/>
    <w:rPr>
      <w:sz w:val="18"/>
    </w:rPr>
  </w:style>
  <w:style w:type="character" w:customStyle="1" w:styleId="17">
    <w:name w:val="Footer Char"/>
    <w:basedOn w:val="12"/>
    <w:semiHidden/>
    <w:qFormat/>
    <w:uiPriority w:val="99"/>
    <w:rPr>
      <w:rFonts w:ascii="Times New Roman" w:hAnsi="Times New Roman"/>
      <w:sz w:val="18"/>
      <w:szCs w:val="18"/>
    </w:rPr>
  </w:style>
  <w:style w:type="character" w:customStyle="1" w:styleId="18">
    <w:name w:val="页脚 Char"/>
    <w:link w:val="7"/>
    <w:qFormat/>
    <w:locked/>
    <w:uiPriority w:val="99"/>
    <w:rPr>
      <w:sz w:val="18"/>
    </w:rPr>
  </w:style>
  <w:style w:type="character" w:customStyle="1" w:styleId="19">
    <w:name w:val="Body Text Char"/>
    <w:basedOn w:val="12"/>
    <w:semiHidden/>
    <w:qFormat/>
    <w:uiPriority w:val="99"/>
    <w:rPr>
      <w:rFonts w:ascii="Times New Roman" w:hAnsi="Times New Roman"/>
      <w:szCs w:val="24"/>
    </w:rPr>
  </w:style>
  <w:style w:type="character" w:customStyle="1" w:styleId="20">
    <w:name w:val="正文文本 Char"/>
    <w:link w:val="4"/>
    <w:qFormat/>
    <w:locked/>
    <w:uiPriority w:val="99"/>
    <w:rPr>
      <w:rFonts w:ascii="仿宋_GB2312" w:hAnsi="Times New Roman" w:eastAsia="仿宋_GB2312"/>
      <w:sz w:val="24"/>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2">
    <w:name w:val="List Paragraph"/>
    <w:basedOn w:val="1"/>
    <w:qFormat/>
    <w:uiPriority w:val="34"/>
    <w:pPr>
      <w:ind w:firstLine="420" w:firstLineChars="200"/>
    </w:pPr>
  </w:style>
  <w:style w:type="character" w:customStyle="1" w:styleId="23">
    <w:name w:val="标题 1 Char"/>
    <w:basedOn w:val="12"/>
    <w:link w:val="2"/>
    <w:qFormat/>
    <w:uiPriority w:val="9"/>
    <w:rPr>
      <w:rFonts w:ascii="Times New Roman" w:hAnsi="Times New Roman"/>
      <w:b/>
      <w:bCs/>
      <w:kern w:val="44"/>
      <w:sz w:val="44"/>
      <w:szCs w:val="44"/>
    </w:rPr>
  </w:style>
  <w:style w:type="character" w:customStyle="1" w:styleId="24">
    <w:name w:val="标题 2 Char"/>
    <w:basedOn w:val="12"/>
    <w:link w:val="3"/>
    <w:qFormat/>
    <w:uiPriority w:val="9"/>
    <w:rPr>
      <w:rFonts w:asciiTheme="majorHAnsi" w:hAnsiTheme="majorHAnsi" w:eastAsiaTheme="majorEastAsia" w:cstheme="majorBidi"/>
      <w:b/>
      <w:bCs/>
      <w:kern w:val="2"/>
      <w:sz w:val="32"/>
      <w:szCs w:val="32"/>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2"/>
    <w:link w:val="6"/>
    <w:semiHidden/>
    <w:qFormat/>
    <w:uiPriority w:val="99"/>
    <w:rPr>
      <w:rFonts w:ascii="Times New Roman" w:hAnsi="Times New Roman"/>
      <w:kern w:val="2"/>
      <w:sz w:val="18"/>
      <w:szCs w:val="18"/>
    </w:rPr>
  </w:style>
  <w:style w:type="character" w:customStyle="1" w:styleId="27">
    <w:name w:val="font71"/>
    <w:basedOn w:val="12"/>
    <w:qFormat/>
    <w:uiPriority w:val="0"/>
    <w:rPr>
      <w:rFonts w:hint="eastAsia" w:ascii="宋体" w:hAnsi="宋体" w:eastAsia="宋体" w:cs="宋体"/>
      <w:color w:val="000000"/>
      <w:sz w:val="24"/>
      <w:szCs w:val="24"/>
      <w:u w:val="none"/>
    </w:rPr>
  </w:style>
  <w:style w:type="character" w:customStyle="1" w:styleId="28">
    <w:name w:val="font11"/>
    <w:basedOn w:val="12"/>
    <w:qFormat/>
    <w:uiPriority w:val="0"/>
    <w:rPr>
      <w:rFonts w:hint="default" w:ascii="Times New Roman" w:hAnsi="Times New Roman" w:cs="Times New Roman"/>
      <w:color w:val="000000"/>
      <w:sz w:val="24"/>
      <w:szCs w:val="24"/>
      <w:u w:val="none"/>
    </w:rPr>
  </w:style>
  <w:style w:type="character" w:customStyle="1" w:styleId="29">
    <w:name w:val="??????1"/>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39B13-9B89-4114-8BE3-5344B93C7A9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78</TotalTime>
  <ScaleCrop>false</ScaleCrop>
  <LinksUpToDate>false</LinksUpToDate>
  <CharactersWithSpaces>9641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贺堃</cp:lastModifiedBy>
  <cp:lastPrinted>2020-08-19T09:57:00Z</cp:lastPrinted>
  <dcterms:modified xsi:type="dcterms:W3CDTF">2020-08-20T02:44:33Z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