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spacing w:val="6"/>
          <w:sz w:val="32"/>
          <w:szCs w:val="32"/>
          <w:highlight w:val="none"/>
          <w:lang w:eastAsia="zh-CN"/>
        </w:rPr>
      </w:pPr>
      <w:r>
        <w:rPr>
          <w:rFonts w:hint="eastAsia" w:ascii="黑体" w:hAnsi="黑体" w:eastAsia="黑体" w:cs="黑体"/>
          <w:b w:val="0"/>
          <w:bCs w:val="0"/>
          <w:color w:val="auto"/>
          <w:spacing w:val="6"/>
          <w:sz w:val="32"/>
          <w:szCs w:val="32"/>
          <w:highlight w:val="none"/>
          <w:lang w:eastAsia="zh-CN"/>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auto"/>
          <w:spacing w:val="6"/>
          <w:sz w:val="44"/>
          <w:szCs w:val="44"/>
          <w:highlight w:val="none"/>
        </w:rPr>
      </w:pPr>
      <w:bookmarkStart w:id="0" w:name="_GoBack"/>
      <w:r>
        <w:rPr>
          <w:rFonts w:hint="eastAsia" w:ascii="方正大标宋简体" w:hAnsi="方正大标宋简体" w:eastAsia="方正大标宋简体" w:cs="方正大标宋简体"/>
          <w:b w:val="0"/>
          <w:bCs w:val="0"/>
          <w:color w:val="auto"/>
          <w:spacing w:val="6"/>
          <w:sz w:val="44"/>
          <w:szCs w:val="44"/>
          <w:highlight w:val="none"/>
          <w:lang w:eastAsia="zh-CN"/>
        </w:rPr>
        <w:t>四川省</w:t>
      </w:r>
      <w:r>
        <w:rPr>
          <w:rFonts w:hint="eastAsia" w:ascii="方正大标宋简体" w:hAnsi="方正大标宋简体" w:eastAsia="方正大标宋简体" w:cs="方正大标宋简体"/>
          <w:b w:val="0"/>
          <w:bCs w:val="0"/>
          <w:color w:val="auto"/>
          <w:spacing w:val="6"/>
          <w:sz w:val="44"/>
          <w:szCs w:val="44"/>
          <w:highlight w:val="none"/>
        </w:rPr>
        <w:t>农村综合改革转移支付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auto"/>
          <w:spacing w:val="6"/>
          <w:sz w:val="44"/>
          <w:szCs w:val="44"/>
          <w:highlight w:val="none"/>
        </w:rPr>
      </w:pPr>
      <w:r>
        <w:rPr>
          <w:rFonts w:hint="eastAsia" w:ascii="方正大标宋简体" w:hAnsi="方正大标宋简体" w:eastAsia="方正大标宋简体" w:cs="方正大标宋简体"/>
          <w:b w:val="0"/>
          <w:bCs w:val="0"/>
          <w:color w:val="auto"/>
          <w:spacing w:val="6"/>
          <w:sz w:val="44"/>
          <w:szCs w:val="44"/>
          <w:highlight w:val="none"/>
          <w:lang w:eastAsia="zh-CN"/>
        </w:rPr>
        <w:t>资金</w:t>
      </w:r>
      <w:r>
        <w:rPr>
          <w:rFonts w:hint="eastAsia" w:ascii="方正大标宋简体" w:hAnsi="方正大标宋简体" w:eastAsia="方正大标宋简体" w:cs="方正大标宋简体"/>
          <w:b w:val="0"/>
          <w:bCs w:val="0"/>
          <w:color w:val="auto"/>
          <w:spacing w:val="6"/>
          <w:sz w:val="44"/>
          <w:szCs w:val="44"/>
          <w:highlight w:val="none"/>
        </w:rPr>
        <w:t>管理办法</w:t>
      </w:r>
    </w:p>
    <w:bookmarkEnd w:id="0"/>
    <w:p>
      <w:pPr>
        <w:pStyle w:val="4"/>
        <w:rPr>
          <w:rFonts w:hint="eastAsia"/>
          <w:color w:val="auto"/>
          <w:lang w:eastAsia="zh-CN"/>
        </w:rPr>
      </w:pPr>
    </w:p>
    <w:p>
      <w:pPr>
        <w:spacing w:line="360" w:lineRule="auto"/>
        <w:jc w:val="center"/>
        <w:rPr>
          <w:rFonts w:ascii="黑体" w:eastAsia="黑体"/>
          <w:snapToGrid w:val="0"/>
          <w:color w:val="auto"/>
          <w:spacing w:val="6"/>
          <w:sz w:val="30"/>
          <w:szCs w:val="30"/>
          <w:highlight w:val="none"/>
        </w:rPr>
      </w:pPr>
      <w:r>
        <w:rPr>
          <w:rFonts w:hint="eastAsia" w:ascii="黑体" w:hAnsi="黑体" w:eastAsia="黑体" w:cs="宋体"/>
          <w:bCs/>
          <w:color w:val="auto"/>
          <w:sz w:val="32"/>
          <w:szCs w:val="32"/>
          <w:highlight w:val="none"/>
        </w:rPr>
        <w:t>第一章  总则</w:t>
      </w:r>
    </w:p>
    <w:p>
      <w:pPr>
        <w:spacing w:line="360" w:lineRule="auto"/>
        <w:ind w:firstLine="666" w:firstLineChars="200"/>
        <w:rPr>
          <w:rFonts w:ascii="仿宋_GB2312" w:eastAsia="仿宋_GB2312"/>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第一条</w:t>
      </w:r>
      <w:r>
        <w:rPr>
          <w:rFonts w:hint="eastAsia" w:ascii="仿宋_GB2312" w:eastAsia="仿宋_GB2312"/>
          <w:snapToGrid w:val="0"/>
          <w:color w:val="auto"/>
          <w:spacing w:val="6"/>
          <w:sz w:val="32"/>
          <w:szCs w:val="32"/>
          <w:highlight w:val="none"/>
        </w:rPr>
        <w:t xml:space="preserve"> 为加强农村综合改革转移支付</w:t>
      </w:r>
      <w:r>
        <w:rPr>
          <w:rFonts w:hint="eastAsia" w:ascii="仿宋_GB2312" w:eastAsia="仿宋_GB2312"/>
          <w:snapToGrid w:val="0"/>
          <w:color w:val="auto"/>
          <w:spacing w:val="6"/>
          <w:sz w:val="32"/>
          <w:szCs w:val="32"/>
          <w:highlight w:val="none"/>
          <w:lang w:eastAsia="zh-CN"/>
        </w:rPr>
        <w:t>资金</w:t>
      </w:r>
      <w:r>
        <w:rPr>
          <w:rFonts w:hint="eastAsia" w:ascii="仿宋_GB2312" w:eastAsia="仿宋_GB2312"/>
          <w:snapToGrid w:val="0"/>
          <w:color w:val="auto"/>
          <w:spacing w:val="6"/>
          <w:sz w:val="32"/>
          <w:szCs w:val="32"/>
          <w:highlight w:val="none"/>
        </w:rPr>
        <w:t>管理，提高资金使用效益，推动落实党中央、国务院</w:t>
      </w:r>
      <w:r>
        <w:rPr>
          <w:rFonts w:hint="eastAsia" w:ascii="仿宋_GB2312" w:eastAsia="仿宋_GB2312"/>
          <w:snapToGrid w:val="0"/>
          <w:color w:val="auto"/>
          <w:spacing w:val="6"/>
          <w:sz w:val="32"/>
          <w:szCs w:val="32"/>
          <w:highlight w:val="none"/>
          <w:lang w:eastAsia="zh-CN"/>
        </w:rPr>
        <w:t>和省委、省政府</w:t>
      </w:r>
      <w:r>
        <w:rPr>
          <w:rFonts w:hint="eastAsia" w:ascii="仿宋_GB2312" w:eastAsia="仿宋_GB2312"/>
          <w:snapToGrid w:val="0"/>
          <w:color w:val="auto"/>
          <w:spacing w:val="6"/>
          <w:sz w:val="32"/>
          <w:szCs w:val="32"/>
          <w:highlight w:val="none"/>
        </w:rPr>
        <w:t>有关农村综合改革发展重大决策部署，</w:t>
      </w:r>
      <w:r>
        <w:rPr>
          <w:rFonts w:hint="eastAsia" w:ascii="仿宋_GB2312" w:eastAsia="仿宋_GB2312"/>
          <w:snapToGrid w:val="0"/>
          <w:color w:val="auto"/>
          <w:spacing w:val="6"/>
          <w:sz w:val="32"/>
          <w:szCs w:val="32"/>
          <w:highlight w:val="none"/>
          <w:lang w:eastAsia="zh-CN"/>
        </w:rPr>
        <w:t>贯彻《中国共产党农村工作条例》有关要求，</w:t>
      </w:r>
      <w:r>
        <w:rPr>
          <w:rFonts w:hint="eastAsia" w:ascii="仿宋_GB2312" w:eastAsia="仿宋_GB2312"/>
          <w:snapToGrid w:val="0"/>
          <w:color w:val="auto"/>
          <w:spacing w:val="6"/>
          <w:sz w:val="32"/>
          <w:szCs w:val="32"/>
          <w:highlight w:val="none"/>
        </w:rPr>
        <w:t>根据《中华人民共和国预算法》《中华人民共和国预算法实施条例》等法律法规和《中共中央 国务院关于全面实施预算绩效管理的意见》</w:t>
      </w:r>
      <w:r>
        <w:rPr>
          <w:rFonts w:hint="eastAsia" w:ascii="仿宋_GB2312" w:eastAsia="仿宋_GB2312"/>
          <w:snapToGrid w:val="0"/>
          <w:color w:val="auto"/>
          <w:spacing w:val="6"/>
          <w:sz w:val="32"/>
          <w:szCs w:val="32"/>
          <w:highlight w:val="none"/>
          <w:lang w:eastAsia="zh-CN"/>
        </w:rPr>
        <w:t>以及财政部</w:t>
      </w:r>
      <w:r>
        <w:rPr>
          <w:rFonts w:hint="eastAsia" w:ascii="仿宋_GB2312" w:eastAsia="仿宋_GB2312"/>
          <w:snapToGrid w:val="0"/>
          <w:color w:val="auto"/>
          <w:spacing w:val="6"/>
          <w:sz w:val="32"/>
          <w:szCs w:val="32"/>
          <w:highlight w:val="none"/>
        </w:rPr>
        <w:t>《农村综合改革转移支付</w:t>
      </w:r>
      <w:r>
        <w:rPr>
          <w:rFonts w:hint="eastAsia" w:ascii="仿宋_GB2312" w:eastAsia="仿宋_GB2312"/>
          <w:snapToGrid w:val="0"/>
          <w:color w:val="auto"/>
          <w:spacing w:val="6"/>
          <w:sz w:val="32"/>
          <w:szCs w:val="32"/>
          <w:highlight w:val="none"/>
          <w:lang w:eastAsia="zh-CN"/>
        </w:rPr>
        <w:t>资金</w:t>
      </w:r>
      <w:r>
        <w:rPr>
          <w:rFonts w:hint="eastAsia" w:ascii="仿宋_GB2312" w:eastAsia="仿宋_GB2312"/>
          <w:snapToGrid w:val="0"/>
          <w:color w:val="auto"/>
          <w:spacing w:val="6"/>
          <w:sz w:val="32"/>
          <w:szCs w:val="32"/>
          <w:highlight w:val="none"/>
        </w:rPr>
        <w:t>管理办法》</w:t>
      </w:r>
      <w:r>
        <w:rPr>
          <w:rFonts w:hint="eastAsia" w:ascii="仿宋_GB2312" w:hAnsi="仿宋_GB2312" w:eastAsia="仿宋_GB2312" w:cs="仿宋_GB2312"/>
          <w:color w:val="auto"/>
          <w:sz w:val="32"/>
          <w:szCs w:val="32"/>
          <w:highlight w:val="none"/>
          <w:shd w:val="clear" w:color="auto" w:fill="FFFFFF"/>
        </w:rPr>
        <w:t>（财农</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eastAsia="仿宋_GB2312"/>
          <w:snapToGrid w:val="0"/>
          <w:color w:val="auto"/>
          <w:spacing w:val="6"/>
          <w:sz w:val="32"/>
          <w:szCs w:val="32"/>
          <w:highlight w:val="none"/>
          <w:lang w:eastAsia="zh-CN"/>
        </w:rPr>
        <w:t>《四川省省级财政预算管理办法》</w:t>
      </w:r>
      <w:r>
        <w:rPr>
          <w:rFonts w:hint="eastAsia" w:ascii="仿宋_GB2312" w:hAnsi="宋体" w:eastAsia="仿宋_GB2312" w:cs="宋体"/>
          <w:color w:val="auto"/>
          <w:sz w:val="32"/>
          <w:szCs w:val="32"/>
          <w:highlight w:val="none"/>
        </w:rPr>
        <w:t>等有关制度规定，</w:t>
      </w:r>
      <w:r>
        <w:rPr>
          <w:rFonts w:hint="eastAsia" w:ascii="仿宋_GB2312" w:eastAsia="仿宋_GB2312"/>
          <w:snapToGrid w:val="0"/>
          <w:color w:val="auto"/>
          <w:spacing w:val="6"/>
          <w:sz w:val="32"/>
          <w:szCs w:val="32"/>
          <w:highlight w:val="none"/>
        </w:rPr>
        <w:t>制定本办法。</w:t>
      </w:r>
    </w:p>
    <w:p>
      <w:pPr>
        <w:spacing w:line="360" w:lineRule="auto"/>
        <w:ind w:firstLine="666" w:firstLineChars="200"/>
        <w:rPr>
          <w:rFonts w:hint="eastAsia" w:ascii="仿宋_GB2312" w:eastAsia="仿宋_GB2312"/>
          <w:color w:val="auto"/>
          <w:spacing w:val="6"/>
          <w:sz w:val="32"/>
          <w:szCs w:val="32"/>
          <w:highlight w:val="none"/>
        </w:rPr>
      </w:pPr>
      <w:r>
        <w:rPr>
          <w:rFonts w:hint="eastAsia" w:ascii="楷体_GB2312" w:eastAsia="楷体_GB2312"/>
          <w:b/>
          <w:snapToGrid w:val="0"/>
          <w:color w:val="auto"/>
          <w:spacing w:val="6"/>
          <w:sz w:val="32"/>
          <w:szCs w:val="32"/>
          <w:highlight w:val="none"/>
        </w:rPr>
        <w:t xml:space="preserve">第二条 </w:t>
      </w:r>
      <w:r>
        <w:rPr>
          <w:rFonts w:hint="eastAsia" w:ascii="仿宋_GB2312" w:eastAsia="仿宋_GB2312"/>
          <w:snapToGrid w:val="0"/>
          <w:color w:val="auto"/>
          <w:spacing w:val="6"/>
          <w:sz w:val="32"/>
          <w:szCs w:val="32"/>
          <w:highlight w:val="none"/>
        </w:rPr>
        <w:t>本办法所称农村综合改革转移支付是指中央</w:t>
      </w:r>
      <w:r>
        <w:rPr>
          <w:rFonts w:hint="eastAsia" w:ascii="仿宋_GB2312" w:eastAsia="仿宋_GB2312"/>
          <w:snapToGrid w:val="0"/>
          <w:color w:val="auto"/>
          <w:spacing w:val="6"/>
          <w:sz w:val="32"/>
          <w:szCs w:val="32"/>
          <w:highlight w:val="none"/>
          <w:lang w:eastAsia="zh-CN"/>
        </w:rPr>
        <w:t>和省级</w:t>
      </w:r>
      <w:r>
        <w:rPr>
          <w:rFonts w:hint="eastAsia" w:ascii="仿宋_GB2312" w:eastAsia="仿宋_GB2312"/>
          <w:snapToGrid w:val="0"/>
          <w:color w:val="auto"/>
          <w:spacing w:val="6"/>
          <w:sz w:val="32"/>
          <w:szCs w:val="32"/>
          <w:highlight w:val="none"/>
        </w:rPr>
        <w:t>财政安排用于支持农村综合改革发展工作的专项转移支付，</w:t>
      </w:r>
      <w:r>
        <w:rPr>
          <w:rFonts w:ascii="仿宋_GB2312" w:eastAsia="仿宋_GB2312"/>
          <w:color w:val="auto"/>
          <w:spacing w:val="6"/>
          <w:sz w:val="32"/>
          <w:szCs w:val="32"/>
          <w:highlight w:val="none"/>
        </w:rPr>
        <w:t>对</w:t>
      </w:r>
      <w:r>
        <w:rPr>
          <w:rFonts w:hint="eastAsia" w:ascii="仿宋_GB2312" w:eastAsia="仿宋_GB2312"/>
          <w:color w:val="auto"/>
          <w:spacing w:val="6"/>
          <w:sz w:val="32"/>
          <w:szCs w:val="32"/>
          <w:highlight w:val="none"/>
          <w:lang w:eastAsia="zh-CN"/>
        </w:rPr>
        <w:t>各</w:t>
      </w:r>
      <w:r>
        <w:rPr>
          <w:rFonts w:ascii="仿宋_GB2312" w:eastAsia="仿宋_GB2312"/>
          <w:color w:val="auto"/>
          <w:spacing w:val="6"/>
          <w:sz w:val="32"/>
          <w:szCs w:val="32"/>
          <w:highlight w:val="none"/>
        </w:rPr>
        <w:t>地开展相关工作给予适当补助</w:t>
      </w:r>
      <w:r>
        <w:rPr>
          <w:rFonts w:hint="eastAsia" w:ascii="仿宋_GB2312" w:eastAsia="仿宋_GB2312"/>
          <w:color w:val="auto"/>
          <w:spacing w:val="6"/>
          <w:sz w:val="32"/>
          <w:szCs w:val="32"/>
          <w:highlight w:val="none"/>
        </w:rPr>
        <w:t>。</w:t>
      </w:r>
    </w:p>
    <w:p>
      <w:pPr>
        <w:spacing w:line="360" w:lineRule="auto"/>
        <w:ind w:firstLine="666" w:firstLineChars="200"/>
        <w:rPr>
          <w:rFonts w:hint="eastAsia" w:ascii="仿宋_GB2312" w:eastAsia="仿宋_GB2312"/>
          <w:color w:val="auto"/>
          <w:spacing w:val="6"/>
          <w:sz w:val="32"/>
          <w:szCs w:val="32"/>
          <w:highlight w:val="none"/>
        </w:rPr>
      </w:pPr>
      <w:r>
        <w:rPr>
          <w:rFonts w:hint="eastAsia" w:ascii="楷体_GB2312" w:eastAsia="楷体_GB2312"/>
          <w:b/>
          <w:snapToGrid w:val="0"/>
          <w:color w:val="auto"/>
          <w:spacing w:val="6"/>
          <w:sz w:val="32"/>
          <w:szCs w:val="32"/>
          <w:highlight w:val="none"/>
        </w:rPr>
        <w:t xml:space="preserve">第三条 </w:t>
      </w:r>
      <w:r>
        <w:rPr>
          <w:rFonts w:ascii="仿宋_GB2312" w:eastAsia="仿宋_GB2312"/>
          <w:color w:val="auto"/>
          <w:spacing w:val="6"/>
          <w:sz w:val="32"/>
          <w:szCs w:val="32"/>
          <w:highlight w:val="none"/>
        </w:rPr>
        <w:t>财政</w:t>
      </w:r>
      <w:r>
        <w:rPr>
          <w:rFonts w:hint="eastAsia" w:ascii="仿宋_GB2312" w:eastAsia="仿宋_GB2312"/>
          <w:color w:val="auto"/>
          <w:spacing w:val="6"/>
          <w:sz w:val="32"/>
          <w:szCs w:val="32"/>
          <w:highlight w:val="none"/>
          <w:lang w:eastAsia="zh-CN"/>
        </w:rPr>
        <w:t>厅</w:t>
      </w:r>
      <w:r>
        <w:rPr>
          <w:rFonts w:ascii="仿宋_GB2312" w:eastAsia="仿宋_GB2312"/>
          <w:color w:val="auto"/>
          <w:spacing w:val="6"/>
          <w:sz w:val="32"/>
          <w:szCs w:val="32"/>
          <w:highlight w:val="none"/>
        </w:rPr>
        <w:t>负责编制</w:t>
      </w:r>
      <w:r>
        <w:rPr>
          <w:rFonts w:hint="eastAsia" w:ascii="仿宋_GB2312" w:eastAsia="仿宋_GB2312"/>
          <w:color w:val="auto"/>
          <w:spacing w:val="6"/>
          <w:sz w:val="32"/>
          <w:szCs w:val="32"/>
          <w:highlight w:val="none"/>
          <w:lang w:eastAsia="zh-CN"/>
        </w:rPr>
        <w:t>全省</w:t>
      </w:r>
      <w:r>
        <w:rPr>
          <w:rFonts w:hint="eastAsia" w:ascii="仿宋_GB2312" w:eastAsia="仿宋_GB2312"/>
          <w:color w:val="auto"/>
          <w:spacing w:val="6"/>
          <w:sz w:val="32"/>
          <w:szCs w:val="32"/>
          <w:highlight w:val="none"/>
        </w:rPr>
        <w:t>农村综合改革转移支付</w:t>
      </w:r>
      <w:r>
        <w:rPr>
          <w:rFonts w:ascii="仿宋_GB2312" w:eastAsia="仿宋_GB2312"/>
          <w:color w:val="auto"/>
          <w:spacing w:val="6"/>
          <w:sz w:val="32"/>
          <w:szCs w:val="32"/>
          <w:highlight w:val="none"/>
        </w:rPr>
        <w:t>预算，分配下达</w:t>
      </w:r>
      <w:r>
        <w:rPr>
          <w:rFonts w:hint="eastAsia" w:ascii="仿宋_GB2312" w:eastAsia="仿宋_GB2312"/>
          <w:color w:val="auto"/>
          <w:spacing w:val="6"/>
          <w:sz w:val="32"/>
          <w:szCs w:val="32"/>
          <w:highlight w:val="none"/>
        </w:rPr>
        <w:t>预算和工作任务</w:t>
      </w:r>
      <w:r>
        <w:rPr>
          <w:rFonts w:ascii="仿宋_GB2312" w:eastAsia="仿宋_GB2312"/>
          <w:color w:val="auto"/>
          <w:spacing w:val="6"/>
          <w:sz w:val="32"/>
          <w:szCs w:val="32"/>
          <w:highlight w:val="none"/>
        </w:rPr>
        <w:t>，组织开展</w:t>
      </w:r>
      <w:r>
        <w:rPr>
          <w:rFonts w:hint="eastAsia" w:ascii="仿宋_GB2312" w:eastAsia="仿宋_GB2312"/>
          <w:color w:val="auto"/>
          <w:spacing w:val="6"/>
          <w:sz w:val="32"/>
          <w:szCs w:val="32"/>
          <w:highlight w:val="none"/>
        </w:rPr>
        <w:t>预算</w:t>
      </w:r>
      <w:r>
        <w:rPr>
          <w:rFonts w:ascii="仿宋_GB2312" w:eastAsia="仿宋_GB2312"/>
          <w:color w:val="auto"/>
          <w:spacing w:val="6"/>
          <w:sz w:val="32"/>
          <w:szCs w:val="32"/>
          <w:highlight w:val="none"/>
        </w:rPr>
        <w:t>绩效管理工作，指导</w:t>
      </w:r>
      <w:r>
        <w:rPr>
          <w:rFonts w:hint="eastAsia" w:ascii="仿宋_GB2312" w:eastAsia="仿宋_GB2312"/>
          <w:color w:val="auto"/>
          <w:spacing w:val="6"/>
          <w:sz w:val="32"/>
          <w:szCs w:val="32"/>
          <w:highlight w:val="none"/>
          <w:lang w:eastAsia="zh-CN"/>
        </w:rPr>
        <w:t>各</w:t>
      </w:r>
      <w:r>
        <w:rPr>
          <w:rFonts w:ascii="仿宋_GB2312" w:eastAsia="仿宋_GB2312"/>
          <w:color w:val="auto"/>
          <w:spacing w:val="6"/>
          <w:sz w:val="32"/>
          <w:szCs w:val="32"/>
          <w:highlight w:val="none"/>
        </w:rPr>
        <w:t>地加强资金管</w:t>
      </w:r>
      <w:r>
        <w:rPr>
          <w:rFonts w:hint="eastAsia" w:ascii="仿宋_GB2312" w:eastAsia="仿宋_GB2312"/>
          <w:color w:val="auto"/>
          <w:spacing w:val="6"/>
          <w:sz w:val="32"/>
          <w:szCs w:val="32"/>
          <w:highlight w:val="none"/>
        </w:rPr>
        <w:t>理等相关工作。</w:t>
      </w:r>
    </w:p>
    <w:p>
      <w:pPr>
        <w:spacing w:line="360" w:lineRule="auto"/>
        <w:ind w:firstLine="664" w:firstLineChars="200"/>
        <w:rPr>
          <w:rFonts w:hint="eastAsia" w:ascii="仿宋_GB2312" w:eastAsia="仿宋_GB2312"/>
          <w:color w:val="auto"/>
          <w:spacing w:val="6"/>
          <w:sz w:val="32"/>
          <w:szCs w:val="32"/>
          <w:highlight w:val="none"/>
        </w:rPr>
      </w:pPr>
      <w:r>
        <w:rPr>
          <w:rFonts w:hint="eastAsia" w:ascii="仿宋_GB2312" w:eastAsia="仿宋_GB2312"/>
          <w:color w:val="auto"/>
          <w:spacing w:val="6"/>
          <w:sz w:val="32"/>
          <w:szCs w:val="32"/>
          <w:highlight w:val="none"/>
          <w:lang w:eastAsia="zh-CN"/>
        </w:rPr>
        <w:t>市（州）、县（市、区）</w:t>
      </w:r>
      <w:r>
        <w:rPr>
          <w:rFonts w:hint="eastAsia" w:ascii="仿宋_GB2312" w:eastAsia="仿宋_GB2312"/>
          <w:color w:val="auto"/>
          <w:spacing w:val="6"/>
          <w:sz w:val="32"/>
          <w:szCs w:val="32"/>
          <w:highlight w:val="none"/>
        </w:rPr>
        <w:t>财政部门负责农村综合改革转移支付预算的分解下达、审核拨付、使用监督、预算绩效管理以及项目组织实施等工作，并对</w:t>
      </w:r>
      <w:r>
        <w:rPr>
          <w:rFonts w:hint="eastAsia" w:ascii="仿宋_GB2312" w:eastAsia="仿宋_GB2312"/>
          <w:color w:val="auto"/>
          <w:spacing w:val="6"/>
          <w:sz w:val="32"/>
          <w:szCs w:val="32"/>
          <w:highlight w:val="none"/>
          <w:lang w:eastAsia="zh-CN"/>
        </w:rPr>
        <w:t>上报的可能影响资金分配结果的有关数据和信息的真实性、准确性，以及</w:t>
      </w:r>
      <w:r>
        <w:rPr>
          <w:rFonts w:hint="eastAsia" w:ascii="仿宋_GB2312" w:eastAsia="仿宋_GB2312"/>
          <w:color w:val="auto"/>
          <w:spacing w:val="6"/>
          <w:sz w:val="32"/>
          <w:szCs w:val="32"/>
          <w:highlight w:val="none"/>
        </w:rPr>
        <w:t>资金使用的合规性和有效性负责。</w:t>
      </w:r>
    </w:p>
    <w:p>
      <w:pPr>
        <w:spacing w:line="360" w:lineRule="auto"/>
        <w:ind w:firstLine="664" w:firstLineChars="200"/>
        <w:rPr>
          <w:rFonts w:hint="eastAsia" w:ascii="仿宋_GB2312" w:eastAsia="仿宋_GB2312"/>
          <w:color w:val="auto"/>
          <w:spacing w:val="6"/>
          <w:sz w:val="32"/>
          <w:szCs w:val="32"/>
          <w:highlight w:val="none"/>
        </w:rPr>
      </w:pPr>
      <w:r>
        <w:rPr>
          <w:rFonts w:hint="eastAsia" w:ascii="仿宋_GB2312" w:eastAsia="仿宋_GB2312"/>
          <w:color w:val="auto"/>
          <w:spacing w:val="6"/>
          <w:sz w:val="32"/>
          <w:szCs w:val="32"/>
          <w:highlight w:val="none"/>
          <w:lang w:eastAsia="zh-CN"/>
        </w:rPr>
        <w:t>市（州）、县（市、区）</w:t>
      </w:r>
      <w:r>
        <w:rPr>
          <w:rFonts w:hint="eastAsia" w:ascii="仿宋_GB2312" w:eastAsia="仿宋_GB2312"/>
          <w:color w:val="auto"/>
          <w:spacing w:val="6"/>
          <w:sz w:val="32"/>
          <w:szCs w:val="32"/>
          <w:lang w:val="en" w:eastAsia="zh-CN"/>
        </w:rPr>
        <w:t>财政部门应当建立</w:t>
      </w:r>
      <w:r>
        <w:rPr>
          <w:rFonts w:hint="eastAsia" w:ascii="仿宋_GB2312" w:eastAsia="仿宋_GB2312"/>
          <w:color w:val="auto"/>
          <w:spacing w:val="6"/>
          <w:sz w:val="32"/>
          <w:szCs w:val="32"/>
        </w:rPr>
        <w:t>农村综合改革转移支付</w:t>
      </w:r>
      <w:r>
        <w:rPr>
          <w:rFonts w:hint="eastAsia" w:ascii="仿宋_GB2312" w:eastAsia="仿宋_GB2312"/>
          <w:color w:val="auto"/>
          <w:spacing w:val="6"/>
          <w:sz w:val="32"/>
          <w:szCs w:val="32"/>
          <w:lang w:eastAsia="zh-CN"/>
        </w:rPr>
        <w:t>滚动</w:t>
      </w:r>
      <w:r>
        <w:rPr>
          <w:rFonts w:hint="eastAsia" w:ascii="仿宋_GB2312" w:eastAsia="仿宋_GB2312"/>
          <w:color w:val="auto"/>
          <w:spacing w:val="6"/>
          <w:sz w:val="32"/>
          <w:szCs w:val="32"/>
          <w:lang w:val="en" w:eastAsia="zh-CN"/>
        </w:rPr>
        <w:t>项目库，健全农村综合改革转移支付项目储备机制，加强项目管理，督促项目实施，提升项目管理水平。</w:t>
      </w:r>
    </w:p>
    <w:p>
      <w:pPr>
        <w:spacing w:line="360" w:lineRule="auto"/>
        <w:ind w:firstLine="666" w:firstLineChars="200"/>
        <w:rPr>
          <w:rFonts w:ascii="仿宋_GB2312" w:eastAsia="仿宋_GB2312"/>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 xml:space="preserve">第四条 </w:t>
      </w:r>
      <w:r>
        <w:rPr>
          <w:rFonts w:hint="eastAsia" w:ascii="仿宋_GB2312" w:eastAsia="仿宋_GB2312"/>
          <w:snapToGrid w:val="0"/>
          <w:color w:val="auto"/>
          <w:spacing w:val="6"/>
          <w:sz w:val="32"/>
          <w:szCs w:val="32"/>
          <w:highlight w:val="none"/>
        </w:rPr>
        <w:t>各地应</w:t>
      </w:r>
      <w:r>
        <w:rPr>
          <w:rFonts w:hint="eastAsia" w:ascii="仿宋_GB2312" w:eastAsia="仿宋_GB2312"/>
          <w:snapToGrid w:val="0"/>
          <w:color w:val="auto"/>
          <w:spacing w:val="6"/>
          <w:sz w:val="32"/>
          <w:szCs w:val="32"/>
          <w:highlight w:val="none"/>
          <w:lang w:eastAsia="zh-CN"/>
        </w:rPr>
        <w:t>因地制宜、实事求是，尽力而为、量力而行，</w:t>
      </w:r>
      <w:r>
        <w:rPr>
          <w:rFonts w:hint="eastAsia" w:ascii="仿宋_GB2312" w:eastAsia="仿宋_GB2312"/>
          <w:snapToGrid w:val="0"/>
          <w:color w:val="auto"/>
          <w:spacing w:val="6"/>
          <w:sz w:val="32"/>
          <w:szCs w:val="32"/>
          <w:highlight w:val="none"/>
        </w:rPr>
        <w:t>创新农村综合改革转移支付投入和使用方式，积极采用</w:t>
      </w:r>
      <w:r>
        <w:rPr>
          <w:rFonts w:hint="eastAsia" w:ascii="仿宋_GB2312" w:hAnsi="宋体" w:eastAsia="仿宋_GB2312" w:cs="宋体"/>
          <w:color w:val="auto"/>
          <w:kern w:val="0"/>
          <w:sz w:val="32"/>
          <w:szCs w:val="32"/>
          <w:highlight w:val="none"/>
        </w:rPr>
        <w:t>以奖代补、民办公助、</w:t>
      </w:r>
      <w:r>
        <w:rPr>
          <w:rFonts w:hint="eastAsia" w:ascii="仿宋_GB2312" w:eastAsia="仿宋_GB2312"/>
          <w:snapToGrid w:val="0"/>
          <w:color w:val="auto"/>
          <w:spacing w:val="6"/>
          <w:sz w:val="32"/>
          <w:szCs w:val="32"/>
          <w:highlight w:val="none"/>
          <w:lang w:eastAsia="zh-CN"/>
        </w:rPr>
        <w:t>政府购买服务</w:t>
      </w:r>
      <w:r>
        <w:rPr>
          <w:rFonts w:hint="eastAsia" w:ascii="仿宋_GB2312" w:eastAsia="仿宋_GB2312"/>
          <w:snapToGrid w:val="0"/>
          <w:color w:val="auto"/>
          <w:spacing w:val="6"/>
          <w:sz w:val="32"/>
          <w:szCs w:val="32"/>
          <w:highlight w:val="none"/>
        </w:rPr>
        <w:t>等方式，引导社会资金参与农村综合改革发展有关事项，放大财政资金使用效能。</w:t>
      </w:r>
    </w:p>
    <w:p>
      <w:pPr>
        <w:spacing w:line="360" w:lineRule="auto"/>
        <w:ind w:firstLine="640" w:firstLineChars="200"/>
        <w:rPr>
          <w:rFonts w:ascii="黑体" w:hAnsi="黑体" w:eastAsia="黑体" w:cs="宋体"/>
          <w:bCs/>
          <w:color w:val="auto"/>
          <w:sz w:val="32"/>
          <w:szCs w:val="32"/>
          <w:highlight w:val="none"/>
        </w:rPr>
      </w:pPr>
    </w:p>
    <w:p>
      <w:pPr>
        <w:spacing w:line="360" w:lineRule="auto"/>
        <w:jc w:val="center"/>
        <w:rPr>
          <w:rFonts w:ascii="仿宋_GB2312" w:eastAsia="仿宋_GB2312"/>
          <w:snapToGrid w:val="0"/>
          <w:color w:val="auto"/>
          <w:spacing w:val="6"/>
          <w:sz w:val="32"/>
          <w:szCs w:val="32"/>
          <w:highlight w:val="none"/>
        </w:rPr>
      </w:pPr>
      <w:r>
        <w:rPr>
          <w:rFonts w:hint="eastAsia" w:ascii="黑体" w:hAnsi="黑体" w:eastAsia="黑体" w:cs="宋体"/>
          <w:bCs/>
          <w:color w:val="auto"/>
          <w:sz w:val="32"/>
          <w:szCs w:val="32"/>
          <w:highlight w:val="none"/>
        </w:rPr>
        <w:t>第二章 资金使用范围</w:t>
      </w:r>
    </w:p>
    <w:p>
      <w:pPr>
        <w:spacing w:line="360" w:lineRule="auto"/>
        <w:ind w:firstLine="666" w:firstLineChars="200"/>
        <w:rPr>
          <w:rFonts w:hint="eastAsia" w:ascii="仿宋_GB2312" w:eastAsia="仿宋_GB2312"/>
          <w:snapToGrid w:val="0"/>
          <w:color w:val="auto"/>
          <w:spacing w:val="6"/>
          <w:sz w:val="32"/>
          <w:szCs w:val="32"/>
          <w:highlight w:val="none"/>
          <w:lang w:eastAsia="zh-CN"/>
        </w:rPr>
      </w:pPr>
      <w:r>
        <w:rPr>
          <w:rFonts w:hint="eastAsia" w:ascii="楷体_GB2312" w:eastAsia="楷体_GB2312"/>
          <w:b/>
          <w:snapToGrid w:val="0"/>
          <w:color w:val="auto"/>
          <w:spacing w:val="6"/>
          <w:sz w:val="32"/>
          <w:szCs w:val="32"/>
          <w:highlight w:val="none"/>
        </w:rPr>
        <w:t xml:space="preserve">第五条 </w:t>
      </w:r>
      <w:r>
        <w:rPr>
          <w:rFonts w:hint="eastAsia" w:ascii="仿宋_GB2312" w:eastAsia="仿宋_GB2312"/>
          <w:snapToGrid w:val="0"/>
          <w:color w:val="auto"/>
          <w:spacing w:val="6"/>
          <w:sz w:val="32"/>
          <w:szCs w:val="32"/>
          <w:highlight w:val="none"/>
        </w:rPr>
        <w:t>农村综合改革转移支付用于补助</w:t>
      </w:r>
      <w:r>
        <w:rPr>
          <w:rFonts w:hint="eastAsia" w:ascii="仿宋_GB2312" w:hAnsi="仿宋" w:eastAsia="仿宋_GB2312" w:cs="宋体"/>
          <w:color w:val="auto"/>
          <w:sz w:val="32"/>
          <w:szCs w:val="32"/>
          <w:highlight w:val="none"/>
        </w:rPr>
        <w:t>各</w:t>
      </w:r>
      <w:r>
        <w:rPr>
          <w:rFonts w:hint="eastAsia" w:ascii="仿宋_GB2312" w:hAnsi="仿宋" w:eastAsia="仿宋_GB2312" w:cs="宋体"/>
          <w:color w:val="auto"/>
          <w:sz w:val="32"/>
          <w:szCs w:val="32"/>
          <w:highlight w:val="none"/>
          <w:lang w:eastAsia="zh-CN"/>
        </w:rPr>
        <w:t>地</w:t>
      </w:r>
      <w:r>
        <w:rPr>
          <w:rFonts w:hint="eastAsia" w:ascii="仿宋_GB2312" w:eastAsia="仿宋_GB2312"/>
          <w:snapToGrid w:val="0"/>
          <w:color w:val="auto"/>
          <w:spacing w:val="6"/>
          <w:sz w:val="32"/>
          <w:szCs w:val="32"/>
          <w:highlight w:val="none"/>
          <w:lang w:eastAsia="zh-CN"/>
        </w:rPr>
        <w:t>开展</w:t>
      </w:r>
      <w:r>
        <w:rPr>
          <w:rFonts w:hint="eastAsia" w:ascii="仿宋_GB2312" w:eastAsia="仿宋_GB2312"/>
          <w:snapToGrid w:val="0"/>
          <w:color w:val="auto"/>
          <w:spacing w:val="6"/>
          <w:sz w:val="32"/>
          <w:szCs w:val="32"/>
          <w:highlight w:val="none"/>
          <w:lang w:val="en" w:eastAsia="zh-CN"/>
        </w:rPr>
        <w:t>农村公益事业建设</w:t>
      </w:r>
      <w:r>
        <w:rPr>
          <w:rFonts w:hint="default" w:ascii="仿宋_GB2312" w:eastAsia="仿宋_GB2312"/>
          <w:snapToGrid w:val="0"/>
          <w:color w:val="auto"/>
          <w:spacing w:val="6"/>
          <w:sz w:val="32"/>
          <w:szCs w:val="32"/>
          <w:highlight w:val="none"/>
          <w:lang w:val="en"/>
        </w:rPr>
        <w:t>财政奖补</w:t>
      </w:r>
      <w:r>
        <w:rPr>
          <w:rFonts w:hint="eastAsia" w:ascii="仿宋_GB2312" w:eastAsia="仿宋_GB2312"/>
          <w:snapToGrid w:val="0"/>
          <w:color w:val="auto"/>
          <w:spacing w:val="6"/>
          <w:sz w:val="32"/>
          <w:szCs w:val="32"/>
          <w:highlight w:val="none"/>
        </w:rPr>
        <w:t>、</w:t>
      </w:r>
      <w:r>
        <w:rPr>
          <w:rFonts w:hint="eastAsia" w:ascii="仿宋_GB2312" w:eastAsia="仿宋_GB2312"/>
          <w:snapToGrid w:val="0"/>
          <w:color w:val="auto"/>
          <w:spacing w:val="6"/>
          <w:sz w:val="32"/>
          <w:szCs w:val="32"/>
          <w:highlight w:val="none"/>
          <w:lang w:eastAsia="zh-CN"/>
        </w:rPr>
        <w:t>农村综合改革发展相关示范试点</w:t>
      </w:r>
      <w:r>
        <w:rPr>
          <w:rFonts w:hint="eastAsia" w:ascii="仿宋_GB2312" w:eastAsia="仿宋_GB2312"/>
          <w:snapToGrid w:val="0"/>
          <w:color w:val="auto"/>
          <w:spacing w:val="6"/>
          <w:sz w:val="32"/>
          <w:szCs w:val="32"/>
          <w:highlight w:val="none"/>
        </w:rPr>
        <w:t>等工作。</w:t>
      </w:r>
      <w:r>
        <w:rPr>
          <w:rFonts w:hint="eastAsia" w:ascii="仿宋_GB2312" w:eastAsia="仿宋_GB2312"/>
          <w:snapToGrid w:val="0"/>
          <w:color w:val="auto"/>
          <w:spacing w:val="6"/>
          <w:sz w:val="32"/>
          <w:szCs w:val="32"/>
          <w:highlight w:val="none"/>
          <w:lang w:eastAsia="zh-CN"/>
        </w:rPr>
        <w:t>其中：</w:t>
      </w:r>
    </w:p>
    <w:p>
      <w:pPr>
        <w:spacing w:line="360" w:lineRule="auto"/>
        <w:ind w:firstLine="664" w:firstLineChars="200"/>
        <w:rPr>
          <w:rFonts w:hint="eastAsia" w:ascii="仿宋_GB2312" w:eastAsia="仿宋_GB2312"/>
          <w:color w:val="auto"/>
          <w:sz w:val="32"/>
          <w:highlight w:val="none"/>
        </w:rPr>
      </w:pPr>
      <w:r>
        <w:rPr>
          <w:rFonts w:hint="eastAsia" w:ascii="仿宋_GB2312" w:eastAsia="仿宋_GB2312"/>
          <w:snapToGrid w:val="0"/>
          <w:color w:val="auto"/>
          <w:spacing w:val="6"/>
          <w:sz w:val="32"/>
          <w:szCs w:val="32"/>
          <w:highlight w:val="none"/>
          <w:lang w:eastAsia="zh-CN"/>
        </w:rPr>
        <w:t>农村公益事业建设</w:t>
      </w:r>
      <w:r>
        <w:rPr>
          <w:rFonts w:hint="eastAsia" w:ascii="仿宋_GB2312" w:eastAsia="仿宋_GB2312"/>
          <w:snapToGrid w:val="0"/>
          <w:color w:val="auto"/>
          <w:spacing w:val="6"/>
          <w:sz w:val="32"/>
          <w:szCs w:val="32"/>
          <w:highlight w:val="none"/>
        </w:rPr>
        <w:t>财政奖补</w:t>
      </w:r>
      <w:r>
        <w:rPr>
          <w:rFonts w:hint="eastAsia" w:ascii="仿宋_GB2312" w:eastAsia="仿宋_GB2312"/>
          <w:snapToGrid w:val="0"/>
          <w:color w:val="auto"/>
          <w:spacing w:val="6"/>
          <w:sz w:val="32"/>
          <w:szCs w:val="32"/>
          <w:highlight w:val="none"/>
          <w:lang w:eastAsia="zh-CN"/>
        </w:rPr>
        <w:t>支出</w:t>
      </w:r>
      <w:r>
        <w:rPr>
          <w:rFonts w:hint="eastAsia" w:ascii="仿宋_GB2312" w:eastAsia="仿宋_GB2312"/>
          <w:snapToGrid w:val="0"/>
          <w:color w:val="auto"/>
          <w:spacing w:val="6"/>
          <w:sz w:val="32"/>
          <w:szCs w:val="32"/>
          <w:highlight w:val="none"/>
        </w:rPr>
        <w:t>用于</w:t>
      </w:r>
      <w:r>
        <w:rPr>
          <w:rFonts w:hint="eastAsia" w:ascii="仿宋_GB2312" w:eastAsia="仿宋_GB2312"/>
          <w:color w:val="auto"/>
          <w:sz w:val="32"/>
          <w:highlight w:val="none"/>
        </w:rPr>
        <w:t>对农民通过民主程序议定的</w:t>
      </w:r>
      <w:r>
        <w:rPr>
          <w:rFonts w:hint="eastAsia" w:ascii="仿宋_GB2312" w:eastAsia="仿宋_GB2312"/>
          <w:color w:val="auto"/>
          <w:sz w:val="32"/>
          <w:highlight w:val="none"/>
          <w:lang w:eastAsia="zh-CN"/>
        </w:rPr>
        <w:t>“村内户外”农村</w:t>
      </w:r>
      <w:r>
        <w:rPr>
          <w:rFonts w:hint="eastAsia" w:ascii="仿宋_GB2312" w:eastAsia="仿宋_GB2312"/>
          <w:color w:val="auto"/>
          <w:sz w:val="32"/>
          <w:highlight w:val="none"/>
        </w:rPr>
        <w:t>公益</w:t>
      </w:r>
      <w:r>
        <w:rPr>
          <w:rFonts w:hint="eastAsia" w:ascii="仿宋_GB2312" w:eastAsia="仿宋_GB2312"/>
          <w:color w:val="auto"/>
          <w:sz w:val="32"/>
          <w:highlight w:val="none"/>
          <w:lang w:eastAsia="zh-CN"/>
        </w:rPr>
        <w:t>事业</w:t>
      </w:r>
      <w:r>
        <w:rPr>
          <w:rFonts w:hint="eastAsia" w:ascii="仿宋_GB2312" w:eastAsia="仿宋_GB2312"/>
          <w:color w:val="auto"/>
          <w:sz w:val="32"/>
          <w:highlight w:val="none"/>
        </w:rPr>
        <w:t>建设项目给予奖补</w:t>
      </w:r>
      <w:r>
        <w:rPr>
          <w:rFonts w:hint="eastAsia" w:ascii="仿宋_GB2312" w:eastAsia="仿宋_GB2312"/>
          <w:color w:val="auto"/>
          <w:sz w:val="32"/>
          <w:highlight w:val="none"/>
          <w:lang w:eastAsia="zh-CN"/>
        </w:rPr>
        <w:t>，主要支持各地加快建设村内道路、村容村貌改造、村内坑塘沟渠以及村民通过民主程序议定需要兴办且符合有关规定的其他公益事业建设项目</w:t>
      </w:r>
      <w:r>
        <w:rPr>
          <w:rFonts w:hint="eastAsia" w:ascii="仿宋_GB2312" w:eastAsia="仿宋_GB2312"/>
          <w:color w:val="auto"/>
          <w:sz w:val="32"/>
          <w:highlight w:val="none"/>
        </w:rPr>
        <w:t>。</w:t>
      </w:r>
    </w:p>
    <w:p>
      <w:pPr>
        <w:spacing w:line="360" w:lineRule="auto"/>
        <w:ind w:firstLine="664" w:firstLineChars="200"/>
        <w:rPr>
          <w:rFonts w:hint="eastAsia" w:ascii="仿宋_GB2312" w:eastAsia="仿宋_GB2312"/>
          <w:snapToGrid w:val="0"/>
          <w:color w:val="auto"/>
          <w:spacing w:val="6"/>
          <w:sz w:val="32"/>
          <w:szCs w:val="32"/>
          <w:highlight w:val="none"/>
        </w:rPr>
      </w:pPr>
      <w:r>
        <w:rPr>
          <w:rFonts w:hint="eastAsia" w:ascii="仿宋_GB2312" w:eastAsia="仿宋_GB2312"/>
          <w:snapToGrid w:val="0"/>
          <w:color w:val="auto"/>
          <w:spacing w:val="6"/>
          <w:sz w:val="32"/>
          <w:szCs w:val="32"/>
          <w:highlight w:val="none"/>
          <w:lang w:eastAsia="zh-CN"/>
        </w:rPr>
        <w:t>农村综合改革发展相关示范试点支出</w:t>
      </w:r>
      <w:r>
        <w:rPr>
          <w:rFonts w:hint="eastAsia" w:ascii="仿宋_GB2312" w:eastAsia="仿宋_GB2312"/>
          <w:snapToGrid w:val="0"/>
          <w:color w:val="auto"/>
          <w:spacing w:val="6"/>
          <w:sz w:val="32"/>
          <w:szCs w:val="32"/>
          <w:highlight w:val="none"/>
        </w:rPr>
        <w:t>用于支持</w:t>
      </w:r>
      <w:r>
        <w:rPr>
          <w:rFonts w:hint="eastAsia" w:ascii="仿宋_GB2312" w:eastAsia="仿宋_GB2312"/>
          <w:snapToGrid w:val="0"/>
          <w:color w:val="auto"/>
          <w:spacing w:val="6"/>
          <w:sz w:val="32"/>
          <w:szCs w:val="32"/>
          <w:highlight w:val="none"/>
          <w:lang w:eastAsia="zh-CN"/>
        </w:rPr>
        <w:t>落实</w:t>
      </w:r>
      <w:r>
        <w:rPr>
          <w:rFonts w:hint="eastAsia" w:ascii="仿宋_GB2312" w:eastAsia="仿宋_GB2312"/>
          <w:snapToGrid w:val="0"/>
          <w:color w:val="auto"/>
          <w:spacing w:val="6"/>
          <w:sz w:val="32"/>
          <w:szCs w:val="32"/>
          <w:highlight w:val="none"/>
        </w:rPr>
        <w:t>党中央、国务院</w:t>
      </w:r>
      <w:r>
        <w:rPr>
          <w:rFonts w:hint="eastAsia" w:ascii="仿宋_GB2312" w:eastAsia="仿宋_GB2312"/>
          <w:snapToGrid w:val="0"/>
          <w:color w:val="auto"/>
          <w:spacing w:val="6"/>
          <w:sz w:val="32"/>
          <w:szCs w:val="32"/>
          <w:highlight w:val="none"/>
          <w:lang w:eastAsia="zh-CN"/>
        </w:rPr>
        <w:t>和</w:t>
      </w:r>
      <w:r>
        <w:rPr>
          <w:rFonts w:hint="eastAsia" w:ascii="仿宋_GB2312" w:eastAsia="仿宋_GB2312"/>
          <w:snapToGrid w:val="0"/>
          <w:color w:val="auto"/>
          <w:spacing w:val="6"/>
          <w:sz w:val="32"/>
          <w:szCs w:val="32"/>
          <w:highlight w:val="none"/>
        </w:rPr>
        <w:t>省委、省政府</w:t>
      </w:r>
      <w:r>
        <w:rPr>
          <w:rFonts w:hint="eastAsia" w:ascii="仿宋_GB2312" w:eastAsia="仿宋_GB2312"/>
          <w:snapToGrid w:val="0"/>
          <w:color w:val="auto"/>
          <w:spacing w:val="6"/>
          <w:sz w:val="32"/>
          <w:szCs w:val="32"/>
          <w:highlight w:val="none"/>
          <w:lang w:eastAsia="zh-CN"/>
        </w:rPr>
        <w:t>有关部署，按程序承担示范试点任务的地区</w:t>
      </w:r>
      <w:r>
        <w:rPr>
          <w:rFonts w:hint="eastAsia" w:ascii="仿宋_GB2312" w:eastAsia="仿宋_GB2312"/>
          <w:snapToGrid w:val="0"/>
          <w:color w:val="auto"/>
          <w:spacing w:val="6"/>
          <w:sz w:val="32"/>
          <w:szCs w:val="32"/>
          <w:highlight w:val="none"/>
        </w:rPr>
        <w:t>。</w:t>
      </w:r>
    </w:p>
    <w:p>
      <w:pPr>
        <w:spacing w:line="360" w:lineRule="auto"/>
        <w:ind w:firstLine="642" w:firstLineChars="200"/>
        <w:rPr>
          <w:rFonts w:hint="eastAsia" w:ascii="仿宋_GB2312" w:hAnsi="仿宋" w:eastAsia="仿宋_GB2312" w:cs="仿宋_GB2312"/>
          <w:color w:val="auto"/>
          <w:sz w:val="32"/>
          <w:szCs w:val="32"/>
          <w:highlight w:val="none"/>
          <w:lang w:eastAsia="zh-CN"/>
        </w:rPr>
      </w:pPr>
      <w:r>
        <w:rPr>
          <w:rFonts w:hint="eastAsia" w:ascii="楷体_GB2312" w:hAnsi="仿宋" w:eastAsia="楷体_GB2312" w:cs="宋体"/>
          <w:b/>
          <w:bCs/>
          <w:color w:val="auto"/>
          <w:sz w:val="32"/>
          <w:szCs w:val="32"/>
          <w:highlight w:val="none"/>
        </w:rPr>
        <w:t>第</w:t>
      </w:r>
      <w:r>
        <w:rPr>
          <w:rFonts w:hint="eastAsia" w:ascii="楷体_GB2312" w:hAnsi="仿宋" w:eastAsia="楷体_GB2312" w:cs="宋体"/>
          <w:b/>
          <w:bCs/>
          <w:color w:val="auto"/>
          <w:sz w:val="32"/>
          <w:szCs w:val="32"/>
          <w:highlight w:val="none"/>
          <w:lang w:eastAsia="zh-CN"/>
        </w:rPr>
        <w:t>六</w:t>
      </w:r>
      <w:r>
        <w:rPr>
          <w:rFonts w:hint="eastAsia" w:ascii="楷体_GB2312" w:hAnsi="仿宋" w:eastAsia="楷体_GB2312" w:cs="宋体"/>
          <w:b/>
          <w:bCs/>
          <w:color w:val="auto"/>
          <w:sz w:val="32"/>
          <w:szCs w:val="32"/>
          <w:highlight w:val="none"/>
        </w:rPr>
        <w:t xml:space="preserve">条 </w:t>
      </w:r>
      <w:r>
        <w:rPr>
          <w:rFonts w:hint="eastAsia" w:ascii="仿宋_GB2312" w:eastAsia="仿宋_GB2312"/>
          <w:snapToGrid w:val="0"/>
          <w:color w:val="auto"/>
          <w:spacing w:val="6"/>
          <w:sz w:val="32"/>
          <w:szCs w:val="32"/>
          <w:highlight w:val="none"/>
        </w:rPr>
        <w:t>农村综合改革转移支付不得用于</w:t>
      </w:r>
      <w:r>
        <w:rPr>
          <w:rFonts w:hint="eastAsia" w:ascii="仿宋_GB2312" w:hAnsi="Times New Roman" w:eastAsia="仿宋_GB2312" w:cs="Times New Roman"/>
          <w:snapToGrid w:val="0"/>
          <w:color w:val="auto"/>
          <w:spacing w:val="6"/>
          <w:kern w:val="2"/>
          <w:sz w:val="32"/>
          <w:szCs w:val="32"/>
          <w:highlight w:val="none"/>
          <w:lang w:val="en-US" w:eastAsia="zh-CN" w:bidi="ar"/>
        </w:rPr>
        <w:t>单位基本支出、修建楼堂馆所、</w:t>
      </w:r>
      <w:r>
        <w:rPr>
          <w:rFonts w:hint="eastAsia" w:ascii="仿宋_GB2312" w:eastAsia="仿宋_GB2312" w:cs="Times New Roman"/>
          <w:snapToGrid w:val="0"/>
          <w:color w:val="auto"/>
          <w:spacing w:val="6"/>
          <w:kern w:val="2"/>
          <w:sz w:val="32"/>
          <w:szCs w:val="32"/>
          <w:highlight w:val="none"/>
          <w:lang w:val="en-US" w:eastAsia="zh-CN" w:bidi="ar"/>
        </w:rPr>
        <w:t>各种工资奖金津贴和福利支出、弥补预算支出缺口、</w:t>
      </w:r>
      <w:r>
        <w:rPr>
          <w:rFonts w:hint="eastAsia" w:ascii="仿宋_GB2312" w:hAnsi="Times New Roman" w:eastAsia="仿宋_GB2312" w:cs="Times New Roman"/>
          <w:snapToGrid w:val="0"/>
          <w:color w:val="auto"/>
          <w:spacing w:val="6"/>
          <w:kern w:val="2"/>
          <w:sz w:val="32"/>
          <w:szCs w:val="32"/>
          <w:highlight w:val="none"/>
          <w:lang w:val="en-US" w:eastAsia="zh-CN" w:bidi="ar"/>
        </w:rPr>
        <w:t>偿还债务</w:t>
      </w:r>
      <w:r>
        <w:rPr>
          <w:rFonts w:hint="eastAsia" w:ascii="仿宋_GB2312" w:eastAsia="仿宋_GB2312"/>
          <w:snapToGrid w:val="0"/>
          <w:color w:val="auto"/>
          <w:spacing w:val="6"/>
          <w:sz w:val="32"/>
          <w:szCs w:val="32"/>
          <w:highlight w:val="none"/>
        </w:rPr>
        <w:t>及其他与农村综合改革</w:t>
      </w:r>
      <w:r>
        <w:rPr>
          <w:rFonts w:hint="eastAsia" w:ascii="仿宋_GB2312" w:hAnsi="Times New Roman" w:eastAsia="仿宋_GB2312" w:cs="Times New Roman"/>
          <w:snapToGrid w:val="0"/>
          <w:color w:val="auto"/>
          <w:spacing w:val="6"/>
          <w:sz w:val="32"/>
          <w:szCs w:val="32"/>
          <w:highlight w:val="none"/>
        </w:rPr>
        <w:t>无关的支出</w:t>
      </w:r>
      <w:r>
        <w:rPr>
          <w:rFonts w:hint="eastAsia"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eastAsia="zh-CN"/>
        </w:rPr>
        <w:t>农村综合改革转移支付相关项目实施不得新增地方政府隐性债务，不得新增村级债务。</w:t>
      </w:r>
    </w:p>
    <w:p>
      <w:pPr>
        <w:spacing w:line="360" w:lineRule="auto"/>
        <w:ind w:firstLine="642" w:firstLineChars="200"/>
        <w:rPr>
          <w:rFonts w:hint="default" w:ascii="仿宋_GB2312" w:hAnsi="仿宋" w:eastAsia="仿宋_GB2312" w:cs="仿宋_GB2312"/>
          <w:color w:val="auto"/>
          <w:sz w:val="32"/>
          <w:szCs w:val="32"/>
          <w:highlight w:val="none"/>
          <w:lang w:val="en-US" w:eastAsia="zh-CN"/>
        </w:rPr>
      </w:pPr>
      <w:r>
        <w:rPr>
          <w:rFonts w:hint="eastAsia" w:ascii="楷体_GB2312" w:hAnsi="仿宋" w:eastAsia="楷体_GB2312" w:cs="宋体"/>
          <w:b/>
          <w:bCs/>
          <w:color w:val="auto"/>
          <w:sz w:val="32"/>
          <w:szCs w:val="32"/>
          <w:highlight w:val="none"/>
        </w:rPr>
        <w:t>第</w:t>
      </w:r>
      <w:r>
        <w:rPr>
          <w:rFonts w:hint="eastAsia" w:ascii="楷体_GB2312" w:hAnsi="仿宋" w:eastAsia="楷体_GB2312" w:cs="宋体"/>
          <w:b/>
          <w:bCs/>
          <w:color w:val="auto"/>
          <w:sz w:val="32"/>
          <w:szCs w:val="32"/>
          <w:highlight w:val="none"/>
          <w:lang w:eastAsia="zh-CN"/>
        </w:rPr>
        <w:t>七</w:t>
      </w:r>
      <w:r>
        <w:rPr>
          <w:rFonts w:hint="eastAsia" w:ascii="楷体_GB2312" w:hAnsi="仿宋" w:eastAsia="楷体_GB2312" w:cs="宋体"/>
          <w:b/>
          <w:bCs/>
          <w:color w:val="auto"/>
          <w:sz w:val="32"/>
          <w:szCs w:val="32"/>
          <w:highlight w:val="none"/>
        </w:rPr>
        <w:t>条</w:t>
      </w:r>
      <w:r>
        <w:rPr>
          <w:rFonts w:hint="eastAsia" w:ascii="楷体_GB2312" w:hAnsi="仿宋" w:eastAsia="楷体_GB2312" w:cs="宋体"/>
          <w:b/>
          <w:bCs/>
          <w:color w:val="auto"/>
          <w:sz w:val="32"/>
          <w:szCs w:val="32"/>
          <w:highlight w:val="none"/>
          <w:lang w:val="en-US" w:eastAsia="zh-CN"/>
        </w:rPr>
        <w:t xml:space="preserve"> </w:t>
      </w:r>
      <w:r>
        <w:rPr>
          <w:rFonts w:hint="eastAsia" w:ascii="仿宋_GB2312" w:hAnsi="仿宋" w:eastAsia="仿宋_GB2312" w:cs="仿宋_GB2312"/>
          <w:color w:val="auto"/>
          <w:sz w:val="32"/>
          <w:szCs w:val="32"/>
          <w:highlight w:val="none"/>
          <w:lang w:val="en-US" w:eastAsia="zh-CN"/>
        </w:rPr>
        <w:t>农村综合改革转移支付资金形成的公益性资产，应当明确管护主体，落实管护责任，确保项目正常运转并长期发挥效益。</w:t>
      </w:r>
    </w:p>
    <w:p>
      <w:pPr>
        <w:spacing w:line="360" w:lineRule="auto"/>
        <w:jc w:val="both"/>
        <w:rPr>
          <w:rFonts w:hint="eastAsia" w:ascii="黑体" w:hAnsi="黑体" w:eastAsia="黑体" w:cs="宋体"/>
          <w:bCs/>
          <w:color w:val="auto"/>
          <w:sz w:val="32"/>
          <w:szCs w:val="32"/>
          <w:highlight w:val="none"/>
        </w:rPr>
      </w:pPr>
    </w:p>
    <w:p>
      <w:pPr>
        <w:spacing w:line="360" w:lineRule="auto"/>
        <w:jc w:val="center"/>
        <w:rPr>
          <w:rFonts w:hint="eastAsia" w:ascii="黑体" w:hAnsi="黑体" w:eastAsia="黑体" w:cs="宋体"/>
          <w:bCs/>
          <w:color w:val="auto"/>
          <w:sz w:val="32"/>
          <w:szCs w:val="32"/>
          <w:highlight w:val="none"/>
          <w:lang w:eastAsia="zh-CN"/>
        </w:rPr>
      </w:pPr>
      <w:r>
        <w:rPr>
          <w:rFonts w:hint="eastAsia" w:ascii="黑体" w:hAnsi="黑体" w:eastAsia="黑体" w:cs="宋体"/>
          <w:bCs/>
          <w:color w:val="auto"/>
          <w:sz w:val="32"/>
          <w:szCs w:val="32"/>
          <w:highlight w:val="none"/>
        </w:rPr>
        <w:t>第三章 资金分配</w:t>
      </w:r>
      <w:r>
        <w:rPr>
          <w:rFonts w:hint="eastAsia" w:ascii="黑体" w:hAnsi="黑体" w:eastAsia="黑体" w:cs="宋体"/>
          <w:bCs/>
          <w:color w:val="auto"/>
          <w:sz w:val="32"/>
          <w:szCs w:val="32"/>
          <w:highlight w:val="none"/>
          <w:lang w:eastAsia="zh-CN"/>
        </w:rPr>
        <w:t>下达</w:t>
      </w:r>
    </w:p>
    <w:p>
      <w:pPr>
        <w:spacing w:line="360" w:lineRule="auto"/>
        <w:ind w:firstLine="666" w:firstLineChars="200"/>
        <w:rPr>
          <w:rFonts w:hint="eastAsia" w:ascii="仿宋_GB2312" w:hAnsi="仿宋" w:eastAsia="仿宋_GB2312" w:cs="仿宋_GB2312"/>
          <w:color w:val="auto"/>
          <w:sz w:val="32"/>
          <w:szCs w:val="32"/>
          <w:highlight w:val="none"/>
          <w:lang w:val="en-US" w:eastAsia="zh-CN"/>
        </w:rPr>
      </w:pPr>
      <w:r>
        <w:rPr>
          <w:rFonts w:hint="eastAsia" w:ascii="楷体_GB2312" w:eastAsia="楷体_GB2312"/>
          <w:b/>
          <w:snapToGrid w:val="0"/>
          <w:color w:val="auto"/>
          <w:spacing w:val="6"/>
          <w:sz w:val="32"/>
          <w:szCs w:val="32"/>
          <w:highlight w:val="none"/>
        </w:rPr>
        <w:t>第</w:t>
      </w:r>
      <w:r>
        <w:rPr>
          <w:rFonts w:hint="eastAsia" w:ascii="楷体_GB2312" w:eastAsia="楷体_GB2312"/>
          <w:b/>
          <w:snapToGrid w:val="0"/>
          <w:color w:val="auto"/>
          <w:spacing w:val="6"/>
          <w:sz w:val="32"/>
          <w:szCs w:val="32"/>
          <w:highlight w:val="none"/>
          <w:lang w:eastAsia="zh-CN"/>
        </w:rPr>
        <w:t>八</w:t>
      </w:r>
      <w:r>
        <w:rPr>
          <w:rFonts w:hint="eastAsia" w:ascii="楷体_GB2312" w:eastAsia="楷体_GB2312"/>
          <w:b/>
          <w:snapToGrid w:val="0"/>
          <w:color w:val="auto"/>
          <w:spacing w:val="6"/>
          <w:sz w:val="32"/>
          <w:szCs w:val="32"/>
          <w:highlight w:val="none"/>
        </w:rPr>
        <w:t xml:space="preserve">条 </w:t>
      </w:r>
      <w:r>
        <w:rPr>
          <w:rFonts w:hint="eastAsia" w:ascii="仿宋_GB2312" w:hAnsi="仿宋" w:eastAsia="仿宋_GB2312" w:cs="仿宋_GB2312"/>
          <w:color w:val="auto"/>
          <w:sz w:val="32"/>
          <w:szCs w:val="32"/>
          <w:highlight w:val="none"/>
          <w:lang w:val="en-US" w:eastAsia="zh-CN"/>
        </w:rPr>
        <w:t>专项资金主要采用以下办法进行分配。</w:t>
      </w:r>
    </w:p>
    <w:p>
      <w:pPr>
        <w:spacing w:line="360" w:lineRule="auto"/>
        <w:ind w:firstLine="664" w:firstLineChars="200"/>
        <w:rPr>
          <w:rFonts w:hint="eastAsia" w:ascii="仿宋_GB2312" w:eastAsia="仿宋_GB2312"/>
          <w:snapToGrid w:val="0"/>
          <w:color w:val="auto"/>
          <w:spacing w:val="6"/>
          <w:sz w:val="32"/>
          <w:szCs w:val="32"/>
          <w:highlight w:val="none"/>
          <w:lang w:val="en-US" w:eastAsia="zh-CN"/>
        </w:rPr>
      </w:pPr>
      <w:r>
        <w:rPr>
          <w:rFonts w:hint="eastAsia" w:ascii="仿宋_GB2312" w:eastAsia="仿宋_GB2312"/>
          <w:snapToGrid w:val="0"/>
          <w:color w:val="auto"/>
          <w:spacing w:val="6"/>
          <w:sz w:val="32"/>
          <w:szCs w:val="32"/>
          <w:highlight w:val="none"/>
          <w:lang w:val="en-US" w:eastAsia="zh-CN"/>
        </w:rPr>
        <w:t>（一）因素法。适用于</w:t>
      </w:r>
      <w:r>
        <w:rPr>
          <w:rFonts w:hint="eastAsia" w:ascii="仿宋_GB2312" w:eastAsia="仿宋_GB2312"/>
          <w:snapToGrid w:val="0"/>
          <w:color w:val="auto"/>
          <w:spacing w:val="6"/>
          <w:sz w:val="32"/>
          <w:szCs w:val="32"/>
          <w:highlight w:val="none"/>
          <w:lang w:val="en" w:eastAsia="zh-CN"/>
        </w:rPr>
        <w:t>农村公益事业建设</w:t>
      </w:r>
      <w:r>
        <w:rPr>
          <w:rFonts w:hint="default" w:ascii="仿宋_GB2312" w:eastAsia="仿宋_GB2312"/>
          <w:snapToGrid w:val="0"/>
          <w:color w:val="auto"/>
          <w:spacing w:val="6"/>
          <w:sz w:val="32"/>
          <w:szCs w:val="32"/>
          <w:highlight w:val="none"/>
          <w:lang w:val="en" w:eastAsia="zh-CN"/>
        </w:rPr>
        <w:t>财政奖补</w:t>
      </w:r>
      <w:r>
        <w:rPr>
          <w:rFonts w:hint="eastAsia" w:ascii="仿宋_GB2312" w:eastAsia="仿宋_GB2312"/>
          <w:snapToGrid w:val="0"/>
          <w:color w:val="auto"/>
          <w:spacing w:val="6"/>
          <w:sz w:val="32"/>
          <w:szCs w:val="32"/>
          <w:highlight w:val="none"/>
          <w:lang w:val="en-US" w:eastAsia="zh-CN"/>
        </w:rPr>
        <w:t>。按照各县（市、区）乡村人口数、村民委员会个数、上年县（市、区）（含市州）财政一般公共预算投入、上年预算执行情况、资金使用管理监督情况、项目储备情况等因素测算分配，权重依次为30%、10%、25%、20%、5%、10%。分配结果可根据年度工作重点、绩效评价结果等设置调节系数予以适当调节。</w:t>
      </w:r>
    </w:p>
    <w:p>
      <w:pPr>
        <w:spacing w:line="360" w:lineRule="auto"/>
        <w:ind w:firstLine="664" w:firstLineChars="200"/>
        <w:rPr>
          <w:rFonts w:hint="eastAsia" w:ascii="仿宋_GB2312" w:eastAsia="仿宋_GB2312"/>
          <w:snapToGrid w:val="0"/>
          <w:color w:val="auto"/>
          <w:spacing w:val="6"/>
          <w:sz w:val="32"/>
          <w:szCs w:val="32"/>
          <w:highlight w:val="none"/>
          <w:lang w:val="en-US" w:eastAsia="zh-CN"/>
        </w:rPr>
      </w:pPr>
      <w:r>
        <w:rPr>
          <w:rFonts w:hint="eastAsia" w:ascii="仿宋_GB2312" w:eastAsia="仿宋_GB2312"/>
          <w:snapToGrid w:val="0"/>
          <w:color w:val="auto"/>
          <w:spacing w:val="6"/>
          <w:sz w:val="32"/>
          <w:szCs w:val="32"/>
          <w:highlight w:val="none"/>
          <w:lang w:val="en-US" w:eastAsia="zh-CN"/>
        </w:rPr>
        <w:t>（二）据实据效法。适用于对承担国家和省级农村综合改革各项示范试点任务地区的定额补助。重点对一般公共预算保障农村综合改革情况好、推进农村综合改革成效较为明显的地区实施激励。</w:t>
      </w:r>
    </w:p>
    <w:p>
      <w:pPr>
        <w:spacing w:line="360" w:lineRule="auto"/>
        <w:ind w:firstLine="664" w:firstLineChars="200"/>
        <w:rPr>
          <w:rFonts w:hint="eastAsia" w:ascii="仿宋_GB2312" w:eastAsia="仿宋_GB2312"/>
          <w:snapToGrid w:val="0"/>
          <w:color w:val="auto"/>
          <w:spacing w:val="6"/>
          <w:sz w:val="32"/>
          <w:szCs w:val="32"/>
          <w:highlight w:val="none"/>
          <w:lang w:val="en" w:eastAsia="zh-CN"/>
        </w:rPr>
      </w:pPr>
      <w:r>
        <w:rPr>
          <w:rFonts w:hint="eastAsia" w:ascii="仿宋_GB2312" w:eastAsia="仿宋_GB2312"/>
          <w:snapToGrid w:val="0"/>
          <w:color w:val="auto"/>
          <w:spacing w:val="6"/>
          <w:sz w:val="32"/>
          <w:szCs w:val="32"/>
          <w:highlight w:val="none"/>
          <w:lang w:val="en" w:eastAsia="zh-CN"/>
        </w:rPr>
        <w:t>按照国家支持脱贫县统筹整合使用财政涉农资金工作的相关政策要求，农村综合改革转移支付资金分配应适当向国家乡村振兴重点帮扶县倾斜。</w:t>
      </w:r>
    </w:p>
    <w:p>
      <w:pPr>
        <w:spacing w:line="360" w:lineRule="auto"/>
        <w:ind w:firstLine="666" w:firstLineChars="200"/>
        <w:rPr>
          <w:rFonts w:hint="default" w:ascii="仿宋_GB2312" w:eastAsia="仿宋_GB2312"/>
          <w:snapToGrid w:val="0"/>
          <w:color w:val="auto"/>
          <w:spacing w:val="6"/>
          <w:sz w:val="32"/>
          <w:szCs w:val="32"/>
          <w:highlight w:val="none"/>
          <w:lang w:val="en-US" w:eastAsia="zh-CN"/>
        </w:rPr>
      </w:pPr>
      <w:r>
        <w:rPr>
          <w:rFonts w:hint="eastAsia" w:ascii="楷体_GB2312" w:eastAsia="楷体_GB2312"/>
          <w:b/>
          <w:snapToGrid w:val="0"/>
          <w:color w:val="auto"/>
          <w:spacing w:val="6"/>
          <w:sz w:val="32"/>
          <w:szCs w:val="32"/>
          <w:highlight w:val="none"/>
        </w:rPr>
        <w:t>第</w:t>
      </w:r>
      <w:r>
        <w:rPr>
          <w:rFonts w:hint="eastAsia" w:ascii="楷体_GB2312" w:eastAsia="楷体_GB2312"/>
          <w:b/>
          <w:snapToGrid w:val="0"/>
          <w:color w:val="auto"/>
          <w:spacing w:val="6"/>
          <w:sz w:val="32"/>
          <w:szCs w:val="32"/>
          <w:highlight w:val="none"/>
          <w:lang w:eastAsia="zh-CN"/>
        </w:rPr>
        <w:t>九</w:t>
      </w:r>
      <w:r>
        <w:rPr>
          <w:rFonts w:hint="eastAsia" w:ascii="楷体_GB2312" w:eastAsia="楷体_GB2312"/>
          <w:b/>
          <w:snapToGrid w:val="0"/>
          <w:color w:val="auto"/>
          <w:spacing w:val="6"/>
          <w:sz w:val="32"/>
          <w:szCs w:val="32"/>
          <w:highlight w:val="none"/>
        </w:rPr>
        <w:t xml:space="preserve">条 </w:t>
      </w:r>
      <w:r>
        <w:rPr>
          <w:rFonts w:hint="eastAsia" w:ascii="仿宋_GB2312" w:eastAsia="仿宋_GB2312"/>
          <w:snapToGrid w:val="0"/>
          <w:color w:val="auto"/>
          <w:spacing w:val="6"/>
          <w:sz w:val="32"/>
          <w:szCs w:val="32"/>
          <w:highlight w:val="none"/>
        </w:rPr>
        <w:t>财政</w:t>
      </w:r>
      <w:r>
        <w:rPr>
          <w:rFonts w:hint="eastAsia" w:ascii="仿宋_GB2312" w:eastAsia="仿宋_GB2312"/>
          <w:snapToGrid w:val="0"/>
          <w:color w:val="auto"/>
          <w:spacing w:val="6"/>
          <w:sz w:val="32"/>
          <w:szCs w:val="32"/>
          <w:highlight w:val="none"/>
          <w:lang w:eastAsia="zh-CN"/>
        </w:rPr>
        <w:t>厅</w:t>
      </w:r>
      <w:r>
        <w:rPr>
          <w:rFonts w:hint="eastAsia" w:ascii="仿宋_GB2312" w:eastAsia="仿宋_GB2312"/>
          <w:snapToGrid w:val="0"/>
          <w:color w:val="auto"/>
          <w:spacing w:val="6"/>
          <w:sz w:val="32"/>
          <w:szCs w:val="32"/>
          <w:highlight w:val="none"/>
        </w:rPr>
        <w:t>于每年全</w:t>
      </w:r>
      <w:r>
        <w:rPr>
          <w:rFonts w:hint="eastAsia" w:ascii="仿宋_GB2312" w:eastAsia="仿宋_GB2312"/>
          <w:snapToGrid w:val="0"/>
          <w:color w:val="auto"/>
          <w:spacing w:val="6"/>
          <w:sz w:val="32"/>
          <w:szCs w:val="32"/>
          <w:highlight w:val="none"/>
          <w:lang w:eastAsia="zh-CN"/>
        </w:rPr>
        <w:t>省</w:t>
      </w:r>
      <w:r>
        <w:rPr>
          <w:rFonts w:hint="eastAsia" w:ascii="仿宋_GB2312" w:eastAsia="仿宋_GB2312"/>
          <w:snapToGrid w:val="0"/>
          <w:color w:val="auto"/>
          <w:spacing w:val="6"/>
          <w:sz w:val="32"/>
          <w:szCs w:val="32"/>
          <w:highlight w:val="none"/>
        </w:rPr>
        <w:t>人民代表大会批准预算后</w:t>
      </w:r>
      <w:r>
        <w:rPr>
          <w:rFonts w:hint="eastAsia" w:ascii="仿宋_GB2312" w:eastAsia="仿宋_GB2312"/>
          <w:snapToGrid w:val="0"/>
          <w:color w:val="auto"/>
          <w:spacing w:val="6"/>
          <w:sz w:val="32"/>
          <w:szCs w:val="32"/>
          <w:highlight w:val="none"/>
          <w:lang w:val="en-US" w:eastAsia="zh-CN"/>
        </w:rPr>
        <w:t>6</w:t>
      </w:r>
      <w:r>
        <w:rPr>
          <w:rFonts w:hint="eastAsia" w:ascii="仿宋_GB2312" w:eastAsia="仿宋_GB2312"/>
          <w:snapToGrid w:val="0"/>
          <w:color w:val="auto"/>
          <w:spacing w:val="6"/>
          <w:sz w:val="32"/>
          <w:szCs w:val="32"/>
          <w:highlight w:val="none"/>
        </w:rPr>
        <w:t>0日内，将当年农村综合改革转移支付预算下达</w:t>
      </w:r>
      <w:r>
        <w:rPr>
          <w:rFonts w:hint="eastAsia" w:ascii="仿宋_GB2312" w:eastAsia="仿宋_GB2312"/>
          <w:color w:val="auto"/>
          <w:spacing w:val="6"/>
          <w:sz w:val="32"/>
          <w:szCs w:val="32"/>
          <w:highlight w:val="none"/>
          <w:lang w:eastAsia="zh-CN"/>
        </w:rPr>
        <w:t>市（州）、县（市、区）</w:t>
      </w:r>
      <w:r>
        <w:rPr>
          <w:rFonts w:hint="eastAsia" w:ascii="仿宋_GB2312" w:eastAsia="仿宋_GB2312"/>
          <w:snapToGrid w:val="0"/>
          <w:color w:val="auto"/>
          <w:spacing w:val="6"/>
          <w:sz w:val="32"/>
          <w:szCs w:val="32"/>
          <w:highlight w:val="none"/>
        </w:rPr>
        <w:t>财政部门</w:t>
      </w:r>
      <w:r>
        <w:rPr>
          <w:rFonts w:hint="eastAsia" w:ascii="仿宋_GB2312" w:eastAsia="仿宋_GB2312"/>
          <w:snapToGrid w:val="0"/>
          <w:color w:val="auto"/>
          <w:spacing w:val="6"/>
          <w:sz w:val="32"/>
          <w:szCs w:val="32"/>
          <w:highlight w:val="none"/>
          <w:lang w:eastAsia="zh-CN"/>
        </w:rPr>
        <w:t>，并同步下达年度重点任务和绩效目标，同时抄送财政部四川监管局</w:t>
      </w:r>
      <w:r>
        <w:rPr>
          <w:rFonts w:hint="eastAsia" w:ascii="仿宋_GB2312" w:eastAsia="仿宋_GB2312"/>
          <w:snapToGrid w:val="0"/>
          <w:color w:val="auto"/>
          <w:spacing w:val="6"/>
          <w:sz w:val="32"/>
          <w:szCs w:val="32"/>
          <w:highlight w:val="none"/>
        </w:rPr>
        <w:t>。</w:t>
      </w:r>
      <w:r>
        <w:rPr>
          <w:rFonts w:hint="eastAsia" w:ascii="仿宋_GB2312" w:eastAsia="仿宋_GB2312"/>
          <w:snapToGrid w:val="0"/>
          <w:color w:val="auto"/>
          <w:spacing w:val="6"/>
          <w:sz w:val="32"/>
          <w:szCs w:val="32"/>
          <w:highlight w:val="none"/>
          <w:lang w:eastAsia="zh-CN"/>
        </w:rPr>
        <w:t>农村综合改革转移支付资金分配结果在资金预算下达文件印发后</w:t>
      </w:r>
      <w:r>
        <w:rPr>
          <w:rFonts w:hint="eastAsia" w:ascii="仿宋_GB2312" w:eastAsia="仿宋_GB2312"/>
          <w:snapToGrid w:val="0"/>
          <w:color w:val="auto"/>
          <w:spacing w:val="6"/>
          <w:sz w:val="32"/>
          <w:szCs w:val="32"/>
          <w:highlight w:val="none"/>
          <w:lang w:val="en-US" w:eastAsia="zh-CN"/>
        </w:rPr>
        <w:t>20日内向社会公开，涉及国家秘密的除外。</w:t>
      </w:r>
    </w:p>
    <w:p>
      <w:pPr>
        <w:spacing w:line="360" w:lineRule="auto"/>
        <w:ind w:firstLine="666" w:firstLineChars="200"/>
        <w:rPr>
          <w:rFonts w:hint="eastAsia" w:ascii="楷体_GB2312" w:eastAsia="楷体_GB2312"/>
          <w:b/>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 xml:space="preserve">第十条 </w:t>
      </w:r>
      <w:r>
        <w:rPr>
          <w:rFonts w:hint="eastAsia" w:ascii="仿宋_GB2312" w:eastAsia="仿宋_GB2312"/>
          <w:snapToGrid w:val="0"/>
          <w:color w:val="auto"/>
          <w:spacing w:val="6"/>
          <w:sz w:val="32"/>
          <w:szCs w:val="32"/>
          <w:highlight w:val="none"/>
        </w:rPr>
        <w:t>财政</w:t>
      </w:r>
      <w:r>
        <w:rPr>
          <w:rFonts w:hint="eastAsia" w:ascii="仿宋_GB2312" w:eastAsia="仿宋_GB2312"/>
          <w:snapToGrid w:val="0"/>
          <w:color w:val="auto"/>
          <w:spacing w:val="6"/>
          <w:sz w:val="32"/>
          <w:szCs w:val="32"/>
          <w:highlight w:val="none"/>
          <w:lang w:eastAsia="zh-CN"/>
        </w:rPr>
        <w:t>厅</w:t>
      </w:r>
      <w:r>
        <w:rPr>
          <w:rFonts w:hint="eastAsia" w:ascii="仿宋_GB2312" w:eastAsia="仿宋_GB2312"/>
          <w:snapToGrid w:val="0"/>
          <w:color w:val="auto"/>
          <w:spacing w:val="6"/>
          <w:sz w:val="32"/>
          <w:szCs w:val="32"/>
          <w:highlight w:val="none"/>
        </w:rPr>
        <w:t>接到</w:t>
      </w:r>
      <w:r>
        <w:rPr>
          <w:rFonts w:hint="eastAsia" w:ascii="仿宋_GB2312" w:eastAsia="仿宋_GB2312"/>
          <w:snapToGrid w:val="0"/>
          <w:color w:val="auto"/>
          <w:spacing w:val="6"/>
          <w:sz w:val="32"/>
          <w:szCs w:val="32"/>
          <w:highlight w:val="none"/>
          <w:lang w:eastAsia="zh-CN"/>
        </w:rPr>
        <w:t>财政部</w:t>
      </w:r>
      <w:r>
        <w:rPr>
          <w:rFonts w:hint="eastAsia" w:ascii="仿宋_GB2312" w:eastAsia="仿宋_GB2312"/>
          <w:snapToGrid w:val="0"/>
          <w:color w:val="auto"/>
          <w:spacing w:val="6"/>
          <w:sz w:val="32"/>
          <w:szCs w:val="32"/>
          <w:highlight w:val="none"/>
        </w:rPr>
        <w:t>农村综合改革转移支付预算后，</w:t>
      </w:r>
      <w:r>
        <w:rPr>
          <w:rFonts w:hint="eastAsia" w:ascii="仿宋_GB2312" w:eastAsia="仿宋_GB2312"/>
          <w:snapToGrid w:val="0"/>
          <w:color w:val="auto"/>
          <w:spacing w:val="6"/>
          <w:sz w:val="32"/>
          <w:szCs w:val="32"/>
          <w:highlight w:val="none"/>
          <w:lang w:eastAsia="zh-CN"/>
        </w:rPr>
        <w:t>应当在</w:t>
      </w:r>
      <w:r>
        <w:rPr>
          <w:rFonts w:hint="eastAsia" w:ascii="仿宋_GB2312" w:eastAsia="仿宋_GB2312"/>
          <w:snapToGrid w:val="0"/>
          <w:color w:val="auto"/>
          <w:spacing w:val="6"/>
          <w:sz w:val="32"/>
          <w:szCs w:val="32"/>
          <w:highlight w:val="none"/>
        </w:rPr>
        <w:t>30日内将预算分解下达本行政区域县级以上各级政府财政部门，将转移支付分配结果报财政部备案并抄送财政部</w:t>
      </w:r>
      <w:r>
        <w:rPr>
          <w:rFonts w:hint="eastAsia" w:ascii="仿宋_GB2312" w:eastAsia="仿宋_GB2312"/>
          <w:snapToGrid w:val="0"/>
          <w:color w:val="auto"/>
          <w:spacing w:val="6"/>
          <w:sz w:val="32"/>
          <w:szCs w:val="32"/>
          <w:highlight w:val="none"/>
          <w:lang w:eastAsia="zh-CN"/>
        </w:rPr>
        <w:t>四川</w:t>
      </w:r>
      <w:r>
        <w:rPr>
          <w:rFonts w:hint="eastAsia" w:ascii="仿宋_GB2312" w:eastAsia="仿宋_GB2312"/>
          <w:snapToGrid w:val="0"/>
          <w:color w:val="auto"/>
          <w:spacing w:val="6"/>
          <w:sz w:val="32"/>
          <w:szCs w:val="32"/>
          <w:highlight w:val="none"/>
        </w:rPr>
        <w:t>监管局。</w:t>
      </w:r>
    </w:p>
    <w:p>
      <w:pPr>
        <w:spacing w:line="360" w:lineRule="auto"/>
        <w:ind w:firstLine="666" w:firstLineChars="200"/>
        <w:rPr>
          <w:rFonts w:hint="eastAsia" w:ascii="仿宋_GB2312" w:eastAsia="仿宋_GB2312"/>
          <w:snapToGrid w:val="0"/>
          <w:color w:val="auto"/>
          <w:spacing w:val="6"/>
          <w:sz w:val="32"/>
          <w:szCs w:val="32"/>
          <w:highlight w:val="none"/>
          <w:lang w:eastAsia="zh-CN"/>
        </w:rPr>
      </w:pPr>
      <w:r>
        <w:rPr>
          <w:rFonts w:hint="eastAsia" w:ascii="楷体_GB2312" w:eastAsia="楷体_GB2312"/>
          <w:b/>
          <w:snapToGrid w:val="0"/>
          <w:color w:val="auto"/>
          <w:spacing w:val="6"/>
          <w:sz w:val="32"/>
          <w:szCs w:val="32"/>
          <w:highlight w:val="none"/>
        </w:rPr>
        <w:t>第十</w:t>
      </w:r>
      <w:r>
        <w:rPr>
          <w:rFonts w:hint="eastAsia" w:ascii="楷体_GB2312" w:eastAsia="楷体_GB2312"/>
          <w:b/>
          <w:snapToGrid w:val="0"/>
          <w:color w:val="auto"/>
          <w:spacing w:val="6"/>
          <w:sz w:val="32"/>
          <w:szCs w:val="32"/>
          <w:highlight w:val="none"/>
          <w:lang w:eastAsia="zh-CN"/>
        </w:rPr>
        <w:t>一</w:t>
      </w:r>
      <w:r>
        <w:rPr>
          <w:rFonts w:hint="eastAsia" w:ascii="楷体_GB2312" w:eastAsia="楷体_GB2312"/>
          <w:b/>
          <w:snapToGrid w:val="0"/>
          <w:color w:val="auto"/>
          <w:spacing w:val="6"/>
          <w:sz w:val="32"/>
          <w:szCs w:val="32"/>
          <w:highlight w:val="none"/>
        </w:rPr>
        <w:t>条</w:t>
      </w:r>
      <w:r>
        <w:rPr>
          <w:rFonts w:hint="eastAsia" w:ascii="楷体_GB2312" w:eastAsia="楷体_GB2312"/>
          <w:b/>
          <w:snapToGrid w:val="0"/>
          <w:color w:val="auto"/>
          <w:spacing w:val="6"/>
          <w:sz w:val="32"/>
          <w:szCs w:val="32"/>
          <w:highlight w:val="none"/>
          <w:lang w:val="en-US" w:eastAsia="zh-CN"/>
        </w:rPr>
        <w:t xml:space="preserve"> </w:t>
      </w:r>
      <w:r>
        <w:rPr>
          <w:rFonts w:hint="eastAsia" w:ascii="仿宋_GB2312" w:eastAsia="仿宋_GB2312"/>
          <w:color w:val="auto"/>
          <w:spacing w:val="6"/>
          <w:sz w:val="32"/>
          <w:szCs w:val="32"/>
          <w:highlight w:val="none"/>
          <w:lang w:eastAsia="zh-CN"/>
        </w:rPr>
        <w:t>市（州）、县（市、区）</w:t>
      </w:r>
      <w:r>
        <w:rPr>
          <w:rFonts w:hint="eastAsia" w:ascii="仿宋_GB2312" w:eastAsia="仿宋_GB2312"/>
          <w:snapToGrid w:val="0"/>
          <w:color w:val="auto"/>
          <w:spacing w:val="6"/>
          <w:sz w:val="32"/>
          <w:szCs w:val="32"/>
          <w:highlight w:val="none"/>
        </w:rPr>
        <w:t>财政部门应结合农村综合改革年度重点任务、本地农村综合改革实际情况等，安排本级相关资金，与农村综合改革转移支付</w:t>
      </w:r>
      <w:r>
        <w:rPr>
          <w:rFonts w:hint="eastAsia" w:ascii="仿宋_GB2312" w:eastAsia="仿宋_GB2312"/>
          <w:snapToGrid w:val="0"/>
          <w:color w:val="auto"/>
          <w:spacing w:val="6"/>
          <w:sz w:val="32"/>
          <w:szCs w:val="32"/>
          <w:highlight w:val="none"/>
          <w:lang w:eastAsia="zh-CN"/>
        </w:rPr>
        <w:t>资金</w:t>
      </w:r>
      <w:r>
        <w:rPr>
          <w:rFonts w:hint="eastAsia" w:ascii="仿宋_GB2312" w:eastAsia="仿宋_GB2312"/>
          <w:snapToGrid w:val="0"/>
          <w:color w:val="auto"/>
          <w:spacing w:val="6"/>
          <w:sz w:val="32"/>
          <w:szCs w:val="32"/>
          <w:highlight w:val="none"/>
        </w:rPr>
        <w:t>统筹使用，保障农村综合改革工作顺利开展。</w:t>
      </w:r>
      <w:r>
        <w:rPr>
          <w:rFonts w:hint="eastAsia" w:ascii="仿宋_GB2312" w:eastAsia="仿宋_GB2312"/>
          <w:snapToGrid w:val="0"/>
          <w:color w:val="auto"/>
          <w:spacing w:val="6"/>
          <w:sz w:val="32"/>
          <w:szCs w:val="32"/>
          <w:highlight w:val="none"/>
          <w:lang w:eastAsia="zh-CN"/>
        </w:rPr>
        <w:t>市（州）、县（市、区）财政部门对下测算分配本级安排的农村综合改革转移支付时，可参照本办法确定符合本地实际的因素、权重等，确保资金使用绩效。</w:t>
      </w:r>
    </w:p>
    <w:p>
      <w:pPr>
        <w:spacing w:line="360" w:lineRule="auto"/>
        <w:ind w:firstLine="666" w:firstLineChars="200"/>
        <w:rPr>
          <w:rFonts w:ascii="仿宋_GB2312" w:eastAsia="仿宋_GB2312"/>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第十</w:t>
      </w:r>
      <w:r>
        <w:rPr>
          <w:rFonts w:hint="eastAsia" w:ascii="楷体_GB2312" w:eastAsia="楷体_GB2312"/>
          <w:b/>
          <w:snapToGrid w:val="0"/>
          <w:color w:val="auto"/>
          <w:spacing w:val="6"/>
          <w:sz w:val="32"/>
          <w:szCs w:val="32"/>
          <w:highlight w:val="none"/>
          <w:lang w:eastAsia="zh-CN"/>
        </w:rPr>
        <w:t>二</w:t>
      </w:r>
      <w:r>
        <w:rPr>
          <w:rFonts w:hint="eastAsia" w:ascii="楷体_GB2312" w:eastAsia="楷体_GB2312"/>
          <w:b/>
          <w:snapToGrid w:val="0"/>
          <w:color w:val="auto"/>
          <w:spacing w:val="6"/>
          <w:sz w:val="32"/>
          <w:szCs w:val="32"/>
          <w:highlight w:val="none"/>
        </w:rPr>
        <w:t xml:space="preserve">条 </w:t>
      </w:r>
      <w:r>
        <w:rPr>
          <w:rFonts w:hint="eastAsia" w:ascii="仿宋_GB2312" w:eastAsia="仿宋_GB2312"/>
          <w:snapToGrid w:val="0"/>
          <w:color w:val="auto"/>
          <w:spacing w:val="6"/>
          <w:sz w:val="32"/>
          <w:szCs w:val="32"/>
          <w:highlight w:val="none"/>
          <w:lang w:eastAsia="zh-CN"/>
        </w:rPr>
        <w:t>各</w:t>
      </w:r>
      <w:r>
        <w:rPr>
          <w:rFonts w:hint="eastAsia" w:ascii="仿宋_GB2312" w:eastAsia="仿宋_GB2312"/>
          <w:snapToGrid w:val="0"/>
          <w:color w:val="auto"/>
          <w:spacing w:val="6"/>
          <w:sz w:val="32"/>
          <w:szCs w:val="32"/>
          <w:highlight w:val="none"/>
        </w:rPr>
        <w:t>地财政部门应当按照相关财政规划要求，做好转移支付资金使用规划，加强与</w:t>
      </w:r>
      <w:r>
        <w:rPr>
          <w:rFonts w:hint="eastAsia" w:ascii="仿宋_GB2312" w:eastAsia="仿宋_GB2312"/>
          <w:snapToGrid w:val="0"/>
          <w:color w:val="auto"/>
          <w:spacing w:val="6"/>
          <w:sz w:val="32"/>
          <w:szCs w:val="32"/>
          <w:highlight w:val="none"/>
          <w:lang w:eastAsia="zh-CN"/>
        </w:rPr>
        <w:t>农村综合改革转移支付</w:t>
      </w:r>
      <w:r>
        <w:rPr>
          <w:rFonts w:hint="eastAsia" w:ascii="仿宋_GB2312" w:eastAsia="仿宋_GB2312"/>
          <w:snapToGrid w:val="0"/>
          <w:color w:val="auto"/>
          <w:spacing w:val="6"/>
          <w:sz w:val="32"/>
          <w:szCs w:val="32"/>
          <w:highlight w:val="none"/>
        </w:rPr>
        <w:t>资金和有关工作任务的衔接</w:t>
      </w:r>
      <w:r>
        <w:rPr>
          <w:rFonts w:hint="eastAsia" w:ascii="仿宋_GB2312" w:eastAsia="仿宋_GB2312"/>
          <w:snapToGrid w:val="0"/>
          <w:color w:val="auto"/>
          <w:spacing w:val="6"/>
          <w:sz w:val="32"/>
          <w:szCs w:val="32"/>
          <w:highlight w:val="none"/>
          <w:lang w:eastAsia="zh-CN"/>
        </w:rPr>
        <w:t>，不得将中央和省级财政资金用于本级及以下地方性政策任务</w:t>
      </w:r>
      <w:r>
        <w:rPr>
          <w:rFonts w:hint="eastAsia" w:ascii="仿宋_GB2312" w:eastAsia="仿宋_GB2312"/>
          <w:snapToGrid w:val="0"/>
          <w:color w:val="auto"/>
          <w:spacing w:val="6"/>
          <w:sz w:val="32"/>
          <w:szCs w:val="32"/>
          <w:highlight w:val="none"/>
        </w:rPr>
        <w:t>。</w:t>
      </w:r>
    </w:p>
    <w:p>
      <w:pPr>
        <w:spacing w:line="360" w:lineRule="auto"/>
        <w:ind w:firstLine="640" w:firstLineChars="200"/>
        <w:jc w:val="center"/>
        <w:rPr>
          <w:rFonts w:ascii="黑体" w:hAnsi="黑体" w:eastAsia="黑体" w:cs="宋体"/>
          <w:bCs/>
          <w:color w:val="auto"/>
          <w:sz w:val="32"/>
          <w:szCs w:val="32"/>
          <w:highlight w:val="none"/>
        </w:rPr>
      </w:pPr>
    </w:p>
    <w:p>
      <w:pPr>
        <w:spacing w:line="360" w:lineRule="auto"/>
        <w:ind w:firstLine="640" w:firstLineChars="200"/>
        <w:jc w:val="center"/>
        <w:rPr>
          <w:rFonts w:hint="eastAsia" w:ascii="楷体_GB2312" w:eastAsia="楷体_GB2312"/>
          <w:b/>
          <w:snapToGrid w:val="0"/>
          <w:color w:val="auto"/>
          <w:spacing w:val="6"/>
          <w:sz w:val="32"/>
          <w:szCs w:val="32"/>
          <w:highlight w:val="none"/>
        </w:rPr>
      </w:pPr>
      <w:r>
        <w:rPr>
          <w:rFonts w:hint="eastAsia" w:ascii="黑体" w:hAnsi="黑体" w:eastAsia="黑体" w:cs="宋体"/>
          <w:bCs/>
          <w:color w:val="auto"/>
          <w:sz w:val="32"/>
          <w:szCs w:val="32"/>
          <w:highlight w:val="none"/>
        </w:rPr>
        <w:t>第</w:t>
      </w:r>
      <w:r>
        <w:rPr>
          <w:rFonts w:hint="eastAsia" w:ascii="黑体" w:hAnsi="黑体" w:eastAsia="黑体" w:cs="宋体"/>
          <w:bCs/>
          <w:color w:val="auto"/>
          <w:sz w:val="32"/>
          <w:szCs w:val="32"/>
          <w:highlight w:val="none"/>
          <w:lang w:eastAsia="zh-CN"/>
        </w:rPr>
        <w:t>四</w:t>
      </w:r>
      <w:r>
        <w:rPr>
          <w:rFonts w:hint="eastAsia" w:ascii="黑体" w:hAnsi="黑体" w:eastAsia="黑体" w:cs="宋体"/>
          <w:bCs/>
          <w:color w:val="auto"/>
          <w:sz w:val="32"/>
          <w:szCs w:val="32"/>
          <w:highlight w:val="none"/>
        </w:rPr>
        <w:t>章 预算执行</w:t>
      </w:r>
    </w:p>
    <w:p>
      <w:pPr>
        <w:spacing w:line="360" w:lineRule="auto"/>
        <w:ind w:right="-57" w:rightChars="-27" w:firstLine="666" w:firstLineChars="200"/>
        <w:rPr>
          <w:rFonts w:hint="eastAsia" w:ascii="仿宋_GB2312" w:eastAsia="仿宋_GB2312"/>
          <w:snapToGrid w:val="0"/>
          <w:color w:val="auto"/>
          <w:spacing w:val="6"/>
          <w:sz w:val="32"/>
          <w:szCs w:val="32"/>
          <w:highlight w:val="none"/>
          <w:lang w:eastAsia="zh-CN"/>
        </w:rPr>
      </w:pPr>
      <w:r>
        <w:rPr>
          <w:rFonts w:hint="eastAsia" w:ascii="楷体_GB2312" w:eastAsia="楷体_GB2312"/>
          <w:b/>
          <w:snapToGrid w:val="0"/>
          <w:color w:val="auto"/>
          <w:spacing w:val="6"/>
          <w:sz w:val="32"/>
          <w:szCs w:val="32"/>
          <w:highlight w:val="none"/>
          <w:lang w:eastAsia="zh-CN"/>
        </w:rPr>
        <w:t>第十三条</w:t>
      </w:r>
      <w:r>
        <w:rPr>
          <w:rFonts w:hint="eastAsia" w:ascii="仿宋_GB2312" w:eastAsia="仿宋_GB2312"/>
          <w:snapToGrid w:val="0"/>
          <w:color w:val="auto"/>
          <w:spacing w:val="6"/>
          <w:sz w:val="32"/>
          <w:szCs w:val="32"/>
          <w:highlight w:val="none"/>
          <w:lang w:val="en-US" w:eastAsia="zh-CN"/>
        </w:rPr>
        <w:t xml:space="preserve"> </w:t>
      </w:r>
      <w:r>
        <w:rPr>
          <w:rFonts w:hint="eastAsia" w:ascii="仿宋_GB2312" w:eastAsia="仿宋_GB2312"/>
          <w:snapToGrid w:val="0"/>
          <w:color w:val="auto"/>
          <w:spacing w:val="6"/>
          <w:sz w:val="32"/>
          <w:szCs w:val="32"/>
          <w:highlight w:val="none"/>
        </w:rPr>
        <w:t>农村综合改革转移支付</w:t>
      </w:r>
      <w:r>
        <w:rPr>
          <w:rFonts w:hint="eastAsia" w:ascii="仿宋_GB2312" w:eastAsia="仿宋_GB2312"/>
          <w:snapToGrid w:val="0"/>
          <w:color w:val="auto"/>
          <w:spacing w:val="6"/>
          <w:sz w:val="32"/>
          <w:szCs w:val="32"/>
          <w:highlight w:val="none"/>
          <w:lang w:eastAsia="zh-CN"/>
        </w:rPr>
        <w:t>资金</w:t>
      </w:r>
      <w:r>
        <w:rPr>
          <w:rFonts w:hint="eastAsia" w:ascii="仿宋_GB2312" w:eastAsia="仿宋_GB2312"/>
          <w:snapToGrid w:val="0"/>
          <w:color w:val="auto"/>
          <w:spacing w:val="6"/>
          <w:sz w:val="32"/>
          <w:szCs w:val="32"/>
          <w:highlight w:val="none"/>
        </w:rPr>
        <w:t>的支付应当按照国库集中支付制度有关规定执行。</w:t>
      </w:r>
      <w:r>
        <w:rPr>
          <w:rFonts w:hint="eastAsia" w:ascii="仿宋_GB2312" w:eastAsia="仿宋_GB2312"/>
          <w:snapToGrid w:val="0"/>
          <w:color w:val="auto"/>
          <w:spacing w:val="6"/>
          <w:sz w:val="32"/>
          <w:szCs w:val="32"/>
          <w:highlight w:val="none"/>
          <w:lang w:eastAsia="zh-CN"/>
        </w:rPr>
        <w:t>涉及政府采购的，应当按照政府采购法律制度规定执行。</w:t>
      </w:r>
    </w:p>
    <w:p>
      <w:pPr>
        <w:spacing w:line="360" w:lineRule="auto"/>
        <w:ind w:right="-57" w:rightChars="-27" w:firstLine="666" w:firstLineChars="200"/>
        <w:rPr>
          <w:rFonts w:hint="eastAsia"/>
          <w:color w:val="auto"/>
        </w:rPr>
      </w:pPr>
      <w:r>
        <w:rPr>
          <w:rFonts w:hint="eastAsia" w:ascii="楷体_GB2312" w:eastAsia="楷体_GB2312"/>
          <w:b/>
          <w:snapToGrid w:val="0"/>
          <w:color w:val="auto"/>
          <w:spacing w:val="6"/>
          <w:sz w:val="32"/>
          <w:szCs w:val="32"/>
          <w:highlight w:val="none"/>
          <w:lang w:eastAsia="zh-CN"/>
        </w:rPr>
        <w:t>第十四条</w:t>
      </w:r>
      <w:r>
        <w:rPr>
          <w:rFonts w:hint="eastAsia" w:ascii="楷体_GB2312" w:eastAsia="楷体_GB2312"/>
          <w:b/>
          <w:snapToGrid w:val="0"/>
          <w:color w:val="auto"/>
          <w:spacing w:val="6"/>
          <w:sz w:val="32"/>
          <w:szCs w:val="32"/>
          <w:highlight w:val="none"/>
        </w:rPr>
        <w:t xml:space="preserve"> </w:t>
      </w:r>
      <w:r>
        <w:rPr>
          <w:rFonts w:hint="eastAsia" w:ascii="仿宋_GB2312" w:eastAsia="仿宋_GB2312"/>
          <w:snapToGrid w:val="0"/>
          <w:color w:val="auto"/>
          <w:spacing w:val="6"/>
          <w:sz w:val="32"/>
          <w:szCs w:val="32"/>
          <w:highlight w:val="none"/>
          <w:lang w:eastAsia="zh-CN"/>
        </w:rPr>
        <w:t>财政厅及时将资金落实到地区和项目，督促地方做实项目前期准备等工作，依法合规加快预算执行进度，按照项目进度科学安排支出，严禁“以拨代支”和违规整合。</w:t>
      </w:r>
      <w:r>
        <w:rPr>
          <w:rFonts w:hint="eastAsia" w:ascii="仿宋_GB2312" w:eastAsia="仿宋_GB2312"/>
          <w:snapToGrid w:val="0"/>
          <w:color w:val="auto"/>
          <w:spacing w:val="6"/>
          <w:sz w:val="32"/>
          <w:szCs w:val="32"/>
          <w:highlight w:val="none"/>
        </w:rPr>
        <w:t>各级财政部门应当加快预算执行进度，提高资金使用效益。结转结余资金按照</w:t>
      </w:r>
      <w:r>
        <w:rPr>
          <w:rFonts w:hint="eastAsia" w:ascii="仿宋_GB2312" w:eastAsia="仿宋_GB2312"/>
          <w:snapToGrid w:val="0"/>
          <w:color w:val="auto"/>
          <w:spacing w:val="6"/>
          <w:sz w:val="32"/>
          <w:szCs w:val="32"/>
          <w:highlight w:val="none"/>
          <w:lang w:eastAsia="zh-CN"/>
        </w:rPr>
        <w:t>相关</w:t>
      </w:r>
      <w:r>
        <w:rPr>
          <w:rFonts w:hint="eastAsia" w:ascii="仿宋_GB2312" w:eastAsia="仿宋_GB2312"/>
          <w:snapToGrid w:val="0"/>
          <w:color w:val="auto"/>
          <w:spacing w:val="6"/>
          <w:sz w:val="32"/>
          <w:szCs w:val="32"/>
          <w:highlight w:val="none"/>
        </w:rPr>
        <w:t>规定执行。</w:t>
      </w:r>
    </w:p>
    <w:p>
      <w:pPr>
        <w:spacing w:line="360" w:lineRule="auto"/>
        <w:ind w:right="-57" w:rightChars="-27" w:firstLine="666" w:firstLineChars="200"/>
        <w:rPr>
          <w:rFonts w:hint="eastAsia"/>
          <w:color w:val="auto"/>
        </w:rPr>
      </w:pPr>
      <w:r>
        <w:rPr>
          <w:rFonts w:hint="eastAsia" w:ascii="楷体_GB2312" w:eastAsia="楷体_GB2312"/>
          <w:b/>
          <w:snapToGrid w:val="0"/>
          <w:color w:val="auto"/>
          <w:spacing w:val="6"/>
          <w:sz w:val="32"/>
          <w:szCs w:val="32"/>
          <w:highlight w:val="none"/>
          <w:lang w:eastAsia="zh-CN"/>
        </w:rPr>
        <w:t>第十五条</w:t>
      </w:r>
      <w:r>
        <w:rPr>
          <w:rFonts w:hint="eastAsia" w:ascii="仿宋_GB2312" w:eastAsia="仿宋_GB2312"/>
          <w:snapToGrid w:val="0"/>
          <w:color w:val="auto"/>
          <w:spacing w:val="6"/>
          <w:sz w:val="32"/>
          <w:szCs w:val="32"/>
          <w:highlight w:val="none"/>
        </w:rPr>
        <w:t xml:space="preserve"> 有关单位或个人在资金管理、使用中，存在违法违纪行为的，按照《中华人民共和国预算法》《中华人民共和国公职人员政务处分法》《财政违法行为处罚处分条例》等法律法规规定处理。涉嫌犯罪的，移送有权机关处理。</w:t>
      </w:r>
    </w:p>
    <w:p>
      <w:pPr>
        <w:spacing w:line="360" w:lineRule="auto"/>
        <w:jc w:val="center"/>
        <w:rPr>
          <w:rFonts w:hint="eastAsia" w:ascii="黑体" w:hAnsi="黑体" w:eastAsia="黑体" w:cs="宋体"/>
          <w:bCs/>
          <w:color w:val="auto"/>
          <w:sz w:val="32"/>
          <w:szCs w:val="32"/>
          <w:highlight w:val="none"/>
        </w:rPr>
      </w:pPr>
    </w:p>
    <w:p>
      <w:pPr>
        <w:spacing w:line="360" w:lineRule="auto"/>
        <w:jc w:val="center"/>
        <w:rPr>
          <w:rFonts w:hint="eastAsia"/>
          <w:color w:val="auto"/>
          <w:lang w:eastAsia="zh-CN"/>
        </w:rPr>
      </w:pPr>
      <w:r>
        <w:rPr>
          <w:rFonts w:hint="eastAsia" w:ascii="黑体" w:hAnsi="黑体" w:eastAsia="黑体" w:cs="宋体"/>
          <w:bCs/>
          <w:color w:val="auto"/>
          <w:sz w:val="32"/>
          <w:szCs w:val="32"/>
          <w:highlight w:val="none"/>
        </w:rPr>
        <w:t>第</w:t>
      </w:r>
      <w:r>
        <w:rPr>
          <w:rFonts w:hint="eastAsia" w:ascii="黑体" w:hAnsi="黑体" w:eastAsia="黑体" w:cs="宋体"/>
          <w:bCs/>
          <w:color w:val="auto"/>
          <w:sz w:val="32"/>
          <w:szCs w:val="32"/>
          <w:highlight w:val="none"/>
          <w:lang w:eastAsia="zh-CN"/>
        </w:rPr>
        <w:t>五</w:t>
      </w:r>
      <w:r>
        <w:rPr>
          <w:rFonts w:hint="eastAsia" w:ascii="黑体" w:hAnsi="黑体" w:eastAsia="黑体" w:cs="宋体"/>
          <w:bCs/>
          <w:color w:val="auto"/>
          <w:sz w:val="32"/>
          <w:szCs w:val="32"/>
          <w:highlight w:val="none"/>
        </w:rPr>
        <w:t>章</w:t>
      </w:r>
      <w:r>
        <w:rPr>
          <w:rFonts w:hint="eastAsia" w:ascii="黑体" w:hAnsi="黑体" w:eastAsia="黑体" w:cs="宋体"/>
          <w:bCs/>
          <w:color w:val="auto"/>
          <w:sz w:val="32"/>
          <w:szCs w:val="32"/>
          <w:highlight w:val="none"/>
          <w:lang w:val="en-US" w:eastAsia="zh-CN"/>
        </w:rPr>
        <w:t xml:space="preserve"> </w:t>
      </w:r>
      <w:r>
        <w:rPr>
          <w:rFonts w:hint="eastAsia" w:ascii="黑体" w:hAnsi="黑体" w:eastAsia="黑体" w:cs="宋体"/>
          <w:bCs/>
          <w:color w:val="auto"/>
          <w:sz w:val="32"/>
          <w:szCs w:val="32"/>
          <w:highlight w:val="none"/>
          <w:lang w:eastAsia="zh-CN"/>
        </w:rPr>
        <w:t>绩效管理</w:t>
      </w:r>
      <w:r>
        <w:rPr>
          <w:rFonts w:hint="eastAsia" w:ascii="黑体" w:hAnsi="黑体" w:eastAsia="黑体" w:cs="宋体"/>
          <w:bCs/>
          <w:color w:val="auto"/>
          <w:sz w:val="32"/>
          <w:szCs w:val="32"/>
          <w:highlight w:val="none"/>
        </w:rPr>
        <w:t>和监督</w:t>
      </w:r>
    </w:p>
    <w:p>
      <w:pPr>
        <w:spacing w:line="360" w:lineRule="auto"/>
        <w:ind w:firstLine="666" w:firstLineChars="200"/>
        <w:rPr>
          <w:rFonts w:ascii="仿宋_GB2312" w:eastAsia="仿宋_GB2312"/>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第</w:t>
      </w:r>
      <w:r>
        <w:rPr>
          <w:rFonts w:hint="eastAsia" w:ascii="楷体_GB2312" w:eastAsia="楷体_GB2312"/>
          <w:b/>
          <w:snapToGrid w:val="0"/>
          <w:color w:val="auto"/>
          <w:spacing w:val="6"/>
          <w:sz w:val="32"/>
          <w:szCs w:val="32"/>
          <w:highlight w:val="none"/>
          <w:lang w:eastAsia="zh-CN"/>
        </w:rPr>
        <w:t>十六</w:t>
      </w:r>
      <w:r>
        <w:rPr>
          <w:rFonts w:hint="eastAsia" w:ascii="楷体_GB2312" w:eastAsia="楷体_GB2312"/>
          <w:b/>
          <w:snapToGrid w:val="0"/>
          <w:color w:val="auto"/>
          <w:spacing w:val="6"/>
          <w:sz w:val="32"/>
          <w:szCs w:val="32"/>
          <w:highlight w:val="none"/>
        </w:rPr>
        <w:t xml:space="preserve">条 </w:t>
      </w:r>
      <w:r>
        <w:rPr>
          <w:rFonts w:hint="eastAsia" w:ascii="仿宋_GB2312" w:eastAsia="仿宋_GB2312"/>
          <w:snapToGrid w:val="0"/>
          <w:color w:val="auto"/>
          <w:spacing w:val="6"/>
          <w:sz w:val="32"/>
          <w:szCs w:val="32"/>
          <w:highlight w:val="none"/>
        </w:rPr>
        <w:t>各级财政部门应</w:t>
      </w:r>
      <w:r>
        <w:rPr>
          <w:rFonts w:hint="eastAsia" w:ascii="仿宋_GB2312" w:eastAsia="仿宋_GB2312"/>
          <w:snapToGrid w:val="0"/>
          <w:color w:val="auto"/>
          <w:spacing w:val="6"/>
          <w:sz w:val="32"/>
          <w:szCs w:val="32"/>
          <w:highlight w:val="none"/>
          <w:lang w:eastAsia="zh-CN"/>
        </w:rPr>
        <w:t>加强</w:t>
      </w:r>
      <w:r>
        <w:rPr>
          <w:rFonts w:hint="eastAsia" w:ascii="仿宋_GB2312" w:eastAsia="仿宋_GB2312"/>
          <w:snapToGrid w:val="0"/>
          <w:color w:val="auto"/>
          <w:spacing w:val="6"/>
          <w:sz w:val="32"/>
          <w:szCs w:val="32"/>
          <w:highlight w:val="none"/>
        </w:rPr>
        <w:t>农村综合改革转移支付管</w:t>
      </w:r>
      <w:r>
        <w:rPr>
          <w:rFonts w:hint="eastAsia" w:ascii="仿宋_GB2312" w:eastAsia="仿宋_GB2312"/>
          <w:snapToGrid w:val="0"/>
          <w:color w:val="auto"/>
          <w:spacing w:val="6"/>
          <w:sz w:val="32"/>
          <w:szCs w:val="32"/>
          <w:highlight w:val="none"/>
          <w:lang w:eastAsia="zh-CN"/>
        </w:rPr>
        <w:t>理，</w:t>
      </w:r>
      <w:r>
        <w:rPr>
          <w:rFonts w:hint="eastAsia" w:ascii="仿宋_GB2312" w:eastAsia="仿宋_GB2312"/>
          <w:snapToGrid w:val="0"/>
          <w:color w:val="auto"/>
          <w:spacing w:val="6"/>
          <w:sz w:val="32"/>
          <w:szCs w:val="32"/>
          <w:highlight w:val="none"/>
        </w:rPr>
        <w:t>自觉依法接受审计监督和</w:t>
      </w:r>
      <w:r>
        <w:rPr>
          <w:rFonts w:hint="eastAsia" w:ascii="仿宋_GB2312" w:eastAsia="仿宋_GB2312"/>
          <w:snapToGrid w:val="0"/>
          <w:color w:val="auto"/>
          <w:spacing w:val="6"/>
          <w:sz w:val="32"/>
          <w:szCs w:val="32"/>
          <w:highlight w:val="none"/>
          <w:lang w:eastAsia="zh-CN"/>
        </w:rPr>
        <w:t>财会</w:t>
      </w:r>
      <w:r>
        <w:rPr>
          <w:rFonts w:hint="eastAsia" w:ascii="仿宋_GB2312" w:eastAsia="仿宋_GB2312"/>
          <w:snapToGrid w:val="0"/>
          <w:color w:val="auto"/>
          <w:spacing w:val="6"/>
          <w:sz w:val="32"/>
          <w:szCs w:val="32"/>
          <w:highlight w:val="none"/>
        </w:rPr>
        <w:t>监督。</w:t>
      </w:r>
    </w:p>
    <w:p>
      <w:pPr>
        <w:spacing w:line="360" w:lineRule="auto"/>
        <w:ind w:firstLine="666" w:firstLineChars="200"/>
        <w:rPr>
          <w:rFonts w:hint="eastAsia" w:ascii="仿宋_GB2312" w:eastAsia="仿宋_GB2312"/>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第</w:t>
      </w:r>
      <w:r>
        <w:rPr>
          <w:rFonts w:hint="eastAsia" w:ascii="楷体_GB2312" w:eastAsia="楷体_GB2312"/>
          <w:b/>
          <w:snapToGrid w:val="0"/>
          <w:color w:val="auto"/>
          <w:spacing w:val="6"/>
          <w:sz w:val="32"/>
          <w:szCs w:val="32"/>
          <w:highlight w:val="none"/>
          <w:lang w:eastAsia="zh-CN"/>
        </w:rPr>
        <w:t>十七</w:t>
      </w:r>
      <w:r>
        <w:rPr>
          <w:rFonts w:hint="eastAsia" w:ascii="楷体_GB2312" w:eastAsia="楷体_GB2312"/>
          <w:b/>
          <w:snapToGrid w:val="0"/>
          <w:color w:val="auto"/>
          <w:spacing w:val="6"/>
          <w:sz w:val="32"/>
          <w:szCs w:val="32"/>
          <w:highlight w:val="none"/>
        </w:rPr>
        <w:t xml:space="preserve">条 </w:t>
      </w:r>
      <w:r>
        <w:rPr>
          <w:rFonts w:hint="eastAsia" w:ascii="仿宋_GB2312" w:hAnsi="仿宋_GB2312" w:eastAsia="仿宋_GB2312" w:cs="仿宋_GB2312"/>
          <w:b w:val="0"/>
          <w:bCs/>
          <w:color w:val="auto"/>
          <w:sz w:val="32"/>
          <w:szCs w:val="32"/>
          <w:highlight w:val="none"/>
        </w:rPr>
        <w:t>各级财政部门要按照全面实施预算绩效管理的要求，建立健全全过程预算绩效管理机制</w:t>
      </w:r>
      <w:r>
        <w:rPr>
          <w:rFonts w:hint="eastAsia" w:ascii="仿宋_GB2312" w:hAnsi="仿宋_GB2312" w:eastAsia="仿宋_GB2312" w:cs="仿宋_GB2312"/>
          <w:b w:val="0"/>
          <w:bCs/>
          <w:color w:val="auto"/>
          <w:sz w:val="32"/>
          <w:szCs w:val="32"/>
          <w:highlight w:val="none"/>
          <w:lang w:eastAsia="zh-CN"/>
        </w:rPr>
        <w:t>。各级财政部门对照绩效目标按要求开展绩效运行监控和绩效自评，及时发现并纠正存在的问题，确保绩效目标如期实现。</w:t>
      </w:r>
      <w:r>
        <w:rPr>
          <w:rFonts w:hint="eastAsia" w:ascii="仿宋_GB2312" w:eastAsia="仿宋_GB2312"/>
          <w:snapToGrid w:val="0"/>
          <w:color w:val="auto"/>
          <w:spacing w:val="6"/>
          <w:sz w:val="32"/>
          <w:szCs w:val="32"/>
          <w:highlight w:val="none"/>
        </w:rPr>
        <w:t>财政</w:t>
      </w:r>
      <w:r>
        <w:rPr>
          <w:rFonts w:hint="eastAsia" w:ascii="仿宋_GB2312" w:eastAsia="仿宋_GB2312"/>
          <w:snapToGrid w:val="0"/>
          <w:color w:val="auto"/>
          <w:spacing w:val="6"/>
          <w:sz w:val="32"/>
          <w:szCs w:val="32"/>
          <w:highlight w:val="none"/>
          <w:lang w:eastAsia="zh-CN"/>
        </w:rPr>
        <w:t>厅</w:t>
      </w:r>
      <w:r>
        <w:rPr>
          <w:rFonts w:hint="eastAsia" w:ascii="仿宋_GB2312" w:hAnsi="仿宋_GB2312" w:eastAsia="仿宋_GB2312" w:cs="仿宋_GB2312"/>
          <w:b w:val="0"/>
          <w:bCs/>
          <w:color w:val="auto"/>
          <w:sz w:val="32"/>
          <w:szCs w:val="32"/>
          <w:highlight w:val="none"/>
        </w:rPr>
        <w:t>对各地自评结果进行审核</w:t>
      </w:r>
      <w:r>
        <w:rPr>
          <w:rFonts w:hint="eastAsia" w:ascii="仿宋_GB2312" w:hAnsi="仿宋_GB2312" w:eastAsia="仿宋_GB2312" w:cs="仿宋_GB2312"/>
          <w:b w:val="0"/>
          <w:bCs/>
          <w:color w:val="auto"/>
          <w:sz w:val="32"/>
          <w:szCs w:val="32"/>
          <w:highlight w:val="none"/>
          <w:lang w:eastAsia="zh-CN"/>
        </w:rPr>
        <w:t>汇总</w:t>
      </w:r>
      <w:r>
        <w:rPr>
          <w:rFonts w:hint="eastAsia" w:ascii="仿宋_GB2312" w:hAnsi="仿宋_GB2312" w:eastAsia="仿宋_GB2312" w:cs="仿宋_GB2312"/>
          <w:b w:val="0"/>
          <w:bCs/>
          <w:color w:val="auto"/>
          <w:sz w:val="32"/>
          <w:szCs w:val="32"/>
          <w:highlight w:val="none"/>
        </w:rPr>
        <w:t>，形成整体绩效目标自评结果</w:t>
      </w:r>
      <w:r>
        <w:rPr>
          <w:rFonts w:hint="eastAsia" w:ascii="仿宋_GB2312" w:hAnsi="仿宋_GB2312" w:eastAsia="仿宋_GB2312" w:cs="仿宋_GB2312"/>
          <w:b w:val="0"/>
          <w:bCs/>
          <w:color w:val="auto"/>
          <w:sz w:val="32"/>
          <w:szCs w:val="32"/>
          <w:highlight w:val="none"/>
          <w:lang w:eastAsia="zh-CN"/>
        </w:rPr>
        <w:t>，</w:t>
      </w:r>
      <w:r>
        <w:rPr>
          <w:rFonts w:hint="eastAsia" w:ascii="仿宋_GB2312" w:eastAsia="仿宋_GB2312"/>
          <w:snapToGrid w:val="0"/>
          <w:color w:val="auto"/>
          <w:spacing w:val="6"/>
          <w:sz w:val="32"/>
          <w:szCs w:val="32"/>
          <w:highlight w:val="none"/>
        </w:rPr>
        <w:t>根据</w:t>
      </w:r>
      <w:r>
        <w:rPr>
          <w:rFonts w:hint="eastAsia" w:ascii="仿宋_GB2312" w:eastAsia="仿宋_GB2312"/>
          <w:snapToGrid w:val="0"/>
          <w:color w:val="auto"/>
          <w:spacing w:val="6"/>
          <w:sz w:val="32"/>
          <w:szCs w:val="32"/>
          <w:highlight w:val="none"/>
          <w:lang w:eastAsia="zh-CN"/>
        </w:rPr>
        <w:t>工作</w:t>
      </w:r>
      <w:r>
        <w:rPr>
          <w:rFonts w:hint="eastAsia" w:ascii="仿宋_GB2312" w:eastAsia="仿宋_GB2312"/>
          <w:snapToGrid w:val="0"/>
          <w:color w:val="auto"/>
          <w:spacing w:val="6"/>
          <w:sz w:val="32"/>
          <w:szCs w:val="32"/>
          <w:highlight w:val="none"/>
        </w:rPr>
        <w:t>需要</w:t>
      </w:r>
      <w:r>
        <w:rPr>
          <w:rFonts w:hint="eastAsia" w:ascii="仿宋_GB2312" w:eastAsia="仿宋_GB2312"/>
          <w:snapToGrid w:val="0"/>
          <w:color w:val="auto"/>
          <w:spacing w:val="6"/>
          <w:sz w:val="32"/>
          <w:szCs w:val="32"/>
          <w:highlight w:val="none"/>
          <w:lang w:eastAsia="zh-CN"/>
        </w:rPr>
        <w:t>适时</w:t>
      </w:r>
      <w:r>
        <w:rPr>
          <w:rFonts w:hint="eastAsia" w:ascii="仿宋_GB2312" w:eastAsia="仿宋_GB2312"/>
          <w:snapToGrid w:val="0"/>
          <w:color w:val="auto"/>
          <w:spacing w:val="6"/>
          <w:sz w:val="32"/>
          <w:szCs w:val="32"/>
          <w:highlight w:val="none"/>
        </w:rPr>
        <w:t>组织开展</w:t>
      </w:r>
      <w:r>
        <w:rPr>
          <w:rFonts w:hint="eastAsia" w:ascii="仿宋_GB2312" w:eastAsia="仿宋_GB2312"/>
          <w:snapToGrid w:val="0"/>
          <w:color w:val="auto"/>
          <w:spacing w:val="6"/>
          <w:sz w:val="32"/>
          <w:szCs w:val="32"/>
          <w:highlight w:val="none"/>
          <w:lang w:eastAsia="zh-CN"/>
        </w:rPr>
        <w:t>重点</w:t>
      </w:r>
      <w:r>
        <w:rPr>
          <w:rFonts w:hint="eastAsia" w:ascii="仿宋_GB2312" w:eastAsia="仿宋_GB2312"/>
          <w:snapToGrid w:val="0"/>
          <w:color w:val="auto"/>
          <w:spacing w:val="6"/>
          <w:sz w:val="32"/>
          <w:szCs w:val="32"/>
          <w:highlight w:val="none"/>
        </w:rPr>
        <w:t>绩效评价，并对绩效评价结果采取适当方式进行通报。</w:t>
      </w:r>
    </w:p>
    <w:p>
      <w:pPr>
        <w:spacing w:line="360" w:lineRule="auto"/>
        <w:ind w:right="0" w:rightChars="0" w:firstLine="666" w:firstLineChars="200"/>
        <w:rPr>
          <w:rFonts w:ascii="楷体_GB2312" w:eastAsia="楷体_GB2312"/>
          <w:b/>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第</w:t>
      </w:r>
      <w:r>
        <w:rPr>
          <w:rFonts w:hint="eastAsia" w:ascii="楷体_GB2312" w:eastAsia="楷体_GB2312"/>
          <w:b/>
          <w:snapToGrid w:val="0"/>
          <w:color w:val="auto"/>
          <w:spacing w:val="6"/>
          <w:sz w:val="32"/>
          <w:szCs w:val="32"/>
          <w:highlight w:val="none"/>
          <w:lang w:eastAsia="zh-CN"/>
        </w:rPr>
        <w:t>十八</w:t>
      </w:r>
      <w:r>
        <w:rPr>
          <w:rFonts w:hint="eastAsia" w:ascii="楷体_GB2312" w:eastAsia="楷体_GB2312"/>
          <w:b/>
          <w:snapToGrid w:val="0"/>
          <w:color w:val="auto"/>
          <w:spacing w:val="6"/>
          <w:sz w:val="32"/>
          <w:szCs w:val="32"/>
          <w:highlight w:val="none"/>
        </w:rPr>
        <w:t>条</w:t>
      </w:r>
      <w:r>
        <w:rPr>
          <w:rFonts w:hint="eastAsia" w:ascii="楷体_GB2312" w:eastAsia="楷体_GB2312"/>
          <w:b/>
          <w:snapToGrid w:val="0"/>
          <w:color w:val="auto"/>
          <w:spacing w:val="6"/>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lang w:val="en-US" w:eastAsia="zh-CN"/>
        </w:rPr>
        <w:t xml:space="preserve">各级财政部门要加强绩效评价结果运用， </w:t>
      </w:r>
      <w:r>
        <w:rPr>
          <w:rFonts w:hint="eastAsia" w:ascii="楷体_GB2312" w:eastAsia="楷体_GB2312"/>
          <w:b/>
          <w:snapToGrid w:val="0"/>
          <w:color w:val="auto"/>
          <w:spacing w:val="6"/>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将评价结果作为预算安排、改进管理、完善政策的重要依据。</w:t>
      </w:r>
      <w:r>
        <w:rPr>
          <w:rFonts w:hint="eastAsia" w:ascii="仿宋_GB2312" w:eastAsia="仿宋_GB2312"/>
          <w:snapToGrid w:val="0"/>
          <w:color w:val="auto"/>
          <w:spacing w:val="6"/>
          <w:sz w:val="32"/>
          <w:szCs w:val="32"/>
          <w:highlight w:val="none"/>
        </w:rPr>
        <w:t>财政</w:t>
      </w:r>
      <w:r>
        <w:rPr>
          <w:rFonts w:hint="eastAsia" w:ascii="仿宋_GB2312" w:eastAsia="仿宋_GB2312"/>
          <w:snapToGrid w:val="0"/>
          <w:color w:val="auto"/>
          <w:spacing w:val="6"/>
          <w:sz w:val="32"/>
          <w:szCs w:val="32"/>
          <w:highlight w:val="none"/>
          <w:lang w:eastAsia="zh-CN"/>
        </w:rPr>
        <w:t>厅</w:t>
      </w:r>
      <w:r>
        <w:rPr>
          <w:rFonts w:hint="eastAsia" w:ascii="仿宋_GB2312" w:eastAsia="仿宋_GB2312"/>
          <w:snapToGrid w:val="0"/>
          <w:color w:val="auto"/>
          <w:spacing w:val="6"/>
          <w:sz w:val="32"/>
          <w:szCs w:val="32"/>
          <w:highlight w:val="none"/>
        </w:rPr>
        <w:t>在资金分配、竞争立项等工作中加强绩效评价结果运用，督促</w:t>
      </w:r>
      <w:r>
        <w:rPr>
          <w:rFonts w:hint="eastAsia" w:ascii="仿宋_GB2312" w:eastAsia="仿宋_GB2312"/>
          <w:snapToGrid w:val="0"/>
          <w:color w:val="auto"/>
          <w:spacing w:val="6"/>
          <w:sz w:val="32"/>
          <w:szCs w:val="32"/>
          <w:highlight w:val="none"/>
          <w:lang w:eastAsia="zh-CN"/>
        </w:rPr>
        <w:t>市（州）、县（市、区）</w:t>
      </w:r>
      <w:r>
        <w:rPr>
          <w:rFonts w:hint="eastAsia" w:ascii="仿宋_GB2312" w:eastAsia="仿宋_GB2312"/>
          <w:snapToGrid w:val="0"/>
          <w:color w:val="auto"/>
          <w:spacing w:val="6"/>
          <w:sz w:val="32"/>
          <w:szCs w:val="32"/>
          <w:highlight w:val="none"/>
        </w:rPr>
        <w:t>财政部门切实加强资金项目管理。</w:t>
      </w:r>
    </w:p>
    <w:p>
      <w:pPr>
        <w:spacing w:line="360" w:lineRule="auto"/>
        <w:ind w:firstLine="640" w:firstLineChars="200"/>
        <w:jc w:val="center"/>
        <w:rPr>
          <w:rFonts w:ascii="黑体" w:hAnsi="黑体" w:eastAsia="黑体" w:cs="宋体"/>
          <w:bCs/>
          <w:color w:val="auto"/>
          <w:sz w:val="32"/>
          <w:szCs w:val="32"/>
          <w:highlight w:val="none"/>
        </w:rPr>
      </w:pPr>
    </w:p>
    <w:p>
      <w:pPr>
        <w:spacing w:line="360" w:lineRule="auto"/>
        <w:ind w:firstLine="640" w:firstLineChars="200"/>
        <w:jc w:val="center"/>
        <w:rPr>
          <w:rFonts w:ascii="楷体_GB2312" w:eastAsia="楷体_GB2312"/>
          <w:b/>
          <w:snapToGrid w:val="0"/>
          <w:color w:val="auto"/>
          <w:spacing w:val="6"/>
          <w:sz w:val="32"/>
          <w:szCs w:val="32"/>
          <w:highlight w:val="none"/>
        </w:rPr>
      </w:pPr>
      <w:r>
        <w:rPr>
          <w:rFonts w:hint="eastAsia" w:ascii="黑体" w:hAnsi="黑体" w:eastAsia="黑体" w:cs="宋体"/>
          <w:bCs/>
          <w:color w:val="auto"/>
          <w:sz w:val="32"/>
          <w:szCs w:val="32"/>
          <w:highlight w:val="none"/>
        </w:rPr>
        <w:t>第</w:t>
      </w:r>
      <w:r>
        <w:rPr>
          <w:rFonts w:hint="eastAsia" w:ascii="黑体" w:hAnsi="黑体" w:eastAsia="黑体" w:cs="宋体"/>
          <w:bCs/>
          <w:color w:val="auto"/>
          <w:sz w:val="32"/>
          <w:szCs w:val="32"/>
          <w:highlight w:val="none"/>
          <w:lang w:eastAsia="zh-CN"/>
        </w:rPr>
        <w:t>六</w:t>
      </w:r>
      <w:r>
        <w:rPr>
          <w:rFonts w:hint="eastAsia" w:ascii="黑体" w:hAnsi="黑体" w:eastAsia="黑体" w:cs="宋体"/>
          <w:bCs/>
          <w:color w:val="auto"/>
          <w:sz w:val="32"/>
          <w:szCs w:val="32"/>
          <w:highlight w:val="none"/>
        </w:rPr>
        <w:t>章  附 则</w:t>
      </w:r>
    </w:p>
    <w:p>
      <w:pPr>
        <w:spacing w:line="360" w:lineRule="auto"/>
        <w:ind w:firstLine="600"/>
        <w:rPr>
          <w:rFonts w:hint="eastAsia" w:ascii="仿宋_GB2312" w:eastAsia="仿宋_GB2312"/>
          <w:snapToGrid w:val="0"/>
          <w:color w:val="auto"/>
          <w:spacing w:val="6"/>
          <w:sz w:val="32"/>
          <w:szCs w:val="32"/>
          <w:highlight w:val="none"/>
        </w:rPr>
      </w:pPr>
      <w:r>
        <w:rPr>
          <w:rFonts w:hint="eastAsia" w:ascii="楷体_GB2312" w:eastAsia="楷体_GB2312"/>
          <w:b/>
          <w:snapToGrid w:val="0"/>
          <w:color w:val="auto"/>
          <w:spacing w:val="6"/>
          <w:sz w:val="32"/>
          <w:szCs w:val="32"/>
          <w:highlight w:val="none"/>
        </w:rPr>
        <w:t>第</w:t>
      </w:r>
      <w:r>
        <w:rPr>
          <w:rFonts w:hint="eastAsia" w:ascii="楷体_GB2312" w:eastAsia="楷体_GB2312"/>
          <w:b/>
          <w:snapToGrid w:val="0"/>
          <w:color w:val="auto"/>
          <w:spacing w:val="6"/>
          <w:sz w:val="32"/>
          <w:szCs w:val="32"/>
          <w:highlight w:val="none"/>
          <w:lang w:eastAsia="zh-CN"/>
        </w:rPr>
        <w:t>十九</w:t>
      </w:r>
      <w:r>
        <w:rPr>
          <w:rFonts w:hint="eastAsia" w:ascii="楷体_GB2312" w:eastAsia="楷体_GB2312"/>
          <w:b/>
          <w:snapToGrid w:val="0"/>
          <w:color w:val="auto"/>
          <w:spacing w:val="6"/>
          <w:sz w:val="32"/>
          <w:szCs w:val="32"/>
          <w:highlight w:val="none"/>
        </w:rPr>
        <w:t xml:space="preserve">条 </w:t>
      </w:r>
      <w:r>
        <w:rPr>
          <w:rFonts w:hint="eastAsia" w:ascii="仿宋_GB2312" w:eastAsia="仿宋_GB2312"/>
          <w:snapToGrid w:val="0"/>
          <w:color w:val="auto"/>
          <w:spacing w:val="6"/>
          <w:sz w:val="32"/>
          <w:szCs w:val="32"/>
          <w:highlight w:val="none"/>
          <w:lang w:eastAsia="zh-CN"/>
        </w:rPr>
        <w:t>市（州）、县（市、区）</w:t>
      </w:r>
      <w:r>
        <w:rPr>
          <w:rFonts w:hint="eastAsia" w:ascii="仿宋_GB2312" w:eastAsia="仿宋_GB2312"/>
          <w:snapToGrid w:val="0"/>
          <w:color w:val="auto"/>
          <w:spacing w:val="6"/>
          <w:sz w:val="32"/>
          <w:szCs w:val="32"/>
          <w:highlight w:val="none"/>
        </w:rPr>
        <w:t>财政部门依据本办法，结合各地工作实际，</w:t>
      </w:r>
      <w:r>
        <w:rPr>
          <w:rFonts w:hint="eastAsia" w:ascii="仿宋_GB2312" w:eastAsia="仿宋_GB2312"/>
          <w:snapToGrid w:val="0"/>
          <w:color w:val="auto"/>
          <w:spacing w:val="6"/>
          <w:sz w:val="32"/>
          <w:szCs w:val="32"/>
          <w:highlight w:val="none"/>
          <w:lang w:eastAsia="zh-CN"/>
        </w:rPr>
        <w:t>可</w:t>
      </w:r>
      <w:r>
        <w:rPr>
          <w:rFonts w:hint="eastAsia" w:ascii="仿宋_GB2312" w:eastAsia="仿宋_GB2312"/>
          <w:snapToGrid w:val="0"/>
          <w:color w:val="auto"/>
          <w:spacing w:val="6"/>
          <w:sz w:val="32"/>
          <w:szCs w:val="32"/>
          <w:highlight w:val="none"/>
        </w:rPr>
        <w:t>制定具体管理办法</w:t>
      </w:r>
      <w:r>
        <w:rPr>
          <w:rFonts w:hint="eastAsia" w:ascii="仿宋_GB2312" w:eastAsia="仿宋_GB2312"/>
          <w:snapToGrid w:val="0"/>
          <w:color w:val="auto"/>
          <w:spacing w:val="6"/>
          <w:sz w:val="32"/>
          <w:szCs w:val="32"/>
          <w:highlight w:val="none"/>
          <w:lang w:eastAsia="zh-CN"/>
        </w:rPr>
        <w:t>或实施细则</w:t>
      </w:r>
      <w:r>
        <w:rPr>
          <w:rFonts w:hint="eastAsia" w:ascii="仿宋_GB2312" w:eastAsia="仿宋_GB2312"/>
          <w:snapToGrid w:val="0"/>
          <w:color w:val="auto"/>
          <w:spacing w:val="6"/>
          <w:sz w:val="32"/>
          <w:szCs w:val="32"/>
          <w:highlight w:val="none"/>
        </w:rPr>
        <w:t>报财政</w:t>
      </w:r>
      <w:r>
        <w:rPr>
          <w:rFonts w:hint="eastAsia" w:ascii="仿宋_GB2312" w:eastAsia="仿宋_GB2312"/>
          <w:snapToGrid w:val="0"/>
          <w:color w:val="auto"/>
          <w:spacing w:val="6"/>
          <w:sz w:val="32"/>
          <w:szCs w:val="32"/>
          <w:highlight w:val="none"/>
          <w:lang w:eastAsia="zh-CN"/>
        </w:rPr>
        <w:t>厅</w:t>
      </w:r>
      <w:r>
        <w:rPr>
          <w:rFonts w:hint="eastAsia" w:ascii="仿宋_GB2312" w:eastAsia="仿宋_GB2312"/>
          <w:snapToGrid w:val="0"/>
          <w:color w:val="auto"/>
          <w:spacing w:val="6"/>
          <w:sz w:val="32"/>
          <w:szCs w:val="32"/>
          <w:highlight w:val="none"/>
        </w:rPr>
        <w:t>备案。</w:t>
      </w:r>
    </w:p>
    <w:p>
      <w:pPr>
        <w:spacing w:line="360" w:lineRule="auto"/>
        <w:ind w:firstLine="600"/>
        <w:rPr>
          <w:rFonts w:hint="default" w:ascii="仿宋_GB2312" w:eastAsia="仿宋_GB2312"/>
          <w:b w:val="0"/>
          <w:bCs w:val="0"/>
          <w:color w:val="auto"/>
          <w:sz w:val="32"/>
          <w:szCs w:val="32"/>
          <w:highlight w:val="none"/>
          <w:lang w:val="en-US" w:eastAsia="zh-CN"/>
        </w:rPr>
      </w:pPr>
      <w:r>
        <w:rPr>
          <w:rFonts w:hint="eastAsia" w:ascii="楷体_GB2312" w:eastAsia="楷体_GB2312"/>
          <w:b/>
          <w:snapToGrid w:val="0"/>
          <w:color w:val="auto"/>
          <w:spacing w:val="6"/>
          <w:sz w:val="32"/>
          <w:szCs w:val="32"/>
          <w:highlight w:val="none"/>
          <w:lang w:eastAsia="zh-CN"/>
        </w:rPr>
        <w:t>第二十条</w:t>
      </w:r>
      <w:r>
        <w:rPr>
          <w:rFonts w:hint="eastAsia" w:ascii="仿宋_GB2312" w:eastAsia="仿宋_GB2312"/>
          <w:snapToGrid w:val="0"/>
          <w:color w:val="auto"/>
          <w:spacing w:val="6"/>
          <w:sz w:val="32"/>
          <w:szCs w:val="32"/>
          <w:highlight w:val="none"/>
        </w:rPr>
        <w:t xml:space="preserve"> 本办法自</w:t>
      </w:r>
      <w:r>
        <w:rPr>
          <w:rFonts w:hint="eastAsia" w:ascii="仿宋_GB2312" w:eastAsia="仿宋_GB2312"/>
          <w:snapToGrid w:val="0"/>
          <w:color w:val="auto"/>
          <w:spacing w:val="6"/>
          <w:sz w:val="32"/>
          <w:szCs w:val="32"/>
          <w:highlight w:val="none"/>
          <w:lang w:val="en-US" w:eastAsia="zh-CN"/>
        </w:rPr>
        <w:t>2024年</w:t>
      </w:r>
      <w:r>
        <w:rPr>
          <w:rFonts w:hint="default" w:ascii="仿宋_GB2312" w:eastAsia="仿宋_GB2312"/>
          <w:snapToGrid w:val="0"/>
          <w:color w:val="auto"/>
          <w:spacing w:val="6"/>
          <w:sz w:val="32"/>
          <w:szCs w:val="32"/>
          <w:highlight w:val="none"/>
          <w:lang w:val="en" w:eastAsia="zh-CN"/>
        </w:rPr>
        <w:t>4</w:t>
      </w:r>
      <w:r>
        <w:rPr>
          <w:rFonts w:hint="eastAsia" w:ascii="仿宋_GB2312" w:eastAsia="仿宋_GB2312"/>
          <w:snapToGrid w:val="0"/>
          <w:color w:val="auto"/>
          <w:spacing w:val="6"/>
          <w:sz w:val="32"/>
          <w:szCs w:val="32"/>
          <w:highlight w:val="none"/>
          <w:lang w:val="en-US" w:eastAsia="zh-CN"/>
        </w:rPr>
        <w:t>月28日</w:t>
      </w:r>
      <w:r>
        <w:rPr>
          <w:rFonts w:hint="eastAsia" w:ascii="仿宋_GB2312" w:eastAsia="仿宋_GB2312"/>
          <w:snapToGrid w:val="0"/>
          <w:color w:val="auto"/>
          <w:spacing w:val="6"/>
          <w:sz w:val="32"/>
          <w:szCs w:val="32"/>
          <w:highlight w:val="none"/>
        </w:rPr>
        <w:t>起</w:t>
      </w:r>
      <w:r>
        <w:rPr>
          <w:rFonts w:hint="eastAsia" w:ascii="仿宋_GB2312" w:eastAsia="仿宋_GB2312"/>
          <w:snapToGrid w:val="0"/>
          <w:color w:val="auto"/>
          <w:spacing w:val="6"/>
          <w:sz w:val="32"/>
          <w:szCs w:val="32"/>
          <w:highlight w:val="none"/>
          <w:lang w:eastAsia="zh-CN"/>
        </w:rPr>
        <w:t>施</w:t>
      </w:r>
      <w:r>
        <w:rPr>
          <w:rFonts w:hint="eastAsia" w:ascii="仿宋_GB2312" w:eastAsia="仿宋_GB2312"/>
          <w:snapToGrid w:val="0"/>
          <w:color w:val="auto"/>
          <w:spacing w:val="6"/>
          <w:sz w:val="32"/>
          <w:szCs w:val="32"/>
          <w:highlight w:val="none"/>
          <w:lang w:val="en-US" w:eastAsia="zh-CN"/>
        </w:rPr>
        <w:t>行，实施期限至2026年12月31日。农村综合改革转移支付</w:t>
      </w:r>
      <w:r>
        <w:rPr>
          <w:rFonts w:hint="eastAsia" w:ascii="仿宋_GB2312" w:eastAsia="仿宋_GB2312"/>
          <w:snapToGrid w:val="0"/>
          <w:color w:val="auto"/>
          <w:spacing w:val="6"/>
          <w:sz w:val="32"/>
          <w:szCs w:val="32"/>
          <w:highlight w:val="none"/>
          <w:lang w:eastAsia="zh-CN"/>
        </w:rPr>
        <w:t>实施期限</w:t>
      </w:r>
      <w:r>
        <w:rPr>
          <w:rFonts w:hint="eastAsia" w:ascii="仿宋_GB2312" w:eastAsia="仿宋_GB2312"/>
          <w:snapToGrid w:val="0"/>
          <w:color w:val="auto"/>
          <w:spacing w:val="6"/>
          <w:sz w:val="32"/>
          <w:szCs w:val="32"/>
          <w:highlight w:val="none"/>
        </w:rPr>
        <w:t>满后，届时根据法律、行政法规、中央和省级有关规定和农村综合改革情况评估确定是否继续实施和延续期限。《四川省农村综合改革转移支付管理办法》（川财农〔20</w:t>
      </w:r>
      <w:r>
        <w:rPr>
          <w:rFonts w:hint="eastAsia" w:ascii="仿宋_GB2312" w:eastAsia="仿宋_GB2312"/>
          <w:snapToGrid w:val="0"/>
          <w:color w:val="auto"/>
          <w:spacing w:val="6"/>
          <w:sz w:val="32"/>
          <w:szCs w:val="32"/>
          <w:highlight w:val="none"/>
          <w:lang w:val="en-US" w:eastAsia="zh-CN"/>
        </w:rPr>
        <w:t>21</w:t>
      </w:r>
      <w:r>
        <w:rPr>
          <w:rFonts w:hint="eastAsia" w:ascii="仿宋_GB2312" w:eastAsia="仿宋_GB2312"/>
          <w:snapToGrid w:val="0"/>
          <w:color w:val="auto"/>
          <w:spacing w:val="6"/>
          <w:sz w:val="32"/>
          <w:szCs w:val="32"/>
          <w:highlight w:val="none"/>
        </w:rPr>
        <w:t>〕</w:t>
      </w:r>
      <w:r>
        <w:rPr>
          <w:rFonts w:hint="eastAsia" w:ascii="仿宋_GB2312" w:eastAsia="仿宋_GB2312"/>
          <w:snapToGrid w:val="0"/>
          <w:color w:val="auto"/>
          <w:spacing w:val="6"/>
          <w:sz w:val="32"/>
          <w:szCs w:val="32"/>
          <w:highlight w:val="none"/>
          <w:lang w:val="en-US" w:eastAsia="zh-CN"/>
        </w:rPr>
        <w:t>50</w:t>
      </w:r>
      <w:r>
        <w:rPr>
          <w:rFonts w:hint="eastAsia" w:ascii="仿宋_GB2312" w:eastAsia="仿宋_GB2312"/>
          <w:snapToGrid w:val="0"/>
          <w:color w:val="auto"/>
          <w:spacing w:val="6"/>
          <w:sz w:val="32"/>
          <w:szCs w:val="32"/>
          <w:highlight w:val="none"/>
        </w:rPr>
        <w:t>号）同时废止。</w:t>
      </w:r>
      <w:r>
        <w:rPr>
          <w:rFonts w:hint="eastAsia" w:ascii="仿宋_GB2312" w:eastAsia="仿宋_GB2312"/>
          <w:snapToGrid w:val="0"/>
          <w:color w:val="auto"/>
          <w:spacing w:val="6"/>
          <w:sz w:val="32"/>
          <w:szCs w:val="32"/>
          <w:highlight w:val="none"/>
          <w:lang w:eastAsia="zh-CN"/>
        </w:rPr>
        <w:t>《四川省农村综合改革转移支付绩效管理办法》</w:t>
      </w:r>
      <w:r>
        <w:rPr>
          <w:rFonts w:hint="eastAsia" w:ascii="仿宋_GB2312" w:eastAsia="仿宋_GB2312"/>
          <w:snapToGrid w:val="0"/>
          <w:color w:val="auto"/>
          <w:spacing w:val="6"/>
          <w:sz w:val="32"/>
          <w:szCs w:val="32"/>
          <w:highlight w:val="none"/>
        </w:rPr>
        <w:t>（川财农〔20</w:t>
      </w:r>
      <w:r>
        <w:rPr>
          <w:rFonts w:hint="eastAsia" w:ascii="仿宋_GB2312" w:eastAsia="仿宋_GB2312"/>
          <w:snapToGrid w:val="0"/>
          <w:color w:val="auto"/>
          <w:spacing w:val="6"/>
          <w:sz w:val="32"/>
          <w:szCs w:val="32"/>
          <w:highlight w:val="none"/>
          <w:lang w:val="en-US" w:eastAsia="zh-CN"/>
        </w:rPr>
        <w:t>19</w:t>
      </w:r>
      <w:r>
        <w:rPr>
          <w:rFonts w:hint="eastAsia" w:ascii="仿宋_GB2312" w:eastAsia="仿宋_GB2312"/>
          <w:snapToGrid w:val="0"/>
          <w:color w:val="auto"/>
          <w:spacing w:val="6"/>
          <w:sz w:val="32"/>
          <w:szCs w:val="32"/>
          <w:highlight w:val="none"/>
        </w:rPr>
        <w:t>〕</w:t>
      </w:r>
      <w:r>
        <w:rPr>
          <w:rFonts w:hint="eastAsia" w:ascii="仿宋_GB2312" w:eastAsia="仿宋_GB2312"/>
          <w:snapToGrid w:val="0"/>
          <w:color w:val="auto"/>
          <w:spacing w:val="6"/>
          <w:sz w:val="32"/>
          <w:szCs w:val="32"/>
          <w:highlight w:val="none"/>
          <w:lang w:val="en-US" w:eastAsia="zh-CN"/>
        </w:rPr>
        <w:t>61</w:t>
      </w:r>
      <w:r>
        <w:rPr>
          <w:rFonts w:hint="eastAsia" w:ascii="仿宋_GB2312" w:eastAsia="仿宋_GB2312"/>
          <w:snapToGrid w:val="0"/>
          <w:color w:val="auto"/>
          <w:spacing w:val="6"/>
          <w:sz w:val="32"/>
          <w:szCs w:val="32"/>
          <w:highlight w:val="none"/>
        </w:rPr>
        <w:t>号）</w:t>
      </w:r>
      <w:r>
        <w:rPr>
          <w:rFonts w:hint="eastAsia" w:ascii="仿宋_GB2312" w:eastAsia="仿宋_GB2312"/>
          <w:snapToGrid w:val="0"/>
          <w:color w:val="auto"/>
          <w:spacing w:val="6"/>
          <w:sz w:val="32"/>
          <w:szCs w:val="32"/>
          <w:highlight w:val="none"/>
          <w:lang w:eastAsia="zh-CN"/>
        </w:rPr>
        <w:t>与本办法不一致的，以本办法为准。</w:t>
      </w:r>
    </w:p>
    <w:p>
      <w:pPr>
        <w:spacing w:line="360" w:lineRule="auto"/>
        <w:ind w:firstLine="600"/>
        <w:rPr>
          <w:rFonts w:hint="eastAsia" w:ascii="仿宋_GB2312" w:eastAsia="仿宋_GB2312"/>
          <w:b w:val="0"/>
          <w:bCs w:val="0"/>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A7447"/>
    <w:rsid w:val="00057018"/>
    <w:rsid w:val="0007444E"/>
    <w:rsid w:val="00074D92"/>
    <w:rsid w:val="0007564A"/>
    <w:rsid w:val="0007752D"/>
    <w:rsid w:val="000D4727"/>
    <w:rsid w:val="000D725A"/>
    <w:rsid w:val="000E1F22"/>
    <w:rsid w:val="001108A6"/>
    <w:rsid w:val="001462D0"/>
    <w:rsid w:val="001631F1"/>
    <w:rsid w:val="00195301"/>
    <w:rsid w:val="001D23D9"/>
    <w:rsid w:val="001F46EC"/>
    <w:rsid w:val="001F4E15"/>
    <w:rsid w:val="00210890"/>
    <w:rsid w:val="00242FDC"/>
    <w:rsid w:val="00245354"/>
    <w:rsid w:val="0024638F"/>
    <w:rsid w:val="00307214"/>
    <w:rsid w:val="0036231A"/>
    <w:rsid w:val="003B1A22"/>
    <w:rsid w:val="003D2141"/>
    <w:rsid w:val="003D4BE9"/>
    <w:rsid w:val="004452AE"/>
    <w:rsid w:val="00464E3E"/>
    <w:rsid w:val="00495342"/>
    <w:rsid w:val="004A3E7A"/>
    <w:rsid w:val="004C00AF"/>
    <w:rsid w:val="004C23AF"/>
    <w:rsid w:val="004F2906"/>
    <w:rsid w:val="00526602"/>
    <w:rsid w:val="00571564"/>
    <w:rsid w:val="00587C9A"/>
    <w:rsid w:val="005A7447"/>
    <w:rsid w:val="005D4965"/>
    <w:rsid w:val="005E7A84"/>
    <w:rsid w:val="00622E35"/>
    <w:rsid w:val="006416E1"/>
    <w:rsid w:val="00644DCE"/>
    <w:rsid w:val="006C758D"/>
    <w:rsid w:val="00706EC7"/>
    <w:rsid w:val="007520F6"/>
    <w:rsid w:val="007660E0"/>
    <w:rsid w:val="007A1D73"/>
    <w:rsid w:val="007A4502"/>
    <w:rsid w:val="007F29B0"/>
    <w:rsid w:val="00806247"/>
    <w:rsid w:val="008173A4"/>
    <w:rsid w:val="008173A9"/>
    <w:rsid w:val="0083599C"/>
    <w:rsid w:val="008521D0"/>
    <w:rsid w:val="00866C6B"/>
    <w:rsid w:val="008841E9"/>
    <w:rsid w:val="008C780C"/>
    <w:rsid w:val="008D1DAB"/>
    <w:rsid w:val="008D264E"/>
    <w:rsid w:val="00935C42"/>
    <w:rsid w:val="009432AB"/>
    <w:rsid w:val="00951228"/>
    <w:rsid w:val="00963D52"/>
    <w:rsid w:val="00980A76"/>
    <w:rsid w:val="009E387C"/>
    <w:rsid w:val="00A21414"/>
    <w:rsid w:val="00A5767F"/>
    <w:rsid w:val="00A77122"/>
    <w:rsid w:val="00A87F74"/>
    <w:rsid w:val="00A96C80"/>
    <w:rsid w:val="00A97BC6"/>
    <w:rsid w:val="00AB418D"/>
    <w:rsid w:val="00B65D34"/>
    <w:rsid w:val="00BD2B98"/>
    <w:rsid w:val="00BD3E68"/>
    <w:rsid w:val="00BE6614"/>
    <w:rsid w:val="00C51369"/>
    <w:rsid w:val="00C94C7C"/>
    <w:rsid w:val="00CB0901"/>
    <w:rsid w:val="00CB6304"/>
    <w:rsid w:val="00CC0B9E"/>
    <w:rsid w:val="00CD5184"/>
    <w:rsid w:val="00D027BA"/>
    <w:rsid w:val="00D05C8C"/>
    <w:rsid w:val="00D1271D"/>
    <w:rsid w:val="00D21DCC"/>
    <w:rsid w:val="00D508C2"/>
    <w:rsid w:val="00D8095F"/>
    <w:rsid w:val="00D80EFD"/>
    <w:rsid w:val="00DD27E5"/>
    <w:rsid w:val="00E1206E"/>
    <w:rsid w:val="00E1464E"/>
    <w:rsid w:val="00EA34FB"/>
    <w:rsid w:val="00F13A7C"/>
    <w:rsid w:val="00F2678D"/>
    <w:rsid w:val="00F64A07"/>
    <w:rsid w:val="00F76378"/>
    <w:rsid w:val="00F91DBC"/>
    <w:rsid w:val="00FF5022"/>
    <w:rsid w:val="014F52E5"/>
    <w:rsid w:val="13156044"/>
    <w:rsid w:val="17739A04"/>
    <w:rsid w:val="17B11C00"/>
    <w:rsid w:val="2023675A"/>
    <w:rsid w:val="20C02C91"/>
    <w:rsid w:val="20F25E02"/>
    <w:rsid w:val="27FBB998"/>
    <w:rsid w:val="2CB43B6A"/>
    <w:rsid w:val="2FE718A3"/>
    <w:rsid w:val="300D51E5"/>
    <w:rsid w:val="32F75BC1"/>
    <w:rsid w:val="36FA563E"/>
    <w:rsid w:val="37FF99A9"/>
    <w:rsid w:val="387E6BC0"/>
    <w:rsid w:val="3D9C7D50"/>
    <w:rsid w:val="3F6F292C"/>
    <w:rsid w:val="3FFE7568"/>
    <w:rsid w:val="47081ECE"/>
    <w:rsid w:val="4A31653D"/>
    <w:rsid w:val="4E271840"/>
    <w:rsid w:val="4EAA129D"/>
    <w:rsid w:val="4F710C9F"/>
    <w:rsid w:val="4FE03F0B"/>
    <w:rsid w:val="5DFD4278"/>
    <w:rsid w:val="68590ED2"/>
    <w:rsid w:val="6DB17FB9"/>
    <w:rsid w:val="711E0721"/>
    <w:rsid w:val="77B70637"/>
    <w:rsid w:val="77BA1959"/>
    <w:rsid w:val="7ADF6A82"/>
    <w:rsid w:val="7C964318"/>
    <w:rsid w:val="7E587CF0"/>
    <w:rsid w:val="7F76E410"/>
    <w:rsid w:val="7FF73587"/>
    <w:rsid w:val="89FFA4B9"/>
    <w:rsid w:val="ABE687B4"/>
    <w:rsid w:val="B64421CF"/>
    <w:rsid w:val="D7777010"/>
    <w:rsid w:val="EF1DD169"/>
    <w:rsid w:val="F7516889"/>
    <w:rsid w:val="F7EABC58"/>
    <w:rsid w:val="FDEDCDF0"/>
    <w:rsid w:val="FEAB3F1A"/>
    <w:rsid w:val="FF7FD729"/>
    <w:rsid w:val="FFC8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Body Text Indent"/>
    <w:basedOn w:val="1"/>
    <w:next w:val="4"/>
    <w:qFormat/>
    <w:uiPriority w:val="0"/>
    <w:pPr>
      <w:spacing w:after="120" w:afterLines="0" w:afterAutospacing="0"/>
      <w:ind w:left="420" w:leftChars="200"/>
    </w:pPr>
  </w:style>
  <w:style w:type="paragraph" w:styleId="4">
    <w:name w:val="Body Text First Indent 2"/>
    <w:basedOn w:val="3"/>
    <w:next w:val="1"/>
    <w:qFormat/>
    <w:uiPriority w:val="0"/>
    <w:pPr>
      <w:ind w:firstLine="420" w:firstLine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semiHidden/>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330</Words>
  <Characters>1884</Characters>
  <Lines>15</Lines>
  <Paragraphs>4</Paragraphs>
  <TotalTime>36</TotalTime>
  <ScaleCrop>false</ScaleCrop>
  <LinksUpToDate>false</LinksUpToDate>
  <CharactersWithSpaces>2210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2017-01-06T08:50:00Z</dcterms:created>
  <dc:creator>dell</dc:creator>
  <cp:lastModifiedBy>胡玉龙</cp:lastModifiedBy>
  <cp:lastPrinted>2024-04-29T06:12:00Z</cp:lastPrinted>
  <dcterms:modified xsi:type="dcterms:W3CDTF">2024-04-30T11:50:37Z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