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96475"/>
      <w:bookmarkStart w:id="5" w:name="_Toc15378441"/>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8442"/>
      <w:bookmarkStart w:id="9" w:name="_Toc15377194"/>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政府和社会资本</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合作中心单位决算</w:t>
      </w:r>
      <w:bookmarkEnd w:id="6"/>
      <w:bookmarkEnd w:id="7"/>
      <w:bookmarkEnd w:id="8"/>
      <w:bookmarkEnd w:id="9"/>
      <w:bookmarkEnd w:id="10"/>
      <w:bookmarkEnd w:id="11"/>
    </w:p>
    <w:p>
      <w:pPr>
        <w:widowControl/>
        <w:jc w:val="cente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1"/>
      </w:pPr>
      <w:r>
        <w:rPr>
          <w:rFonts w:hint="eastAsia"/>
        </w:rPr>
        <w:t>公开时间：2021年9月10日</w:t>
      </w:r>
    </w:p>
    <w:sdt>
      <w:sdtPr>
        <w:rPr>
          <w:rFonts w:ascii="宋体" w:hAnsi="宋体" w:eastAsia="宋体" w:cs="Times New Roman"/>
          <w:kern w:val="2"/>
          <w:sz w:val="21"/>
          <w:szCs w:val="24"/>
          <w:lang w:val="en-US" w:eastAsia="zh-CN" w:bidi="ar-SA"/>
        </w:rPr>
        <w:id w:val="147458048"/>
        <w:docPartObj>
          <w:docPartGallery w:val="Table of Contents"/>
          <w:docPartUnique/>
        </w:docPartObj>
      </w:sdtPr>
      <w:sdtEndPr>
        <w:rPr>
          <w:rFonts w:ascii="Calibri" w:hAnsi="Calibri"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22291_WPSOffice_Type2"/>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_Toc28358_WPSOffice_Level1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048"/>
              <w:placeholder>
                <w:docPart w:val="{293bc8a6-5926-49c4-8bb9-4392b000b0b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第一部分 单位概况</w:t>
              </w:r>
            </w:sdtContent>
          </w:sdt>
          <w:r>
            <w:rPr>
              <w:rFonts w:hint="eastAsia" w:ascii="仿宋_GB2312" w:hAnsi="仿宋_GB2312" w:eastAsia="仿宋_GB2312" w:cs="仿宋_GB2312"/>
              <w:b/>
              <w:bCs/>
              <w:sz w:val="32"/>
              <w:szCs w:val="32"/>
            </w:rPr>
            <w:tab/>
          </w:r>
          <w:bookmarkStart w:id="13" w:name="_Toc28358_WPSOffice_Level1Page"/>
          <w:r>
            <w:rPr>
              <w:rFonts w:hint="eastAsia" w:ascii="仿宋_GB2312" w:hAnsi="仿宋_GB2312" w:eastAsia="仿宋_GB2312" w:cs="仿宋_GB2312"/>
              <w:b/>
              <w:bCs/>
              <w:sz w:val="32"/>
              <w:szCs w:val="32"/>
            </w:rPr>
            <w:t>4</w:t>
          </w:r>
          <w:bookmarkEnd w:id="13"/>
          <w:r>
            <w:rPr>
              <w:rFonts w:hint="eastAsia" w:ascii="仿宋_GB2312" w:hAnsi="仿宋_GB2312" w:eastAsia="仿宋_GB2312" w:cs="仿宋_GB2312"/>
              <w:b/>
              <w:bCs/>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_Toc22291_WPSOffice_Level2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5b7a1bfe-3934-4932-93b8-5bdaf0b9b71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一、职能简介</w:t>
              </w:r>
            </w:sdtContent>
          </w:sdt>
          <w:r>
            <w:rPr>
              <w:rFonts w:hint="eastAsia" w:ascii="仿宋_GB2312" w:hAnsi="仿宋_GB2312" w:eastAsia="仿宋_GB2312" w:cs="仿宋_GB2312"/>
              <w:sz w:val="32"/>
              <w:szCs w:val="32"/>
            </w:rPr>
            <w:tab/>
          </w:r>
          <w:bookmarkStart w:id="14" w:name="_Toc22291_WPSOffice_Level2Page"/>
          <w:r>
            <w:rPr>
              <w:rFonts w:hint="eastAsia" w:ascii="仿宋_GB2312" w:hAnsi="仿宋_GB2312" w:eastAsia="仿宋_GB2312" w:cs="仿宋_GB2312"/>
              <w:sz w:val="32"/>
              <w:szCs w:val="32"/>
            </w:rPr>
            <w:t>4</w:t>
          </w:r>
          <w:bookmarkEnd w:id="14"/>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744aafbf-0b3c-4eba-8aca-d1c5cb7d72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二、2020年重点工作完成情况</w:t>
              </w:r>
            </w:sdtContent>
          </w:sdt>
          <w:r>
            <w:rPr>
              <w:rFonts w:hint="eastAsia" w:ascii="仿宋_GB2312" w:hAnsi="仿宋_GB2312" w:eastAsia="仿宋_GB2312" w:cs="仿宋_GB2312"/>
              <w:sz w:val="32"/>
              <w:szCs w:val="32"/>
            </w:rPr>
            <w:tab/>
          </w:r>
          <w:bookmarkStart w:id="15" w:name="_Toc2506_WPSOffice_Level2Page"/>
          <w:r>
            <w:rPr>
              <w:rFonts w:hint="eastAsia" w:ascii="仿宋_GB2312" w:hAnsi="仿宋_GB2312" w:eastAsia="仿宋_GB2312" w:cs="仿宋_GB2312"/>
              <w:sz w:val="32"/>
              <w:szCs w:val="32"/>
            </w:rPr>
            <w:t>4</w:t>
          </w:r>
          <w:bookmarkEnd w:id="15"/>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a85aee7c-4009-442d-97a6-b894e43f482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机构设置</w:t>
              </w:r>
              <w:r>
                <w:rPr>
                  <w:rFonts w:hint="eastAsia" w:ascii="仿宋_GB2312" w:hAnsi="仿宋_GB2312" w:eastAsia="仿宋_GB2312" w:cs="仿宋_GB2312"/>
                  <w:sz w:val="32"/>
                  <w:szCs w:val="32"/>
                </w:rPr>
                <w:t>情况</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_Toc22291_WPSOffice_Level1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048"/>
              <w:placeholder>
                <w:docPart w:val="{ce6cb48e-7b10-4300-9c5f-362d9427a022}"/>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第二部分 2020年度单位决算情况说明</w:t>
              </w:r>
            </w:sdtContent>
          </w:sdt>
          <w:r>
            <w:rPr>
              <w:rFonts w:hint="eastAsia" w:ascii="仿宋_GB2312" w:hAnsi="仿宋_GB2312" w:eastAsia="仿宋_GB2312" w:cs="仿宋_GB2312"/>
              <w:b/>
              <w:bCs/>
              <w:sz w:val="32"/>
              <w:szCs w:val="32"/>
            </w:rPr>
            <w:tab/>
          </w:r>
          <w:bookmarkStart w:id="16" w:name="_Toc22291_WPSOffice_Level1Page"/>
          <w:r>
            <w:rPr>
              <w:rFonts w:hint="eastAsia" w:ascii="仿宋_GB2312" w:hAnsi="仿宋_GB2312" w:eastAsia="仿宋_GB2312" w:cs="仿宋_GB2312"/>
              <w:b/>
              <w:bCs/>
              <w:sz w:val="32"/>
              <w:szCs w:val="32"/>
            </w:rPr>
            <w:t>5</w:t>
          </w:r>
          <w:bookmarkEnd w:id="16"/>
          <w:r>
            <w:rPr>
              <w:rFonts w:hint="eastAsia" w:ascii="仿宋_GB2312" w:hAnsi="仿宋_GB2312" w:eastAsia="仿宋_GB2312" w:cs="仿宋_GB2312"/>
              <w:b/>
              <w:bCs/>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_Toc4925_WPSOffice_Level2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0321a8da-8457-40ef-aa94-5fa464a6913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一、收入支出决算总体情况说明</w:t>
              </w:r>
            </w:sdtContent>
          </w:sdt>
          <w:r>
            <w:rPr>
              <w:rFonts w:hint="eastAsia" w:ascii="仿宋_GB2312" w:hAnsi="仿宋_GB2312" w:eastAsia="仿宋_GB2312" w:cs="仿宋_GB2312"/>
              <w:sz w:val="32"/>
              <w:szCs w:val="32"/>
            </w:rPr>
            <w:tab/>
          </w:r>
          <w:bookmarkStart w:id="17" w:name="_Toc4925_WPSOffice_Level2Page"/>
          <w:r>
            <w:rPr>
              <w:rFonts w:hint="eastAsia" w:ascii="仿宋_GB2312" w:hAnsi="仿宋_GB2312" w:eastAsia="仿宋_GB2312" w:cs="仿宋_GB2312"/>
              <w:sz w:val="32"/>
              <w:szCs w:val="32"/>
            </w:rPr>
            <w:t>5</w:t>
          </w:r>
          <w:bookmarkEnd w:id="17"/>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60165003-4194-4686-87b5-3360d06b17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二、收入决算情况说明</w:t>
              </w:r>
            </w:sdtContent>
          </w:sdt>
          <w:r>
            <w:rPr>
              <w:rFonts w:hint="eastAsia" w:ascii="仿宋_GB2312" w:hAnsi="仿宋_GB2312" w:eastAsia="仿宋_GB2312" w:cs="仿宋_GB2312"/>
              <w:sz w:val="32"/>
              <w:szCs w:val="32"/>
            </w:rPr>
            <w:tab/>
          </w:r>
          <w:bookmarkStart w:id="18" w:name="_Toc461_WPSOffice_Level2Page"/>
          <w:r>
            <w:rPr>
              <w:rFonts w:hint="eastAsia" w:ascii="仿宋_GB2312" w:hAnsi="仿宋_GB2312" w:eastAsia="仿宋_GB2312" w:cs="仿宋_GB2312"/>
              <w:sz w:val="32"/>
              <w:szCs w:val="32"/>
            </w:rPr>
            <w:t>5</w:t>
          </w:r>
          <w:bookmarkEnd w:id="18"/>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40365fd9-7b77-44ef-9813-4eb27f3313f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三、支出决算情况说明</w:t>
              </w:r>
            </w:sdtContent>
          </w:sdt>
          <w:r>
            <w:rPr>
              <w:rFonts w:hint="eastAsia" w:ascii="仿宋_GB2312" w:hAnsi="仿宋_GB2312" w:eastAsia="仿宋_GB2312" w:cs="仿宋_GB2312"/>
              <w:sz w:val="32"/>
              <w:szCs w:val="32"/>
            </w:rPr>
            <w:tab/>
          </w:r>
          <w:bookmarkStart w:id="19" w:name="_Toc1621_WPSOffice_Level2Page"/>
          <w:r>
            <w:rPr>
              <w:rFonts w:hint="eastAsia" w:ascii="仿宋_GB2312" w:hAnsi="仿宋_GB2312" w:eastAsia="仿宋_GB2312" w:cs="仿宋_GB2312"/>
              <w:sz w:val="32"/>
              <w:szCs w:val="32"/>
            </w:rPr>
            <w:t>6</w:t>
          </w:r>
          <w:bookmarkEnd w:id="19"/>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_Toc30018_WPSOffice_Level2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4c00c282-7579-4ddc-a188-8eb30b308c1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四、财政拨款收入支出决算总体情况说明</w:t>
              </w:r>
            </w:sdtContent>
          </w:sdt>
          <w:r>
            <w:rPr>
              <w:rFonts w:hint="eastAsia" w:ascii="仿宋_GB2312" w:hAnsi="仿宋_GB2312" w:eastAsia="仿宋_GB2312" w:cs="仿宋_GB2312"/>
              <w:sz w:val="32"/>
              <w:szCs w:val="32"/>
            </w:rPr>
            <w:tab/>
          </w:r>
          <w:bookmarkStart w:id="20" w:name="_Toc30018_WPSOffice_Level2Page"/>
          <w:r>
            <w:rPr>
              <w:rFonts w:hint="eastAsia" w:ascii="仿宋_GB2312" w:hAnsi="仿宋_GB2312" w:eastAsia="仿宋_GB2312" w:cs="仿宋_GB2312"/>
              <w:sz w:val="32"/>
              <w:szCs w:val="32"/>
            </w:rPr>
            <w:t>6</w:t>
          </w:r>
          <w:bookmarkEnd w:id="20"/>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_Toc11103_WPSOffice_Level2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6e86a650-45f2-459f-9921-0537fc64548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五、一般公共预算财政拨款支出决算情况说明</w:t>
              </w:r>
            </w:sdtContent>
          </w:sdt>
          <w:r>
            <w:rPr>
              <w:rFonts w:hint="eastAsia" w:ascii="仿宋_GB2312" w:hAnsi="仿宋_GB2312" w:eastAsia="仿宋_GB2312" w:cs="仿宋_GB2312"/>
              <w:sz w:val="32"/>
              <w:szCs w:val="32"/>
            </w:rPr>
            <w:tab/>
          </w:r>
          <w:bookmarkStart w:id="21" w:name="_Toc11103_WPSOffice_Level2Page"/>
          <w:r>
            <w:rPr>
              <w:rFonts w:hint="eastAsia" w:ascii="仿宋_GB2312" w:hAnsi="仿宋_GB2312" w:eastAsia="仿宋_GB2312" w:cs="仿宋_GB2312"/>
              <w:sz w:val="32"/>
              <w:szCs w:val="32"/>
            </w:rPr>
            <w:t>6</w:t>
          </w:r>
          <w:bookmarkEnd w:id="21"/>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_Toc22280_WPSOffice_Level2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a3a62715-03ca-4a26-a23b-f208aa6a976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六、一般公共预算财政拨款基本支出决算情况说明</w:t>
              </w:r>
            </w:sdtContent>
          </w:sdt>
          <w:r>
            <w:rPr>
              <w:rFonts w:hint="eastAsia" w:ascii="仿宋_GB2312" w:hAnsi="仿宋_GB2312" w:eastAsia="仿宋_GB2312" w:cs="仿宋_GB2312"/>
              <w:sz w:val="32"/>
              <w:szCs w:val="32"/>
            </w:rPr>
            <w:tab/>
          </w:r>
          <w:bookmarkStart w:id="22" w:name="_Toc22280_WPSOffice_Level2Page"/>
          <w:r>
            <w:rPr>
              <w:rFonts w:hint="eastAsia" w:ascii="仿宋_GB2312" w:hAnsi="仿宋_GB2312" w:eastAsia="仿宋_GB2312" w:cs="仿宋_GB2312"/>
              <w:sz w:val="32"/>
              <w:szCs w:val="32"/>
            </w:rPr>
            <w:t>9</w:t>
          </w:r>
          <w:bookmarkEnd w:id="22"/>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_Toc9731_WPSOffice_Level2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acf0618f-2d35-4337-9e3a-47101e3618b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七、“三公”经费财政拨款支出决算情况说明</w:t>
              </w:r>
            </w:sdtContent>
          </w:sdt>
          <w:r>
            <w:rPr>
              <w:rFonts w:hint="eastAsia" w:ascii="仿宋_GB2312" w:hAnsi="仿宋_GB2312" w:eastAsia="仿宋_GB2312" w:cs="仿宋_GB2312"/>
              <w:sz w:val="32"/>
              <w:szCs w:val="32"/>
            </w:rPr>
            <w:tab/>
          </w:r>
          <w:bookmarkStart w:id="23" w:name="_Toc9731_WPSOffice_Level2Page"/>
          <w:r>
            <w:rPr>
              <w:rFonts w:hint="eastAsia" w:ascii="仿宋_GB2312" w:hAnsi="仿宋_GB2312" w:eastAsia="仿宋_GB2312" w:cs="仿宋_GB2312"/>
              <w:sz w:val="32"/>
              <w:szCs w:val="32"/>
            </w:rPr>
            <w:t>9</w:t>
          </w:r>
          <w:bookmarkEnd w:id="23"/>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c9f2bef3-cf3a-4475-844f-7a8f7d126fc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八、政府性基金预算支出决算情况说明</w:t>
              </w:r>
            </w:sdtContent>
          </w:sdt>
          <w:r>
            <w:rPr>
              <w:rFonts w:hint="eastAsia" w:ascii="仿宋_GB2312" w:hAnsi="仿宋_GB2312" w:eastAsia="仿宋_GB2312" w:cs="仿宋_GB2312"/>
              <w:sz w:val="32"/>
              <w:szCs w:val="32"/>
            </w:rPr>
            <w:tab/>
          </w:r>
          <w:bookmarkStart w:id="24" w:name="_Toc20320_WPSOffice_Level2Page"/>
          <w:r>
            <w:rPr>
              <w:rFonts w:hint="eastAsia" w:ascii="仿宋_GB2312" w:hAnsi="仿宋_GB2312" w:eastAsia="仿宋_GB2312" w:cs="仿宋_GB2312"/>
              <w:sz w:val="32"/>
              <w:szCs w:val="32"/>
            </w:rPr>
            <w:t>9</w:t>
          </w:r>
          <w:bookmarkEnd w:id="24"/>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_Toc11209_WPSOffice_Level2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0247d4ef-8a35-4e3c-9676-ce840c96700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九、国有资本经营预算支出决算情况说明</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bookmarkStart w:id="174" w:name="_GoBack"/>
          <w:bookmarkEnd w:id="174"/>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_Toc31423_WPSOffice_Level2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ea0d0f83-e628-4899-9ce9-6a2e976caa8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十、其他重要事项的情况说明</w:t>
              </w:r>
            </w:sdtContent>
          </w:sdt>
          <w:r>
            <w:rPr>
              <w:rFonts w:hint="eastAsia" w:ascii="仿宋_GB2312" w:hAnsi="仿宋_GB2312" w:eastAsia="仿宋_GB2312" w:cs="仿宋_GB2312"/>
              <w:sz w:val="32"/>
              <w:szCs w:val="32"/>
            </w:rPr>
            <w:tab/>
          </w:r>
          <w:bookmarkStart w:id="25" w:name="_Toc31423_WPSOffice_Level2Page"/>
          <w:r>
            <w:rPr>
              <w:rFonts w:hint="eastAsia" w:ascii="仿宋_GB2312" w:hAnsi="仿宋_GB2312" w:eastAsia="仿宋_GB2312" w:cs="仿宋_GB2312"/>
              <w:sz w:val="32"/>
              <w:szCs w:val="32"/>
            </w:rPr>
            <w:t>10</w:t>
          </w:r>
          <w:bookmarkEnd w:id="25"/>
          <w:r>
            <w:rPr>
              <w:rFonts w:hint="eastAsia" w:ascii="仿宋_GB2312" w:hAnsi="仿宋_GB2312" w:eastAsia="仿宋_GB2312" w:cs="仿宋_GB2312"/>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_Toc2506_WPSOffice_Level1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048"/>
              <w:placeholder>
                <w:docPart w:val="{68c0d35d-1995-4296-bf24-145a210c28b3}"/>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第三部分 名词解释</w:t>
              </w:r>
            </w:sdtContent>
          </w:sdt>
          <w:r>
            <w:rPr>
              <w:rFonts w:hint="eastAsia" w:ascii="仿宋_GB2312" w:hAnsi="仿宋_GB2312" w:eastAsia="仿宋_GB2312" w:cs="仿宋_GB2312"/>
              <w:b/>
              <w:bCs/>
              <w:sz w:val="32"/>
              <w:szCs w:val="32"/>
            </w:rPr>
            <w:tab/>
          </w:r>
          <w:bookmarkStart w:id="26" w:name="_Toc2506_WPSOffice_Level1Page"/>
          <w:r>
            <w:rPr>
              <w:rFonts w:hint="eastAsia" w:ascii="仿宋_GB2312" w:hAnsi="仿宋_GB2312" w:eastAsia="仿宋_GB2312" w:cs="仿宋_GB2312"/>
              <w:b/>
              <w:bCs/>
              <w:sz w:val="32"/>
              <w:szCs w:val="32"/>
            </w:rPr>
            <w:t>11</w:t>
          </w:r>
          <w:bookmarkEnd w:id="26"/>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_Toc4925_WPSOffice_Level1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048"/>
              <w:placeholder>
                <w:docPart w:val="{27c84549-b289-4b62-baab-143bd12c20da}"/>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第四部分 附件</w:t>
              </w:r>
            </w:sdtContent>
          </w:sdt>
          <w:r>
            <w:rPr>
              <w:rFonts w:hint="eastAsia" w:ascii="仿宋_GB2312" w:hAnsi="仿宋_GB2312" w:eastAsia="仿宋_GB2312" w:cs="仿宋_GB2312"/>
              <w:b/>
              <w:bCs/>
              <w:sz w:val="32"/>
              <w:szCs w:val="32"/>
            </w:rPr>
            <w:tab/>
          </w:r>
          <w:bookmarkStart w:id="27" w:name="_Toc4925_WPSOffice_Level1Page"/>
          <w:r>
            <w:rPr>
              <w:rFonts w:hint="eastAsia" w:ascii="仿宋_GB2312" w:hAnsi="仿宋_GB2312" w:eastAsia="仿宋_GB2312" w:cs="仿宋_GB2312"/>
              <w:b/>
              <w:bCs/>
              <w:sz w:val="32"/>
              <w:szCs w:val="32"/>
            </w:rPr>
            <w:t>13</w:t>
          </w:r>
          <w:bookmarkEnd w:id="27"/>
          <w:r>
            <w:rPr>
              <w:rFonts w:hint="eastAsia" w:ascii="仿宋_GB2312" w:hAnsi="仿宋_GB2312" w:eastAsia="仿宋_GB2312" w:cs="仿宋_GB2312"/>
              <w:b/>
              <w:bCs/>
              <w:sz w:val="32"/>
              <w:szCs w:val="32"/>
            </w:rPr>
            <w:fldChar w:fldCharType="end"/>
          </w:r>
        </w:p>
        <w:p>
          <w:pPr>
            <w:pStyle w:val="34"/>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_Toc461_WPSOffice_Level1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147458048"/>
              <w:placeholder>
                <w:docPart w:val="{6b69b69b-2984-4f23-864a-a46d52ad1094}"/>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第五部分 附表</w:t>
              </w:r>
            </w:sdtContent>
          </w:sdt>
          <w:r>
            <w:rPr>
              <w:rFonts w:hint="eastAsia" w:ascii="仿宋_GB2312" w:hAnsi="仿宋_GB2312" w:eastAsia="仿宋_GB2312" w:cs="仿宋_GB2312"/>
              <w:b/>
              <w:bCs/>
              <w:sz w:val="32"/>
              <w:szCs w:val="32"/>
            </w:rPr>
            <w:tab/>
          </w:r>
          <w:bookmarkStart w:id="28" w:name="_Toc461_WPSOffice_Level1Page"/>
          <w:r>
            <w:rPr>
              <w:rFonts w:hint="eastAsia" w:ascii="仿宋_GB2312" w:hAnsi="仿宋_GB2312" w:eastAsia="仿宋_GB2312" w:cs="仿宋_GB2312"/>
              <w:b/>
              <w:bCs/>
              <w:sz w:val="32"/>
              <w:szCs w:val="32"/>
            </w:rPr>
            <w:t>14</w:t>
          </w:r>
          <w:bookmarkEnd w:id="28"/>
          <w:r>
            <w:rPr>
              <w:rFonts w:hint="eastAsia" w:ascii="仿宋_GB2312" w:hAnsi="仿宋_GB2312" w:eastAsia="仿宋_GB2312" w:cs="仿宋_GB2312"/>
              <w:b/>
              <w:bCs/>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6a12ff3a-fa1e-490b-99f1-e0ab0ae83fb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一、收入支出决算总表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_Toc9156_WPSOffice_Level2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68a009d3-80ed-4a60-a1ff-71d014ece93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二、收入决算表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_Toc10458_WPSOffice_Level2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82a58e81-7b63-44a4-935d-19fb47c02fa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_Toc17974_WPSOffice_Level2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5add6402-1001-4c4c-9986-81f5c313fa9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四、财政拨款收入支出决算总表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f83586e8-7da5-4582-baf3-661c4179697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五、财政拨款支出决算明细表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_Toc18457_WPSOffice_Level2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5cb1aff6-580e-49df-88d2-f50bb2d9686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六、一般公共预算财政拨款支出决算表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_Toc32557_WPSOffice_Level2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2a815845-ed08-4ef1-b6ad-e1c489b4061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七、一般公共预算财政拨款支出决算明细表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_Toc7311_WPSOffice_Level2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90a0c90c-ddd5-4f72-9dac-d902d5a8014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八、一般公共预算财政拨款基本支出决算表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_Toc8445_WPSOffice_Level2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9a364d22-992f-4164-ad1a-195a011093b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九、一般公共预算财政拨款项目支出决算表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_Toc20645_WPSOffice_Level2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a23152cb-5de5-4858-a669-a434fb7d256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十、一般公共预算财政拨款“三公”经费支出决算表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_Toc21193_WPSOffice_Level2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12c61076-12ac-4aa0-8095-e2dc0b707f7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十一、政府性基金预算财政拨款收入支出决算表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ffd644ca-153b-4475-9996-afd31917576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十二、政府性基金预算财政拨款“三公”经费支出决算表</w:t>
              </w:r>
            </w:sdtContent>
          </w:sdt>
          <w:r>
            <w:rPr>
              <w:rFonts w:hint="eastAsia" w:ascii="仿宋_GB2312" w:hAnsi="仿宋_GB2312" w:eastAsia="仿宋_GB2312" w:cs="仿宋_GB2312"/>
              <w:sz w:val="32"/>
              <w:szCs w:val="32"/>
            </w:rPr>
            <w:fldChar w:fldCharType="end"/>
          </w:r>
        </w:p>
        <w:p>
          <w:pPr>
            <w:pStyle w:val="3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_Toc24264_WPSOffice_Level2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43a6bffd-0e2d-4712-bc9e-f26ae17b2de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十三、国有资本经营预算财政拨款收入支出决算表</w:t>
              </w:r>
            </w:sdtContent>
          </w:sdt>
          <w:r>
            <w:rPr>
              <w:rFonts w:hint="eastAsia" w:ascii="仿宋_GB2312" w:hAnsi="仿宋_GB2312" w:eastAsia="仿宋_GB2312" w:cs="仿宋_GB2312"/>
              <w:sz w:val="32"/>
              <w:szCs w:val="32"/>
            </w:rPr>
            <w:fldChar w:fldCharType="end"/>
          </w:r>
        </w:p>
        <w:p>
          <w:pPr>
            <w:pStyle w:val="33"/>
            <w:tabs>
              <w:tab w:val="right" w:leader="dot" w:pos="830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_Toc13611_WPSOffice_Level2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58048"/>
              <w:placeholder>
                <w:docPart w:val="{593b16c0-413a-4c93-9996-14fe0ee291f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十四、国有资本经营预算财政拨款支出决算表</w:t>
              </w:r>
            </w:sdtContent>
          </w:sdt>
          <w:r>
            <w:rPr>
              <w:rFonts w:hint="eastAsia" w:ascii="仿宋_GB2312" w:hAnsi="仿宋_GB2312" w:eastAsia="仿宋_GB2312" w:cs="仿宋_GB2312"/>
              <w:sz w:val="32"/>
              <w:szCs w:val="32"/>
            </w:rPr>
            <w:fldChar w:fldCharType="end"/>
          </w:r>
          <w:bookmarkEnd w:id="12"/>
        </w:p>
      </w:sdtContent>
    </w:sdt>
    <w:p>
      <w:pPr>
        <w:jc w:val="center"/>
        <w:rPr>
          <w:rFonts w:hint="eastAsia" w:ascii="仿宋_GB2312" w:hAnsi="仿宋_GB2312" w:eastAsia="仿宋_GB2312" w:cs="仿宋_GB2312"/>
          <w:sz w:val="32"/>
          <w:szCs w:val="32"/>
        </w:rPr>
      </w:pPr>
    </w:p>
    <w:p>
      <w:pPr>
        <w:pStyle w:val="3"/>
        <w:tabs>
          <w:tab w:val="left" w:pos="1719"/>
          <w:tab w:val="center" w:pos="4213"/>
        </w:tabs>
        <w:spacing w:before="0" w:after="0" w:line="560" w:lineRule="exact"/>
        <w:ind w:firstLine="880" w:firstLineChars="200"/>
        <w:rPr>
          <w:rFonts w:ascii="黑体" w:hAnsi="黑体" w:eastAsia="黑体"/>
          <w:b w:val="0"/>
        </w:rPr>
      </w:pPr>
      <w:r>
        <w:rPr>
          <w:rFonts w:hint="eastAsia" w:ascii="黑体" w:hAnsi="黑体" w:eastAsia="黑体"/>
          <w:b w:val="0"/>
        </w:rPr>
        <w:tab/>
      </w:r>
    </w:p>
    <w:p>
      <w:pPr>
        <w:pStyle w:val="3"/>
        <w:tabs>
          <w:tab w:val="left" w:pos="1719"/>
          <w:tab w:val="center" w:pos="4213"/>
        </w:tabs>
        <w:spacing w:before="0" w:after="0" w:line="560" w:lineRule="exact"/>
        <w:rPr>
          <w:rFonts w:ascii="黑体" w:hAnsi="黑体" w:eastAsia="黑体"/>
          <w:b w:val="0"/>
        </w:rPr>
      </w:pPr>
    </w:p>
    <w:p>
      <w:pPr>
        <w:rPr>
          <w:rFonts w:ascii="黑体" w:hAnsi="黑体" w:eastAsia="黑体"/>
        </w:rPr>
      </w:pPr>
    </w:p>
    <w:p>
      <w:pPr>
        <w:widowControl/>
        <w:jc w:val="left"/>
        <w:rPr>
          <w:rFonts w:ascii="黑体" w:hAnsi="黑体" w:eastAsia="黑体"/>
          <w:b w:val="0"/>
        </w:rPr>
      </w:pPr>
      <w:r>
        <w:br w:type="page"/>
      </w:r>
    </w:p>
    <w:p>
      <w:pPr>
        <w:pStyle w:val="3"/>
        <w:numPr>
          <w:ilvl w:val="0"/>
          <w:numId w:val="1"/>
        </w:numPr>
        <w:tabs>
          <w:tab w:val="left" w:pos="1719"/>
          <w:tab w:val="center" w:pos="4213"/>
        </w:tabs>
        <w:spacing w:before="0" w:after="0" w:line="560" w:lineRule="exact"/>
        <w:jc w:val="center"/>
        <w:outlineLvl w:val="0"/>
        <w:rPr>
          <w:rStyle w:val="27"/>
          <w:rFonts w:hint="eastAsia" w:ascii="黑体" w:hAnsi="黑体" w:eastAsia="黑体"/>
          <w:b w:val="0"/>
          <w:bCs w:val="0"/>
        </w:rPr>
      </w:pPr>
      <w:bookmarkStart w:id="29" w:name="_Toc28294_WPSOffice_Level1"/>
      <w:bookmarkStart w:id="30" w:name="_Toc28358_WPSOffice_Level1"/>
      <w:r>
        <w:rPr>
          <w:rFonts w:hint="eastAsia" w:ascii="黑体" w:hAnsi="黑体" w:eastAsia="黑体"/>
          <w:b w:val="0"/>
        </w:rPr>
        <w:t>单位</w:t>
      </w:r>
      <w:r>
        <w:rPr>
          <w:rStyle w:val="27"/>
          <w:rFonts w:hint="eastAsia" w:ascii="黑体" w:hAnsi="黑体" w:eastAsia="黑体"/>
          <w:b w:val="0"/>
          <w:bCs w:val="0"/>
        </w:rPr>
        <w:t>概况</w:t>
      </w:r>
      <w:bookmarkEnd w:id="29"/>
      <w:bookmarkEnd w:id="30"/>
      <w:bookmarkStart w:id="31" w:name="_Toc15377197"/>
      <w:bookmarkStart w:id="32" w:name="_Toc15396600"/>
      <w:bookmarkStart w:id="33" w:name="_Toc3460_WPSOffice_Level2"/>
      <w:bookmarkStart w:id="34" w:name="_Toc27360_WPSOffice_Level2"/>
    </w:p>
    <w:p>
      <w:pPr>
        <w:numPr>
          <w:ilvl w:val="0"/>
          <w:numId w:val="0"/>
        </w:numPr>
      </w:pPr>
    </w:p>
    <w:p>
      <w:pPr>
        <w:pStyle w:val="4"/>
        <w:spacing w:before="0" w:after="0" w:line="560" w:lineRule="exact"/>
        <w:ind w:firstLine="640" w:firstLineChars="200"/>
        <w:outlineLvl w:val="1"/>
        <w:rPr>
          <w:rStyle w:val="28"/>
          <w:rFonts w:hint="eastAsia" w:ascii="黑体" w:hAnsi="黑体" w:eastAsia="黑体" w:cs="黑体"/>
          <w:b w:val="0"/>
          <w:bCs/>
          <w:lang w:val="en-US" w:eastAsia="zh-CN"/>
        </w:rPr>
      </w:pPr>
      <w:bookmarkStart w:id="35" w:name="_Toc22291_WPSOffice_Level2"/>
      <w:r>
        <w:rPr>
          <w:rFonts w:hint="eastAsia" w:ascii="黑体" w:hAnsi="黑体" w:eastAsia="黑体" w:cs="黑体"/>
          <w:b w:val="0"/>
          <w:color w:val="000000"/>
        </w:rPr>
        <w:t>一、</w:t>
      </w:r>
      <w:bookmarkEnd w:id="31"/>
      <w:bookmarkEnd w:id="32"/>
      <w:bookmarkEnd w:id="33"/>
      <w:bookmarkEnd w:id="34"/>
      <w:bookmarkStart w:id="36" w:name="_Toc15377198"/>
      <w:bookmarkStart w:id="37" w:name="_Toc15378445"/>
      <w:r>
        <w:rPr>
          <w:rFonts w:hint="eastAsia" w:ascii="黑体" w:hAnsi="黑体" w:eastAsia="黑体" w:cs="黑体"/>
          <w:b w:val="0"/>
          <w:color w:val="000000"/>
          <w:lang w:eastAsia="zh-CN"/>
        </w:rPr>
        <w:t>职能简介</w:t>
      </w:r>
      <w:bookmarkEnd w:id="35"/>
    </w:p>
    <w:bookmarkEnd w:id="36"/>
    <w:bookmarkEnd w:id="37"/>
    <w:p>
      <w:pPr>
        <w:pStyle w:val="4"/>
        <w:spacing w:before="0" w:after="0" w:line="560" w:lineRule="exact"/>
        <w:ind w:firstLine="640" w:firstLineChars="200"/>
        <w:rPr>
          <w:rFonts w:ascii="仿宋_GB2312" w:hAnsi="仿宋_GB2312" w:eastAsia="仿宋_GB2312" w:cs="仿宋_GB2312"/>
          <w:b w:val="0"/>
          <w:bCs w:val="0"/>
        </w:rPr>
      </w:pPr>
      <w:bookmarkStart w:id="38" w:name="_Toc15378446"/>
      <w:bookmarkStart w:id="39" w:name="_Toc15377199"/>
      <w:r>
        <w:rPr>
          <w:rFonts w:hint="eastAsia" w:ascii="仿宋_GB2312" w:hAnsi="仿宋_GB2312" w:eastAsia="仿宋_GB2312" w:cs="仿宋_GB2312"/>
          <w:b w:val="0"/>
          <w:bCs w:val="0"/>
        </w:rPr>
        <w:t>四川省政府和社会资本合作中心（以下简称“PPP中心”）围绕政府与社会资本合作，承担省级管理制度和支持政策的研究拟订；负责省级PPP专项资金和投资引导基金管理的具体工作；组织全省PPP项目征集、储备、推介、示范，指导开展物有所值评价、财政承受能力论证以及绩效评价等具体工作；承担PPP模式宣传培训、统计分析、业务咨询、监督检查等工作。</w:t>
      </w:r>
    </w:p>
    <w:p>
      <w:pPr>
        <w:pStyle w:val="4"/>
        <w:spacing w:before="0" w:after="0" w:line="560" w:lineRule="exact"/>
        <w:ind w:firstLine="640" w:firstLineChars="200"/>
        <w:outlineLvl w:val="1"/>
        <w:rPr>
          <w:rFonts w:hint="eastAsia" w:ascii="黑体" w:hAnsi="黑体" w:eastAsia="黑体" w:cs="黑体"/>
          <w:b w:val="0"/>
          <w:color w:val="000000"/>
        </w:rPr>
      </w:pPr>
      <w:bookmarkStart w:id="40" w:name="_Toc2506_WPSOffice_Level2"/>
      <w:r>
        <w:rPr>
          <w:rFonts w:hint="eastAsia" w:ascii="黑体" w:hAnsi="黑体" w:eastAsia="黑体" w:cs="黑体"/>
          <w:b w:val="0"/>
          <w:color w:val="000000"/>
          <w:lang w:eastAsia="zh-CN"/>
        </w:rPr>
        <w:t>二、</w:t>
      </w:r>
      <w:r>
        <w:rPr>
          <w:rFonts w:hint="eastAsia" w:ascii="黑体" w:hAnsi="黑体" w:eastAsia="黑体" w:cs="黑体"/>
          <w:b w:val="0"/>
          <w:color w:val="000000"/>
        </w:rPr>
        <w:t>2020年重点工作完成情况</w:t>
      </w:r>
      <w:bookmarkEnd w:id="38"/>
      <w:bookmarkEnd w:id="39"/>
      <w:bookmarkEnd w:id="40"/>
    </w:p>
    <w:p>
      <w:pPr>
        <w:pBdr>
          <w:bottom w:val="single" w:color="FFFFFF" w:sz="4" w:space="0"/>
        </w:pBd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在厅党组的正确领导和分管厅领导的直接领导下，围绕党中央、国务院和省委、省政府重大决策部署，坚持稳中求进工作总基调，持续推动全省PPP项目“高标准、规范化、多领域”落地实施和全省PPP改革工作高质量纵深发展。重点围绕提升综合管理水平、推动项目加力提效、提高资金使用效益、大力促进项目融资、积极支持民间投资、不断夯实技术支撑、求真务实开展调研、抓好行业行风建设等方面，推进项目规范实施，全省PPP项目开工稳居前列，民企参与稳步扩大，融资成本稳中有降。</w:t>
      </w:r>
      <w:bookmarkStart w:id="41" w:name="_Toc15396602"/>
      <w:bookmarkStart w:id="42" w:name="_Toc15377204"/>
    </w:p>
    <w:p>
      <w:pPr>
        <w:pStyle w:val="2"/>
        <w:ind w:firstLine="60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color w:val="000000"/>
          <w:lang w:eastAsia="zh-CN"/>
        </w:rPr>
        <w:t>三、机构设置</w:t>
      </w:r>
      <w:r>
        <w:rPr>
          <w:rFonts w:hint="eastAsia" w:ascii="黑体" w:hAnsi="黑体" w:eastAsia="黑体" w:cs="黑体"/>
          <w:b w:val="0"/>
          <w:color w:val="000000"/>
        </w:rPr>
        <w:t>情况</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本单位是隶属于四川省财政厅的二级预算单位，本单位无下属单位。</w:t>
      </w:r>
    </w:p>
    <w:p>
      <w:pPr>
        <w:widowControl/>
        <w:jc w:val="left"/>
        <w:rPr>
          <w:rFonts w:ascii="黑体" w:hAnsi="黑体" w:eastAsia="黑体"/>
          <w:sz w:val="44"/>
          <w:szCs w:val="44"/>
        </w:rPr>
      </w:pPr>
      <w:r>
        <w:br w:type="page"/>
      </w:r>
    </w:p>
    <w:p>
      <w:pPr>
        <w:pStyle w:val="3"/>
        <w:numPr>
          <w:ilvl w:val="0"/>
          <w:numId w:val="1"/>
        </w:numPr>
        <w:tabs>
          <w:tab w:val="left" w:pos="1719"/>
          <w:tab w:val="center" w:pos="4213"/>
        </w:tabs>
        <w:spacing w:before="0" w:after="0" w:line="560" w:lineRule="exact"/>
        <w:ind w:left="0" w:leftChars="0" w:firstLine="0" w:firstLineChars="0"/>
        <w:jc w:val="center"/>
        <w:outlineLvl w:val="0"/>
        <w:rPr>
          <w:rFonts w:hint="eastAsia" w:ascii="黑体" w:hAnsi="黑体" w:eastAsia="黑体"/>
          <w:b w:val="0"/>
        </w:rPr>
      </w:pPr>
      <w:bookmarkStart w:id="43" w:name="_Toc7668_WPSOffice_Level1"/>
      <w:bookmarkStart w:id="44" w:name="_Toc22291_WPSOffice_Level1"/>
      <w:bookmarkStart w:id="45" w:name="_Toc27360_WPSOffice_Level1"/>
      <w:r>
        <w:rPr>
          <w:rFonts w:hint="eastAsia" w:ascii="黑体" w:hAnsi="黑体" w:eastAsia="黑体"/>
          <w:b w:val="0"/>
        </w:rPr>
        <w:t>2020年度</w:t>
      </w:r>
      <w:r>
        <w:rPr>
          <w:rFonts w:hint="eastAsia" w:ascii="黑体" w:hAnsi="黑体" w:eastAsia="黑体"/>
          <w:b w:val="0"/>
          <w:lang w:eastAsia="zh-CN"/>
        </w:rPr>
        <w:t>单位</w:t>
      </w:r>
      <w:r>
        <w:rPr>
          <w:rFonts w:hint="eastAsia" w:ascii="黑体" w:hAnsi="黑体" w:eastAsia="黑体"/>
          <w:b w:val="0"/>
        </w:rPr>
        <w:t>决算情况说明</w:t>
      </w:r>
      <w:bookmarkEnd w:id="41"/>
      <w:bookmarkEnd w:id="42"/>
      <w:bookmarkEnd w:id="43"/>
      <w:bookmarkEnd w:id="44"/>
      <w:bookmarkEnd w:id="45"/>
      <w:bookmarkStart w:id="46" w:name="_Toc15396603"/>
      <w:bookmarkStart w:id="47" w:name="_Toc10194_WPSOffice_Level2"/>
      <w:bookmarkStart w:id="48" w:name="_Toc15377205"/>
    </w:p>
    <w:p>
      <w:pPr>
        <w:numPr>
          <w:ilvl w:val="0"/>
          <w:numId w:val="0"/>
        </w:numPr>
        <w:ind w:leftChars="0"/>
      </w:pPr>
    </w:p>
    <w:p>
      <w:pPr>
        <w:pStyle w:val="26"/>
        <w:spacing w:line="560" w:lineRule="exact"/>
        <w:ind w:firstLine="640"/>
        <w:outlineLvl w:val="1"/>
        <w:rPr>
          <w:rStyle w:val="28"/>
          <w:rFonts w:ascii="黑体" w:hAnsi="黑体" w:eastAsia="黑体" w:cs="黑体"/>
          <w:b w:val="0"/>
          <w:bCs w:val="0"/>
        </w:rPr>
      </w:pPr>
      <w:bookmarkStart w:id="49" w:name="_Toc5465_WPSOffice_Level2"/>
      <w:bookmarkStart w:id="50" w:name="_Toc4925_WPSOffice_Level2"/>
      <w:r>
        <w:rPr>
          <w:rFonts w:hint="eastAsia" w:ascii="黑体" w:hAnsi="黑体" w:eastAsia="黑体" w:cs="黑体"/>
          <w:color w:val="000000"/>
          <w:sz w:val="32"/>
          <w:szCs w:val="32"/>
        </w:rPr>
        <w:t>一、收</w:t>
      </w:r>
      <w:r>
        <w:rPr>
          <w:rStyle w:val="28"/>
          <w:rFonts w:hint="eastAsia" w:ascii="黑体" w:hAnsi="黑体" w:eastAsia="黑体" w:cs="黑体"/>
          <w:b w:val="0"/>
          <w:bCs w:val="0"/>
        </w:rPr>
        <w:t>入支出决算总体情况说明</w:t>
      </w:r>
      <w:bookmarkEnd w:id="46"/>
      <w:bookmarkEnd w:id="47"/>
      <w:bookmarkEnd w:id="48"/>
      <w:bookmarkEnd w:id="49"/>
      <w:bookmarkEnd w:id="50"/>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2020年度收、支总计169.47万元。与2019年相比，收、支总计各增加21.99万元，增长14.91%。主要变动原因是为提高数据统计分析效率，提升项目管理工作质效，增加了PPP项目管理专项经费。</w:t>
      </w:r>
    </w:p>
    <w:p>
      <w:pPr>
        <w:spacing w:line="560" w:lineRule="exact"/>
        <w:ind w:firstLine="562" w:firstLineChars="200"/>
        <w:jc w:val="center"/>
        <w:rPr>
          <w:rFonts w:hint="eastAsia" w:ascii="仿宋" w:hAnsi="仿宋" w:eastAsia="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图1：收、支决算总计变动情况</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图</w:t>
      </w:r>
    </w:p>
    <w:p>
      <w:pPr>
        <w:spacing w:line="560" w:lineRule="exact"/>
        <w:ind w:firstLine="420" w:firstLineChars="200"/>
      </w:pPr>
      <w:r>
        <w:rPr>
          <w:rFonts w:hint="eastAsia"/>
        </w:rPr>
        <w:t xml:space="preserve"> </w:t>
      </w:r>
      <w:r>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5126355" cy="2257425"/>
            <wp:effectExtent l="0" t="0" r="0" b="0"/>
            <wp:wrapTopAndBottom/>
            <wp:docPr id="107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6"/>
        <w:spacing w:line="560" w:lineRule="exact"/>
        <w:ind w:firstLine="640"/>
        <w:outlineLvl w:val="1"/>
        <w:rPr>
          <w:rStyle w:val="28"/>
          <w:rFonts w:ascii="黑体" w:hAnsi="黑体" w:eastAsia="黑体" w:cs="黑体"/>
          <w:b w:val="0"/>
          <w:bCs w:val="0"/>
        </w:rPr>
      </w:pPr>
      <w:bookmarkStart w:id="51" w:name="_Toc15396604"/>
      <w:bookmarkStart w:id="52" w:name="_Toc19817_WPSOffice_Level2"/>
      <w:bookmarkStart w:id="53" w:name="_Toc20885_WPSOffice_Level2"/>
      <w:bookmarkStart w:id="54" w:name="_Toc15377206"/>
      <w:bookmarkStart w:id="55" w:name="_Toc461_WPSOffice_Level2"/>
      <w:r>
        <w:rPr>
          <w:rFonts w:hint="eastAsia" w:ascii="黑体" w:hAnsi="黑体" w:eastAsia="黑体" w:cs="黑体"/>
          <w:color w:val="000000"/>
          <w:sz w:val="32"/>
          <w:szCs w:val="32"/>
        </w:rPr>
        <w:t>二、收</w:t>
      </w:r>
      <w:r>
        <w:rPr>
          <w:rStyle w:val="28"/>
          <w:rFonts w:hint="eastAsia" w:ascii="黑体" w:hAnsi="黑体" w:eastAsia="黑体" w:cs="黑体"/>
          <w:b w:val="0"/>
          <w:bCs w:val="0"/>
        </w:rPr>
        <w:t>入决算情况说明</w:t>
      </w:r>
      <w:bookmarkEnd w:id="51"/>
      <w:bookmarkEnd w:id="52"/>
      <w:bookmarkEnd w:id="53"/>
      <w:bookmarkEnd w:id="54"/>
      <w:bookmarkEnd w:id="55"/>
    </w:p>
    <w:p>
      <w:pPr>
        <w:spacing w:line="560" w:lineRule="exact"/>
        <w:ind w:firstLine="640" w:firstLineChars="200"/>
        <w:outlineLvl w:val="1"/>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2020年本年收入合计169.47万元，其中：一般公共预算财政拨款收入169.47万元，占100%。</w:t>
      </w:r>
    </w:p>
    <w:p>
      <w:pPr>
        <w:pStyle w:val="6"/>
        <w:spacing w:line="560" w:lineRule="exact"/>
        <w:ind w:firstLine="0" w:firstLineChars="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387985</wp:posOffset>
            </wp:positionV>
            <wp:extent cx="4826635" cy="1689100"/>
            <wp:effectExtent l="0" t="0" r="0" b="6350"/>
            <wp:wrapTopAndBottom/>
            <wp:docPr id="208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s="仿宋_GB2312"/>
          <w:b/>
          <w:bCs/>
          <w:color w:val="000000" w:themeColor="text1"/>
          <w:sz w:val="28"/>
          <w:szCs w:val="28"/>
          <w14:textFill>
            <w14:solidFill>
              <w14:schemeClr w14:val="tx1"/>
            </w14:solidFill>
          </w14:textFill>
        </w:rPr>
        <w:t>图2：收入决算结构</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图</w:t>
      </w:r>
    </w:p>
    <w:p>
      <w:pPr>
        <w:pStyle w:val="6"/>
        <w:spacing w:line="560" w:lineRule="exact"/>
        <w:ind w:firstLine="0" w:firstLineChars="0"/>
      </w:pPr>
    </w:p>
    <w:p>
      <w:pPr>
        <w:pStyle w:val="26"/>
        <w:spacing w:line="560" w:lineRule="exact"/>
        <w:ind w:firstLine="640"/>
        <w:outlineLvl w:val="1"/>
        <w:rPr>
          <w:rStyle w:val="28"/>
          <w:rFonts w:ascii="黑体" w:hAnsi="黑体" w:eastAsia="黑体" w:cs="黑体"/>
          <w:b w:val="0"/>
          <w:bCs w:val="0"/>
        </w:rPr>
      </w:pPr>
      <w:bookmarkStart w:id="56" w:name="_Toc535_WPSOffice_Level2"/>
      <w:bookmarkStart w:id="57" w:name="_Toc19858_WPSOffice_Level2"/>
      <w:bookmarkStart w:id="58" w:name="_Toc1621_WPSOffice_Level2"/>
      <w:bookmarkStart w:id="59" w:name="_Toc15377207"/>
      <w:bookmarkStart w:id="60" w:name="_Toc15396605"/>
      <w:r>
        <w:rPr>
          <w:rFonts w:hint="eastAsia" w:ascii="黑体" w:hAnsi="黑体" w:eastAsia="黑体" w:cs="黑体"/>
          <w:color w:val="000000"/>
          <w:sz w:val="32"/>
          <w:szCs w:val="32"/>
        </w:rPr>
        <w:t>三、支</w:t>
      </w:r>
      <w:r>
        <w:rPr>
          <w:rStyle w:val="28"/>
          <w:rFonts w:hint="eastAsia" w:ascii="黑体" w:hAnsi="黑体" w:eastAsia="黑体" w:cs="黑体"/>
          <w:b w:val="0"/>
          <w:bCs w:val="0"/>
        </w:rPr>
        <w:t>出决算情况说明</w:t>
      </w:r>
      <w:bookmarkEnd w:id="56"/>
      <w:bookmarkEnd w:id="57"/>
      <w:bookmarkEnd w:id="58"/>
      <w:bookmarkEnd w:id="59"/>
      <w:bookmarkEnd w:id="60"/>
    </w:p>
    <w:p>
      <w:pPr>
        <w:spacing w:line="560" w:lineRule="exact"/>
        <w:ind w:firstLine="640" w:firstLineChars="200"/>
        <w:outlineLvl w:val="1"/>
        <w:rPr>
          <w:rFonts w:ascii="仿宋" w:hAnsi="仿宋" w:eastAsia="仿宋"/>
          <w:color w:val="000000"/>
          <w:sz w:val="32"/>
          <w:szCs w:val="32"/>
        </w:rPr>
      </w:pPr>
      <w:r>
        <w:rPr>
          <w:rFonts w:hint="eastAsia" w:ascii="仿宋_GB2312" w:hAnsi="仿宋_GB2312" w:eastAsia="仿宋_GB2312" w:cs="仿宋_GB2312"/>
          <w:color w:val="000000"/>
          <w:sz w:val="32"/>
          <w:szCs w:val="32"/>
        </w:rPr>
        <w:t>2020年本年支出合计169.47万元，其中：基本支出137.72万元，占81.27%；项目支出31.75万元，占18.73%。</w:t>
      </w:r>
    </w:p>
    <w:p>
      <w:pPr>
        <w:spacing w:line="560" w:lineRule="exact"/>
        <w:ind w:firstLine="2891" w:firstLineChars="900"/>
        <w:rPr>
          <w:rFonts w:hint="eastAsia" w:ascii="仿宋_GB2312" w:hAnsi="仿宋_GB2312" w:eastAsia="仿宋_GB2312" w:cs="仿宋_GB2312"/>
          <w:b/>
          <w:bCs/>
          <w:sz w:val="28"/>
          <w:szCs w:val="28"/>
          <w:lang w:eastAsia="zh-CN"/>
        </w:rPr>
      </w:pPr>
      <w:r>
        <w:rPr>
          <w:rFonts w:hint="eastAsia" w:ascii="楷体" w:hAnsi="楷体" w:eastAsia="楷体" w:cs="楷体"/>
          <w:b/>
          <w:bCs/>
          <w:sz w:val="32"/>
          <w:szCs w:val="32"/>
        </w:rPr>
        <w:drawing>
          <wp:anchor distT="0" distB="0" distL="114300" distR="114300" simplePos="0" relativeHeight="251658240" behindDoc="0" locked="0" layoutInCell="1" allowOverlap="1">
            <wp:simplePos x="0" y="0"/>
            <wp:positionH relativeFrom="column">
              <wp:posOffset>100965</wp:posOffset>
            </wp:positionH>
            <wp:positionV relativeFrom="paragraph">
              <wp:posOffset>365125</wp:posOffset>
            </wp:positionV>
            <wp:extent cx="5052695" cy="1849755"/>
            <wp:effectExtent l="0" t="0" r="0" b="0"/>
            <wp:wrapTopAndBottom/>
            <wp:docPr id="41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b/>
          <w:bCs/>
          <w:color w:val="000000" w:themeColor="text1"/>
          <w:sz w:val="28"/>
          <w:szCs w:val="28"/>
          <w14:textFill>
            <w14:solidFill>
              <w14:schemeClr w14:val="tx1"/>
            </w14:solidFill>
          </w14:textFill>
        </w:rPr>
        <w:t>图3：支出决算结构</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图</w:t>
      </w:r>
    </w:p>
    <w:p>
      <w:pPr>
        <w:spacing w:line="560" w:lineRule="exact"/>
        <w:ind w:firstLine="642" w:firstLineChars="200"/>
        <w:rPr>
          <w:rFonts w:ascii="楷体" w:hAnsi="楷体" w:eastAsia="楷体" w:cs="楷体"/>
          <w:b/>
          <w:bCs/>
          <w:color w:val="000000"/>
          <w:sz w:val="32"/>
          <w:szCs w:val="32"/>
        </w:rPr>
      </w:pPr>
      <w:bookmarkStart w:id="61" w:name="_Toc15377208"/>
      <w:bookmarkStart w:id="62" w:name="_Toc15396606"/>
      <w:bookmarkStart w:id="63" w:name="_Toc20221_WPSOffice_Level2"/>
    </w:p>
    <w:p>
      <w:pPr>
        <w:spacing w:line="560" w:lineRule="exact"/>
        <w:ind w:firstLine="640" w:firstLineChars="200"/>
        <w:outlineLvl w:val="1"/>
        <w:rPr>
          <w:rStyle w:val="28"/>
          <w:rFonts w:ascii="黑体" w:hAnsi="黑体" w:eastAsia="黑体" w:cs="黑体"/>
          <w:b w:val="0"/>
          <w:bCs w:val="0"/>
        </w:rPr>
      </w:pPr>
      <w:bookmarkStart w:id="64" w:name="_Toc30018_WPSOffice_Level2"/>
      <w:bookmarkStart w:id="65" w:name="_Toc14427_WPSOffice_Level2"/>
      <w:r>
        <w:rPr>
          <w:rFonts w:hint="eastAsia" w:ascii="黑体" w:hAnsi="黑体" w:eastAsia="黑体" w:cs="黑体"/>
          <w:color w:val="000000"/>
          <w:sz w:val="32"/>
          <w:szCs w:val="32"/>
        </w:rPr>
        <w:t>四、财</w:t>
      </w:r>
      <w:r>
        <w:rPr>
          <w:rStyle w:val="28"/>
          <w:rFonts w:hint="eastAsia" w:ascii="黑体" w:hAnsi="黑体" w:eastAsia="黑体" w:cs="黑体"/>
          <w:b w:val="0"/>
          <w:bCs w:val="0"/>
        </w:rPr>
        <w:t>政拨款收入支出决算总体情况说明</w:t>
      </w:r>
      <w:bookmarkEnd w:id="61"/>
      <w:bookmarkEnd w:id="62"/>
      <w:bookmarkEnd w:id="63"/>
      <w:bookmarkEnd w:id="64"/>
      <w:bookmarkEnd w:id="65"/>
    </w:p>
    <w:p>
      <w:pPr>
        <w:spacing w:line="56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2020年财政拨款收、支总计169.47万元。与2019年相比，财政拨款收、支总计各增加21.99万元，增长14.91%。主要变动原因是为提高数据统计分析效率，提升项目管理工作质效，增加了PPP项目管理专项经费。</w:t>
      </w:r>
    </w:p>
    <w:p>
      <w:pPr>
        <w:spacing w:line="560" w:lineRule="exact"/>
        <w:ind w:firstLine="420" w:firstLineChars="200"/>
        <w:jc w:val="cente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drawing>
          <wp:anchor distT="0" distB="0" distL="114300" distR="114300" simplePos="0" relativeHeight="251703296" behindDoc="0" locked="0" layoutInCell="1" allowOverlap="1">
            <wp:simplePos x="0" y="0"/>
            <wp:positionH relativeFrom="margin">
              <wp:align>center</wp:align>
            </wp:positionH>
            <wp:positionV relativeFrom="paragraph">
              <wp:posOffset>524510</wp:posOffset>
            </wp:positionV>
            <wp:extent cx="5486400" cy="2159635"/>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b/>
          <w:bCs/>
          <w:color w:val="000000" w:themeColor="text1"/>
          <w:sz w:val="28"/>
          <w:szCs w:val="28"/>
          <w14:textFill>
            <w14:solidFill>
              <w14:schemeClr w14:val="tx1"/>
            </w14:solidFill>
          </w14:textFill>
        </w:rPr>
        <w:t>图4：财政拨款收、支决算总计变动情况</w:t>
      </w:r>
      <w:bookmarkStart w:id="66" w:name="_Toc1780_WPSOffice_Level2"/>
      <w:bookmarkStart w:id="67" w:name="_Toc15377209"/>
      <w:bookmarkStart w:id="68" w:name="_Toc15396607"/>
      <w:r>
        <w:rPr>
          <w:rFonts w:hint="eastAsia" w:ascii="仿宋_GB2312" w:hAnsi="仿宋_GB2312" w:eastAsia="仿宋_GB2312" w:cs="仿宋_GB2312"/>
          <w:b/>
          <w:bCs/>
          <w:color w:val="000000" w:themeColor="text1"/>
          <w:sz w:val="28"/>
          <w:szCs w:val="28"/>
          <w:lang w:eastAsia="zh-CN"/>
          <w14:textFill>
            <w14:solidFill>
              <w14:schemeClr w14:val="tx1"/>
            </w14:solidFill>
          </w14:textFill>
        </w:rPr>
        <w:t>图</w:t>
      </w:r>
    </w:p>
    <w:p>
      <w:pPr>
        <w:spacing w:line="560" w:lineRule="exact"/>
        <w:ind w:firstLine="640" w:firstLineChars="200"/>
        <w:jc w:val="center"/>
        <w:rPr>
          <w:rFonts w:ascii="黑体" w:hAnsi="黑体" w:eastAsia="黑体" w:cs="黑体"/>
          <w:color w:val="000000"/>
          <w:sz w:val="32"/>
          <w:szCs w:val="32"/>
        </w:rPr>
      </w:pPr>
    </w:p>
    <w:p>
      <w:pPr>
        <w:spacing w:line="560" w:lineRule="exact"/>
        <w:ind w:firstLine="640" w:firstLineChars="200"/>
        <w:outlineLvl w:val="1"/>
        <w:rPr>
          <w:rStyle w:val="28"/>
          <w:rFonts w:ascii="黑体" w:hAnsi="黑体" w:eastAsia="黑体" w:cs="黑体"/>
          <w:b w:val="0"/>
          <w:bCs w:val="0"/>
        </w:rPr>
      </w:pPr>
      <w:bookmarkStart w:id="69" w:name="_Toc6111_WPSOffice_Level2"/>
      <w:bookmarkStart w:id="70" w:name="_Toc11103_WPSOffice_Level2"/>
      <w:r>
        <w:rPr>
          <w:rFonts w:hint="eastAsia" w:ascii="黑体" w:hAnsi="黑体" w:eastAsia="黑体" w:cs="黑体"/>
          <w:color w:val="000000"/>
          <w:sz w:val="32"/>
          <w:szCs w:val="32"/>
        </w:rPr>
        <w:t>五、一</w:t>
      </w:r>
      <w:r>
        <w:rPr>
          <w:rStyle w:val="28"/>
          <w:rFonts w:hint="eastAsia" w:ascii="黑体" w:hAnsi="黑体" w:eastAsia="黑体" w:cs="黑体"/>
          <w:b w:val="0"/>
          <w:bCs w:val="0"/>
        </w:rPr>
        <w:t>般公共预算财政拨款支出决算情况说明</w:t>
      </w:r>
      <w:bookmarkEnd w:id="66"/>
      <w:bookmarkEnd w:id="67"/>
      <w:bookmarkEnd w:id="68"/>
      <w:bookmarkEnd w:id="69"/>
      <w:bookmarkEnd w:id="70"/>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bookmarkStart w:id="71" w:name="_Toc15377210"/>
      <w:r>
        <w:rPr>
          <w:rFonts w:hint="eastAsia" w:ascii="楷体_GB2312" w:hAnsi="楷体_GB2312" w:eastAsia="楷体_GB2312" w:cs="楷体_GB2312"/>
          <w:b/>
          <w:bCs/>
          <w:sz w:val="32"/>
          <w:szCs w:val="32"/>
        </w:rPr>
        <w:t>（一）一般公共预算财政拨款支出决算总体情况</w:t>
      </w:r>
      <w:bookmarkEnd w:id="71"/>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169.47万元，占本年支出合计的100%。与2019年相比，一般公共预算财政拨款增加21.99万元，增长14.91%。主要变动原因是为提高数据统计分析效率，提升项目管理工作质效，增加了PPP项目管理专项经费。</w:t>
      </w:r>
    </w:p>
    <w:p>
      <w:pPr>
        <w:spacing w:line="560" w:lineRule="exact"/>
        <w:ind w:firstLine="840" w:firstLineChars="400"/>
        <w:rPr>
          <w:rFonts w:hint="eastAsia" w:ascii="仿宋" w:hAnsi="仿宋" w:eastAsia="仿宋_GB2312"/>
          <w:b/>
          <w:color w:val="000000"/>
          <w:sz w:val="32"/>
          <w:szCs w:val="32"/>
          <w:lang w:eastAsia="zh-CN"/>
        </w:rPr>
      </w:pPr>
      <w:r>
        <w:drawing>
          <wp:anchor distT="0" distB="0" distL="114300" distR="114300" simplePos="0" relativeHeight="251679744" behindDoc="0" locked="0" layoutInCell="1" allowOverlap="1">
            <wp:simplePos x="0" y="0"/>
            <wp:positionH relativeFrom="margin">
              <wp:align>center</wp:align>
            </wp:positionH>
            <wp:positionV relativeFrom="page">
              <wp:posOffset>3949700</wp:posOffset>
            </wp:positionV>
            <wp:extent cx="5065395" cy="2545080"/>
            <wp:effectExtent l="0" t="0" r="2540" b="762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b/>
          <w:bCs/>
          <w:color w:val="000000" w:themeColor="text1"/>
          <w:sz w:val="28"/>
          <w:szCs w:val="28"/>
          <w14:textFill>
            <w14:solidFill>
              <w14:schemeClr w14:val="tx1"/>
            </w14:solidFill>
          </w14:textFill>
        </w:rPr>
        <w:t>图5：一般公共预算财政拨款支出决算变动情况</w:t>
      </w:r>
      <w:bookmarkStart w:id="72" w:name="_Toc15377211"/>
      <w:r>
        <w:rPr>
          <w:rFonts w:hint="eastAsia" w:ascii="仿宋_GB2312" w:hAnsi="仿宋_GB2312" w:eastAsia="仿宋_GB2312" w:cs="仿宋_GB2312"/>
          <w:b/>
          <w:bCs/>
          <w:color w:val="000000" w:themeColor="text1"/>
          <w:sz w:val="28"/>
          <w:szCs w:val="28"/>
          <w:lang w:eastAsia="zh-CN"/>
          <w14:textFill>
            <w14:solidFill>
              <w14:schemeClr w14:val="tx1"/>
            </w14:solidFill>
          </w14:textFill>
        </w:rPr>
        <w:t>图</w:t>
      </w:r>
    </w:p>
    <w:p>
      <w:pPr>
        <w:pBdr>
          <w:bottom w:val="single" w:color="FFFFFF" w:sz="4" w:space="0"/>
        </w:pBdr>
        <w:adjustRightInd w:val="0"/>
        <w:snapToGrid w:val="0"/>
        <w:spacing w:line="560" w:lineRule="exact"/>
        <w:ind w:firstLine="642" w:firstLineChars="200"/>
        <w:rPr>
          <w:rFonts w:hint="eastAsia" w:ascii="楷体_GB2312" w:hAnsi="楷体_GB2312" w:eastAsia="楷体_GB2312" w:cs="楷体_GB2312"/>
          <w:b/>
          <w:bCs/>
          <w:sz w:val="32"/>
          <w:szCs w:val="32"/>
        </w:rPr>
      </w:pPr>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（二）一般公共预算财政拨款支出决算结构情况</w:t>
      </w:r>
      <w:bookmarkEnd w:id="72"/>
    </w:p>
    <w:p>
      <w:pPr>
        <w:spacing w:line="560" w:lineRule="exact"/>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sz w:val="32"/>
          <w:szCs w:val="32"/>
        </w:rPr>
        <w:t>2020年一般公共预算财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sz w:val="32"/>
          <w:szCs w:val="32"/>
        </w:rPr>
        <w:t>169.47</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sz w:val="32"/>
          <w:szCs w:val="32"/>
        </w:rPr>
        <w:t>125.24</w:t>
      </w:r>
      <w:r>
        <w:rPr>
          <w:rFonts w:hint="eastAsia" w:ascii="仿宋_GB2312" w:hAnsi="仿宋_GB2312" w:eastAsia="仿宋_GB2312" w:cs="仿宋_GB2312"/>
          <w:color w:val="000000" w:themeColor="text1"/>
          <w:sz w:val="32"/>
          <w:szCs w:val="32"/>
          <w14:textFill>
            <w14:solidFill>
              <w14:schemeClr w14:val="tx1"/>
            </w14:solidFill>
          </w14:textFill>
        </w:rPr>
        <w:t>万元，占73.91%；</w:t>
      </w:r>
      <w:r>
        <w:rPr>
          <w:rFonts w:hint="eastAsia" w:ascii="仿宋_GB2312" w:hAnsi="仿宋_GB2312" w:eastAsia="仿宋_GB2312" w:cs="仿宋_GB2312"/>
          <w:b/>
          <w:color w:val="000000" w:themeColor="text1"/>
          <w:sz w:val="32"/>
          <w:szCs w:val="32"/>
          <w14:textFill>
            <w14:solidFill>
              <w14:schemeClr w14:val="tx1"/>
            </w14:solidFill>
          </w14:textFill>
        </w:rPr>
        <w:t>社会保障和就业支出(类)</w:t>
      </w:r>
      <w:r>
        <w:rPr>
          <w:rFonts w:hint="eastAsia" w:ascii="仿宋_GB2312" w:hAnsi="仿宋_GB2312" w:eastAsia="仿宋_GB2312" w:cs="仿宋_GB2312"/>
          <w:color w:val="000000" w:themeColor="text1"/>
          <w:sz w:val="32"/>
          <w:szCs w:val="32"/>
          <w14:textFill>
            <w14:solidFill>
              <w14:schemeClr w14:val="tx1"/>
            </w14:solidFill>
          </w14:textFill>
        </w:rPr>
        <w:t>15.04万元，占8.87%；</w:t>
      </w:r>
      <w:r>
        <w:rPr>
          <w:rFonts w:hint="eastAsia" w:ascii="仿宋_GB2312" w:hAnsi="仿宋_GB2312" w:eastAsia="仿宋_GB2312" w:cs="仿宋_GB2312"/>
          <w:b/>
          <w:color w:val="000000" w:themeColor="text1"/>
          <w:sz w:val="32"/>
          <w:szCs w:val="32"/>
          <w14:textFill>
            <w14:solidFill>
              <w14:schemeClr w14:val="tx1"/>
            </w14:solidFill>
          </w14:textFill>
        </w:rPr>
        <w:t>卫生健康支出</w:t>
      </w:r>
      <w:r>
        <w:rPr>
          <w:rFonts w:hint="eastAsia" w:ascii="仿宋_GB2312" w:hAnsi="仿宋_GB2312" w:eastAsia="仿宋_GB2312" w:cs="仿宋_GB2312"/>
          <w:b/>
          <w:bCs/>
          <w:color w:val="000000" w:themeColor="text1"/>
          <w:sz w:val="32"/>
          <w:szCs w:val="32"/>
          <w14:textFill>
            <w14:solidFill>
              <w14:schemeClr w14:val="tx1"/>
            </w14:solidFill>
          </w14:textFill>
        </w:rPr>
        <w:t>支出(类)</w:t>
      </w:r>
      <w:r>
        <w:rPr>
          <w:rFonts w:hint="eastAsia" w:ascii="仿宋_GB2312" w:hAnsi="仿宋_GB2312" w:eastAsia="仿宋_GB2312" w:cs="仿宋_GB2312"/>
          <w:color w:val="000000" w:themeColor="text1"/>
          <w:sz w:val="32"/>
          <w:szCs w:val="32"/>
          <w14:textFill>
            <w14:solidFill>
              <w14:schemeClr w14:val="tx1"/>
            </w14:solidFill>
          </w14:textFill>
        </w:rPr>
        <w:t>7.97万元</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占4.70%；</w:t>
      </w:r>
      <w:r>
        <w:rPr>
          <w:rFonts w:hint="eastAsia" w:ascii="仿宋_GB2312" w:hAnsi="仿宋_GB2312" w:eastAsia="仿宋_GB2312" w:cs="仿宋_GB2312"/>
          <w:b/>
          <w:bCs/>
          <w:color w:val="000000" w:themeColor="text1"/>
          <w:sz w:val="32"/>
          <w:szCs w:val="32"/>
          <w14:textFill>
            <w14:solidFill>
              <w14:schemeClr w14:val="tx1"/>
            </w14:solidFill>
          </w14:textFill>
        </w:rPr>
        <w:t>住房保障支出（类）</w:t>
      </w:r>
      <w:r>
        <w:rPr>
          <w:rFonts w:hint="eastAsia" w:ascii="仿宋_GB2312" w:hAnsi="仿宋_GB2312" w:eastAsia="仿宋_GB2312" w:cs="仿宋_GB2312"/>
          <w:color w:val="000000" w:themeColor="text1"/>
          <w:sz w:val="32"/>
          <w:szCs w:val="32"/>
          <w14:textFill>
            <w14:solidFill>
              <w14:schemeClr w14:val="tx1"/>
            </w14:solidFill>
          </w14:textFill>
        </w:rPr>
        <w:t>21.22万元，占12.52%。</w:t>
      </w:r>
    </w:p>
    <w:p>
      <w:pPr>
        <w:pStyle w:val="6"/>
        <w:ind w:firstLine="420"/>
      </w:pPr>
      <w:r>
        <w:br w:type="page"/>
      </w:r>
    </w:p>
    <w:p>
      <w:pPr>
        <w:spacing w:line="560" w:lineRule="exact"/>
        <w:ind w:firstLine="562" w:firstLineChars="200"/>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图6：一般公共预算财政拨款支出决算结构</w:t>
      </w:r>
      <w:bookmarkStart w:id="73" w:name="_Toc15377212"/>
      <w:r>
        <w:rPr>
          <w:rFonts w:hint="eastAsia" w:ascii="仿宋_GB2312" w:hAnsi="仿宋_GB2312" w:eastAsia="仿宋_GB2312" w:cs="仿宋_GB2312"/>
          <w:b/>
          <w:bCs/>
          <w:color w:val="000000"/>
          <w:sz w:val="28"/>
          <w:szCs w:val="28"/>
          <w:lang w:eastAsia="zh-CN"/>
        </w:rPr>
        <w:t>图</w:t>
      </w:r>
    </w:p>
    <w:p>
      <w:pPr>
        <w:pStyle w:val="6"/>
        <w:ind w:firstLine="420"/>
        <w:jc w:val="center"/>
        <w:rPr>
          <w:rFonts w:ascii="仿宋_GB2312" w:hAnsi="仿宋_GB2312" w:eastAsia="仿宋_GB2312" w:cs="仿宋_GB2312"/>
          <w:b/>
          <w:bCs/>
          <w:color w:val="000000"/>
          <w:sz w:val="28"/>
          <w:szCs w:val="28"/>
          <w:highlight w:val="yellow"/>
        </w:rPr>
      </w:pPr>
      <w:r>
        <w:drawing>
          <wp:anchor distT="0" distB="0" distL="114300" distR="114300" simplePos="0" relativeHeight="251704320" behindDoc="0" locked="0" layoutInCell="1" allowOverlap="1">
            <wp:simplePos x="0" y="0"/>
            <wp:positionH relativeFrom="margin">
              <wp:align>center</wp:align>
            </wp:positionH>
            <wp:positionV relativeFrom="paragraph">
              <wp:posOffset>208915</wp:posOffset>
            </wp:positionV>
            <wp:extent cx="5065395" cy="2389505"/>
            <wp:effectExtent l="0" t="0" r="1905" b="10795"/>
            <wp:wrapTopAndBottom/>
            <wp:docPr id="516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（三）一般公共预算财政拨款支出决算具体情况</w:t>
      </w:r>
      <w:bookmarkEnd w:id="73"/>
    </w:p>
    <w:p>
      <w:pPr>
        <w:spacing w:line="560" w:lineRule="exact"/>
        <w:ind w:firstLine="642" w:firstLineChars="200"/>
        <w:outlineLvl w:val="2"/>
        <w:rPr>
          <w:rFonts w:ascii="仿宋_GB2312" w:hAnsi="仿宋_GB2312" w:eastAsia="仿宋_GB2312" w:cs="仿宋_GB2312"/>
          <w:color w:val="FF0000"/>
          <w:sz w:val="32"/>
          <w:szCs w:val="32"/>
        </w:rPr>
      </w:pPr>
      <w:bookmarkStart w:id="74" w:name="_Toc15377444"/>
      <w:bookmarkStart w:id="75" w:name="_Toc15378460"/>
      <w:bookmarkStart w:id="76" w:name="_Toc15377213"/>
      <w:r>
        <w:rPr>
          <w:rFonts w:hint="eastAsia" w:ascii="仿宋_GB2312" w:hAnsi="仿宋_GB2312" w:eastAsia="仿宋_GB2312" w:cs="仿宋_GB2312"/>
          <w:b/>
          <w:color w:val="000000" w:themeColor="text1"/>
          <w:sz w:val="32"/>
          <w:szCs w:val="32"/>
          <w14:textFill>
            <w14:solidFill>
              <w14:schemeClr w14:val="tx1"/>
            </w14:solidFill>
          </w14:textFill>
        </w:rPr>
        <w:t>2020年般公共预算支出决算数为169.47</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6"/>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6"/>
          <w:rFonts w:hint="eastAsia" w:ascii="仿宋_GB2312" w:hAnsi="仿宋_GB2312" w:eastAsia="仿宋_GB2312" w:cs="仿宋_GB2312"/>
          <w:bCs/>
          <w:color w:val="000000"/>
          <w:sz w:val="32"/>
          <w:szCs w:val="32"/>
        </w:rPr>
        <w:t>预算91.04%。其中：</w:t>
      </w:r>
      <w:bookmarkEnd w:id="74"/>
      <w:bookmarkEnd w:id="75"/>
      <w:bookmarkEnd w:id="76"/>
    </w:p>
    <w:p>
      <w:pPr>
        <w:spacing w:line="560" w:lineRule="exact"/>
        <w:ind w:firstLine="642" w:firstLineChars="200"/>
        <w:rPr>
          <w:rFonts w:ascii="仿宋_GB2312" w:hAnsi="仿宋_GB2312" w:eastAsia="仿宋_GB2312" w:cs="仿宋_GB2312"/>
          <w:color w:val="000000"/>
          <w:kern w:val="0"/>
          <w:sz w:val="32"/>
          <w:szCs w:val="32"/>
        </w:rPr>
      </w:pPr>
      <w:r>
        <w:rPr>
          <w:rStyle w:val="16"/>
          <w:rFonts w:hint="eastAsia" w:ascii="仿宋_GB2312" w:hAnsi="仿宋_GB2312" w:eastAsia="仿宋_GB2312" w:cs="仿宋_GB2312"/>
          <w:bCs/>
          <w:color w:val="000000"/>
          <w:sz w:val="32"/>
          <w:szCs w:val="32"/>
        </w:rPr>
        <w:t>1.一般公共服务（类）财政事务（款）事业运行（项）: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支出决算为93.49万元，完成预算91.33%，决算数小于预算数的主要原因是继续积极贯彻落实中央八项规定及省委省政府十项规定，要求加强事业单位日常经费管理。</w:t>
      </w:r>
    </w:p>
    <w:p>
      <w:pPr>
        <w:pStyle w:val="6"/>
        <w:spacing w:line="560" w:lineRule="exact"/>
        <w:ind w:firstLine="643"/>
        <w:rPr>
          <w:rFonts w:ascii="仿宋_GB2312" w:hAnsi="仿宋_GB2312" w:eastAsia="仿宋_GB2312" w:cs="仿宋_GB2312"/>
          <w:color w:val="000000"/>
          <w:kern w:val="0"/>
          <w:sz w:val="32"/>
          <w:szCs w:val="32"/>
        </w:rPr>
      </w:pPr>
      <w:r>
        <w:rPr>
          <w:rStyle w:val="16"/>
          <w:rFonts w:hint="eastAsia" w:ascii="仿宋_GB2312" w:hAnsi="仿宋_GB2312" w:eastAsia="仿宋_GB2312" w:cs="仿宋_GB2312"/>
          <w:bCs/>
          <w:color w:val="000000"/>
          <w:sz w:val="32"/>
          <w:szCs w:val="32"/>
        </w:rPr>
        <w:t>2.一般公共服务（类）财政事务（款）其他财政事务支出（项）：</w:t>
      </w:r>
      <w:r>
        <w:rPr>
          <w:rFonts w:hint="eastAsia" w:ascii="仿宋_GB2312" w:hAnsi="仿宋_GB2312" w:eastAsia="仿宋_GB2312" w:cs="仿宋_GB2312"/>
          <w:color w:val="000000"/>
          <w:kern w:val="0"/>
          <w:sz w:val="32"/>
          <w:szCs w:val="32"/>
        </w:rPr>
        <w:t>支出决算为31.75万元，完成预算80.28%，决算数小于预算数的主要原因是受疫情影响，2020年财政部“中国PPP融资论坛”未按期举办，我省相应的PPP项目宣传推介展位费等费用未发生。</w:t>
      </w:r>
    </w:p>
    <w:p>
      <w:pPr>
        <w:spacing w:line="560" w:lineRule="exact"/>
        <w:ind w:firstLine="642" w:firstLineChars="200"/>
        <w:rPr>
          <w:rFonts w:ascii="仿宋_GB2312" w:hAnsi="仿宋_GB2312" w:eastAsia="仿宋_GB2312" w:cs="仿宋_GB2312"/>
          <w:color w:val="000000"/>
          <w:kern w:val="0"/>
          <w:sz w:val="32"/>
          <w:szCs w:val="32"/>
        </w:rPr>
      </w:pPr>
      <w:r>
        <w:rPr>
          <w:rStyle w:val="16"/>
          <w:rFonts w:hint="eastAsia" w:ascii="仿宋_GB2312" w:hAnsi="仿宋_GB2312" w:eastAsia="仿宋_GB2312" w:cs="仿宋_GB2312"/>
          <w:bCs/>
          <w:color w:val="000000"/>
          <w:sz w:val="32"/>
          <w:szCs w:val="32"/>
        </w:rPr>
        <w:t>3.社会保障和就业（类）行政事业单位养老支出（款）机关事业单位基本养老保险缴费支出（项）: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支出决算为10.03万元，完成预算100%。</w:t>
      </w:r>
    </w:p>
    <w:p>
      <w:pPr>
        <w:spacing w:line="560" w:lineRule="exact"/>
        <w:ind w:firstLine="642" w:firstLineChars="200"/>
        <w:rPr>
          <w:rFonts w:ascii="仿宋_GB2312" w:hAnsi="仿宋_GB2312" w:eastAsia="仿宋_GB2312" w:cs="仿宋_GB2312"/>
          <w:color w:val="000000"/>
          <w:kern w:val="0"/>
          <w:sz w:val="32"/>
          <w:szCs w:val="32"/>
        </w:rPr>
      </w:pPr>
      <w:r>
        <w:rPr>
          <w:rStyle w:val="16"/>
          <w:rFonts w:hint="eastAsia" w:ascii="仿宋_GB2312" w:hAnsi="仿宋_GB2312" w:eastAsia="仿宋_GB2312" w:cs="仿宋_GB2312"/>
          <w:bCs/>
          <w:color w:val="000000"/>
          <w:sz w:val="32"/>
          <w:szCs w:val="32"/>
        </w:rPr>
        <w:t>4.社会保障和就业（类）行政事业单位养老支出（款）机关事业单位职业年金缴费支出（项）: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支出决算为5.01万元，完成预算100%。</w:t>
      </w:r>
    </w:p>
    <w:p>
      <w:pPr>
        <w:spacing w:line="560" w:lineRule="exact"/>
        <w:ind w:firstLine="642" w:firstLineChars="200"/>
        <w:rPr>
          <w:rFonts w:ascii="仿宋_GB2312" w:hAnsi="仿宋_GB2312" w:eastAsia="仿宋_GB2312" w:cs="仿宋_GB2312"/>
          <w:color w:val="000000"/>
          <w:kern w:val="0"/>
          <w:sz w:val="32"/>
          <w:szCs w:val="32"/>
        </w:rPr>
      </w:pPr>
      <w:r>
        <w:rPr>
          <w:rStyle w:val="16"/>
          <w:rFonts w:hint="eastAsia" w:ascii="仿宋_GB2312" w:hAnsi="仿宋_GB2312" w:eastAsia="仿宋_GB2312" w:cs="仿宋_GB2312"/>
          <w:bCs/>
          <w:color w:val="000000"/>
          <w:sz w:val="32"/>
          <w:szCs w:val="32"/>
        </w:rPr>
        <w:t>5.卫生健康（类）行政事业单位医疗（款）事业单位医疗（项）: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支出决算为7.97万元，完成预算100%。</w:t>
      </w:r>
    </w:p>
    <w:p>
      <w:pPr>
        <w:spacing w:line="560" w:lineRule="exact"/>
        <w:ind w:firstLine="642"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6.住房保障（类）住房改革支出（款）住房公积金（项）: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支出决算为10.62万元，完成预算100%。</w:t>
      </w:r>
    </w:p>
    <w:p>
      <w:pPr>
        <w:spacing w:line="560" w:lineRule="exact"/>
        <w:ind w:firstLine="642" w:firstLineChars="200"/>
        <w:rPr>
          <w:rFonts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7.住房保障（类）住房改革支出（款）购房补贴（项）:</w:t>
      </w:r>
      <w:r>
        <w:rPr>
          <w:rStyle w:val="16"/>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kern w:val="0"/>
          <w:sz w:val="32"/>
          <w:szCs w:val="32"/>
        </w:rPr>
        <w:t>支出决算为10.6万元，完成预算100%。</w:t>
      </w:r>
    </w:p>
    <w:p>
      <w:pPr>
        <w:tabs>
          <w:tab w:val="right" w:pos="8306"/>
        </w:tabs>
        <w:spacing w:line="560" w:lineRule="exact"/>
        <w:ind w:firstLine="640" w:firstLineChars="200"/>
        <w:outlineLvl w:val="1"/>
        <w:rPr>
          <w:rStyle w:val="28"/>
          <w:rFonts w:ascii="楷体" w:hAnsi="楷体" w:eastAsia="楷体" w:cs="楷体"/>
        </w:rPr>
      </w:pPr>
      <w:bookmarkStart w:id="77" w:name="_Toc9555_WPSOffice_Level2"/>
      <w:bookmarkStart w:id="78" w:name="_Toc9365_WPSOffice_Level2"/>
      <w:bookmarkStart w:id="79" w:name="_Toc22280_WPSOffice_Level2"/>
      <w:bookmarkStart w:id="80" w:name="_Toc15377214"/>
      <w:bookmarkStart w:id="81" w:name="_Toc15396608"/>
      <w:r>
        <w:rPr>
          <w:rFonts w:hint="eastAsia" w:ascii="黑体" w:hAnsi="黑体" w:eastAsia="黑体" w:cs="黑体"/>
          <w:color w:val="000000"/>
          <w:sz w:val="32"/>
          <w:szCs w:val="32"/>
        </w:rPr>
        <w:t>六、一</w:t>
      </w:r>
      <w:r>
        <w:rPr>
          <w:rStyle w:val="28"/>
          <w:rFonts w:hint="eastAsia" w:ascii="黑体" w:hAnsi="黑体" w:eastAsia="黑体" w:cs="黑体"/>
          <w:b w:val="0"/>
          <w:bCs w:val="0"/>
        </w:rPr>
        <w:t>般公共预算财政拨款基本支出决算情况说明</w:t>
      </w:r>
      <w:bookmarkEnd w:id="77"/>
      <w:bookmarkEnd w:id="78"/>
      <w:bookmarkEnd w:id="79"/>
      <w:bookmarkEnd w:id="80"/>
      <w:bookmarkEnd w:id="81"/>
      <w:r>
        <w:rPr>
          <w:rStyle w:val="28"/>
          <w:rFonts w:hint="eastAsia" w:ascii="楷体" w:hAnsi="楷体" w:eastAsia="楷体" w:cs="楷体"/>
        </w:rPr>
        <w:tab/>
      </w:r>
    </w:p>
    <w:p>
      <w:pPr>
        <w:autoSpaceDE w:val="0"/>
        <w:autoSpaceDN w:val="0"/>
        <w:adjustRightInd w:val="0"/>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2020年一般公共预算财政拨款基本支出137.72万元，其中：</w:t>
      </w:r>
    </w:p>
    <w:p>
      <w:pPr>
        <w:autoSpaceDE w:val="0"/>
        <w:autoSpaceDN w:val="0"/>
        <w:adjustRightInd w:val="0"/>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人员经费133.34万元，主要包括：基本工资、津贴补贴、绩效工资、机关事业单位基本养老保险缴费、职业年金缴费、职工基本医疗保险缴费、社会保险缴费、住房公积金、其他工资福利支出等。</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　　日常公用经费4.38万元，主要包括：印刷费、差旅费、工会经费、福利费。</w:t>
      </w:r>
    </w:p>
    <w:p>
      <w:pPr>
        <w:spacing w:line="560" w:lineRule="exact"/>
        <w:ind w:firstLine="640" w:firstLineChars="200"/>
        <w:outlineLvl w:val="1"/>
        <w:rPr>
          <w:rStyle w:val="28"/>
          <w:rFonts w:ascii="黑体" w:hAnsi="黑体" w:eastAsia="黑体" w:cs="黑体"/>
          <w:b w:val="0"/>
          <w:bCs w:val="0"/>
        </w:rPr>
      </w:pPr>
      <w:bookmarkStart w:id="82" w:name="_Toc8231_WPSOffice_Level2"/>
      <w:bookmarkStart w:id="83" w:name="_Toc15396609"/>
      <w:bookmarkStart w:id="84" w:name="_Toc15377215"/>
      <w:bookmarkStart w:id="85" w:name="_Toc9731_WPSOffice_Level2"/>
      <w:bookmarkStart w:id="86" w:name="_Toc19603_WPSOffice_Level2"/>
      <w:r>
        <w:rPr>
          <w:rFonts w:hint="eastAsia" w:ascii="黑体" w:hAnsi="黑体" w:eastAsia="黑体" w:cs="黑体"/>
          <w:color w:val="000000"/>
          <w:sz w:val="32"/>
          <w:szCs w:val="32"/>
        </w:rPr>
        <w:t>七、</w:t>
      </w:r>
      <w:r>
        <w:rPr>
          <w:rStyle w:val="28"/>
          <w:rFonts w:hint="eastAsia" w:ascii="黑体" w:hAnsi="黑体" w:eastAsia="黑体" w:cs="黑体"/>
          <w:b w:val="0"/>
          <w:bCs w:val="0"/>
        </w:rPr>
        <w:t>“三公”经费财政拨款支出决算情况说明</w:t>
      </w:r>
      <w:bookmarkEnd w:id="82"/>
      <w:bookmarkEnd w:id="83"/>
      <w:bookmarkEnd w:id="84"/>
      <w:bookmarkEnd w:id="85"/>
      <w:bookmarkEnd w:id="86"/>
    </w:p>
    <w:p>
      <w:pPr>
        <w:autoSpaceDE w:val="0"/>
        <w:autoSpaceDN w:val="0"/>
        <w:adjustRightInd w:val="0"/>
        <w:spacing w:line="560" w:lineRule="exact"/>
        <w:ind w:firstLine="640" w:firstLineChars="20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rPr>
        <w:t>PPP中心2020年未发生“三公”经费财政拨款支出</w:t>
      </w:r>
      <w:r>
        <w:rPr>
          <w:rFonts w:hint="eastAsia" w:ascii="仿宋_GB2312" w:hAnsi="Calibri" w:eastAsia="仿宋_GB2312" w:cs="仿宋"/>
          <w:color w:val="000000"/>
          <w:kern w:val="0"/>
          <w:sz w:val="32"/>
          <w:szCs w:val="32"/>
          <w:lang w:eastAsia="zh-CN"/>
        </w:rPr>
        <w:t>，本年度</w:t>
      </w:r>
      <w:r>
        <w:rPr>
          <w:rFonts w:hint="eastAsia" w:ascii="仿宋_GB2312" w:hAnsi="Calibri" w:eastAsia="仿宋_GB2312" w:cs="仿宋"/>
          <w:color w:val="000000"/>
          <w:kern w:val="0"/>
          <w:sz w:val="32"/>
          <w:szCs w:val="32"/>
        </w:rPr>
        <w:t>“三公”经费财政拨款支出</w:t>
      </w:r>
      <w:r>
        <w:rPr>
          <w:rFonts w:hint="eastAsia" w:ascii="仿宋_GB2312" w:hAnsi="Calibri" w:eastAsia="仿宋_GB2312" w:cs="仿宋"/>
          <w:color w:val="000000"/>
          <w:kern w:val="0"/>
          <w:sz w:val="32"/>
          <w:szCs w:val="32"/>
          <w:lang w:eastAsia="zh-CN"/>
        </w:rPr>
        <w:t>与上年决算数无变化。本单位无公务用车。</w:t>
      </w:r>
    </w:p>
    <w:p>
      <w:pPr>
        <w:spacing w:line="560" w:lineRule="exact"/>
        <w:ind w:firstLine="640" w:firstLineChars="200"/>
        <w:outlineLvl w:val="1"/>
        <w:rPr>
          <w:rFonts w:ascii="黑体" w:hAnsi="黑体" w:eastAsia="黑体" w:cs="黑体"/>
          <w:color w:val="000000"/>
          <w:sz w:val="32"/>
          <w:szCs w:val="32"/>
        </w:rPr>
      </w:pPr>
      <w:bookmarkStart w:id="87" w:name="_Toc15377218"/>
      <w:bookmarkStart w:id="88" w:name="_Toc15396610"/>
      <w:bookmarkStart w:id="89" w:name="_Toc7596_WPSOffice_Level2"/>
      <w:bookmarkStart w:id="90" w:name="_Toc4236_WPSOffice_Level2"/>
      <w:bookmarkStart w:id="91" w:name="_Toc20320_WPSOffice_Level2"/>
      <w:r>
        <w:rPr>
          <w:rFonts w:hint="eastAsia" w:ascii="黑体" w:hAnsi="黑体" w:eastAsia="黑体" w:cs="黑体"/>
          <w:color w:val="000000"/>
          <w:sz w:val="32"/>
          <w:szCs w:val="32"/>
        </w:rPr>
        <w:t>八、政府性基金预算支出决算情况说明</w:t>
      </w:r>
      <w:bookmarkEnd w:id="87"/>
      <w:bookmarkEnd w:id="88"/>
      <w:bookmarkEnd w:id="89"/>
      <w:bookmarkEnd w:id="90"/>
      <w:bookmarkEnd w:id="91"/>
    </w:p>
    <w:p>
      <w:pPr>
        <w:autoSpaceDE w:val="0"/>
        <w:autoSpaceDN w:val="0"/>
        <w:adjustRightInd w:val="0"/>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PPP中心2020年未发生政府性基金预算拨款支出。</w:t>
      </w:r>
    </w:p>
    <w:p>
      <w:pPr>
        <w:spacing w:line="560" w:lineRule="exact"/>
        <w:ind w:firstLine="640" w:firstLineChars="200"/>
        <w:outlineLvl w:val="1"/>
        <w:rPr>
          <w:rFonts w:ascii="黑体" w:hAnsi="黑体" w:eastAsia="黑体" w:cs="黑体"/>
          <w:color w:val="000000"/>
          <w:sz w:val="32"/>
          <w:szCs w:val="32"/>
        </w:rPr>
      </w:pPr>
      <w:bookmarkStart w:id="92" w:name="_Toc15377219"/>
      <w:bookmarkStart w:id="93" w:name="_Toc11289_WPSOffice_Level2"/>
      <w:bookmarkStart w:id="94" w:name="_Toc32109_WPSOffice_Level2"/>
      <w:bookmarkStart w:id="95" w:name="_Toc11209_WPSOffice_Level2"/>
      <w:bookmarkStart w:id="96" w:name="_Toc15396611"/>
      <w:r>
        <w:rPr>
          <w:rFonts w:hint="eastAsia" w:ascii="黑体" w:hAnsi="黑体" w:eastAsia="黑体" w:cs="黑体"/>
          <w:color w:val="000000"/>
          <w:sz w:val="32"/>
          <w:szCs w:val="32"/>
        </w:rPr>
        <w:t>九、国有资本经营预算支出决算情况说明</w:t>
      </w:r>
      <w:bookmarkEnd w:id="92"/>
      <w:bookmarkEnd w:id="93"/>
      <w:bookmarkEnd w:id="94"/>
      <w:bookmarkEnd w:id="95"/>
      <w:bookmarkEnd w:id="96"/>
    </w:p>
    <w:p>
      <w:pPr>
        <w:autoSpaceDE w:val="0"/>
        <w:autoSpaceDN w:val="0"/>
        <w:adjustRightInd w:val="0"/>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PPP中心2020年未发生国有资本经营预算拨款支出。</w:t>
      </w:r>
    </w:p>
    <w:p>
      <w:pPr>
        <w:spacing w:line="560" w:lineRule="exact"/>
        <w:ind w:firstLine="640" w:firstLineChars="200"/>
        <w:outlineLvl w:val="1"/>
        <w:rPr>
          <w:rFonts w:ascii="黑体" w:hAnsi="黑体" w:eastAsia="黑体" w:cs="黑体"/>
          <w:color w:val="000000"/>
          <w:sz w:val="32"/>
          <w:szCs w:val="32"/>
        </w:rPr>
      </w:pPr>
      <w:bookmarkStart w:id="97" w:name="_Toc15396612"/>
      <w:bookmarkStart w:id="98" w:name="_Toc31423_WPSOffice_Level2"/>
      <w:bookmarkStart w:id="99" w:name="_Toc9432_WPSOffice_Level2"/>
      <w:bookmarkStart w:id="100" w:name="_Toc15377221"/>
      <w:bookmarkStart w:id="101" w:name="_Toc6796_WPSOffice_Level2"/>
      <w:r>
        <w:rPr>
          <w:rFonts w:hint="eastAsia" w:ascii="黑体" w:hAnsi="黑体" w:eastAsia="黑体" w:cs="黑体"/>
          <w:color w:val="000000"/>
          <w:sz w:val="32"/>
          <w:szCs w:val="32"/>
        </w:rPr>
        <w:t>十、其他重要事项的情况说明</w:t>
      </w:r>
      <w:bookmarkEnd w:id="97"/>
      <w:bookmarkEnd w:id="98"/>
      <w:bookmarkEnd w:id="99"/>
      <w:bookmarkEnd w:id="100"/>
      <w:bookmarkEnd w:id="101"/>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bookmarkStart w:id="102" w:name="_Toc15377222"/>
      <w:r>
        <w:rPr>
          <w:rFonts w:hint="eastAsia" w:ascii="楷体_GB2312" w:hAnsi="楷体_GB2312" w:eastAsia="楷体_GB2312" w:cs="楷体_GB2312"/>
          <w:b/>
          <w:bCs/>
          <w:sz w:val="32"/>
          <w:szCs w:val="32"/>
        </w:rPr>
        <w:t>（一）机关运行经费支出情况</w:t>
      </w:r>
      <w:bookmarkEnd w:id="102"/>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PPP中心2020年未发生机关运行经费支出。</w:t>
      </w:r>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bookmarkStart w:id="103" w:name="_Toc15377223"/>
      <w:r>
        <w:rPr>
          <w:rFonts w:hint="eastAsia" w:ascii="楷体_GB2312" w:hAnsi="楷体_GB2312" w:eastAsia="楷体_GB2312" w:cs="楷体_GB2312"/>
          <w:b/>
          <w:bCs/>
          <w:sz w:val="32"/>
          <w:szCs w:val="32"/>
        </w:rPr>
        <w:t>（二）政府采购支出情况</w:t>
      </w:r>
      <w:bookmarkEnd w:id="103"/>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PPP中心2020年无政府采购项目，未发生政府采购支出。</w:t>
      </w:r>
      <w:bookmarkStart w:id="104" w:name="_Toc15377224"/>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bookmarkEnd w:id="104"/>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截至2020年12月31日，PPP中心共有车辆0辆。单价50万元以上通用设备0台（套），单价100万元以上专用设备0台（套）。</w:t>
      </w:r>
    </w:p>
    <w:p>
      <w:pPr>
        <w:pBdr>
          <w:bottom w:val="single" w:color="FFFFFF" w:sz="4" w:space="0"/>
        </w:pBdr>
        <w:adjustRightInd w:val="0"/>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（四）预算绩效管理情况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根据预算绩效管理要求，本单位无100万元以上项目，因此未开展预算事前评估、编制绩效目标、开展绩效监控、项目绩效目标完成情况自评。</w:t>
      </w:r>
    </w:p>
    <w:p>
      <w:pPr>
        <w:widowControl/>
        <w:jc w:val="left"/>
        <w:rPr>
          <w:rFonts w:ascii="黑体" w:hAnsi="黑体" w:eastAsia="黑体"/>
          <w:sz w:val="44"/>
          <w:szCs w:val="44"/>
        </w:rPr>
      </w:pPr>
      <w:r>
        <w:rPr>
          <w:rFonts w:ascii="仿宋_GB2312" w:hAnsi="仿宋_GB2312" w:eastAsia="仿宋_GB2312" w:cs="仿宋_GB2312"/>
          <w:color w:val="0000FF"/>
          <w:sz w:val="32"/>
          <w:szCs w:val="32"/>
        </w:rPr>
        <w:br w:type="page"/>
      </w:r>
    </w:p>
    <w:p>
      <w:pPr>
        <w:pStyle w:val="3"/>
        <w:numPr>
          <w:ilvl w:val="0"/>
          <w:numId w:val="1"/>
        </w:numPr>
        <w:tabs>
          <w:tab w:val="left" w:pos="1719"/>
          <w:tab w:val="center" w:pos="4213"/>
        </w:tabs>
        <w:spacing w:before="0" w:after="0" w:line="560" w:lineRule="exact"/>
        <w:ind w:left="0" w:leftChars="0" w:firstLine="0" w:firstLineChars="0"/>
        <w:jc w:val="center"/>
        <w:rPr>
          <w:rFonts w:hint="eastAsia" w:ascii="黑体" w:hAnsi="黑体" w:eastAsia="黑体"/>
          <w:b w:val="0"/>
        </w:rPr>
      </w:pPr>
      <w:bookmarkStart w:id="105" w:name="_Toc22091_WPSOffice_Level1"/>
      <w:bookmarkStart w:id="106" w:name="_Toc15377225"/>
      <w:bookmarkStart w:id="107" w:name="_Toc5465_WPSOffice_Level1"/>
      <w:bookmarkStart w:id="108" w:name="_Toc15396613"/>
      <w:bookmarkStart w:id="109" w:name="_Toc2506_WPSOffice_Level1"/>
      <w:r>
        <w:rPr>
          <w:rFonts w:hint="eastAsia" w:ascii="黑体" w:hAnsi="黑体" w:eastAsia="黑体"/>
          <w:b w:val="0"/>
        </w:rPr>
        <w:t>名词解释</w:t>
      </w:r>
      <w:bookmarkEnd w:id="105"/>
      <w:bookmarkEnd w:id="106"/>
      <w:bookmarkEnd w:id="107"/>
      <w:bookmarkEnd w:id="108"/>
      <w:bookmarkEnd w:id="109"/>
    </w:p>
    <w:p>
      <w:pPr>
        <w:numPr>
          <w:ilvl w:val="0"/>
          <w:numId w:val="0"/>
        </w:numPr>
        <w:ind w:leftChars="0"/>
      </w:pPr>
    </w:p>
    <w:p>
      <w:pPr>
        <w:pStyle w:val="25"/>
        <w:spacing w:line="560" w:lineRule="exact"/>
        <w:ind w:firstLine="640" w:firstLineChars="200"/>
        <w:jc w:val="both"/>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spacing w:line="560" w:lineRule="exact"/>
        <w:ind w:firstLine="640" w:firstLineChars="200"/>
        <w:jc w:val="both"/>
        <w:rPr>
          <w:rFonts w:ascii="仿宋_GB2312" w:eastAsia="仿宋_GB2312"/>
          <w:sz w:val="32"/>
          <w:szCs w:val="32"/>
        </w:rPr>
      </w:pPr>
      <w:r>
        <w:rPr>
          <w:rFonts w:hint="eastAsia" w:ascii="仿宋_GB2312" w:eastAsia="仿宋_GB2312"/>
          <w:sz w:val="32"/>
          <w:szCs w:val="32"/>
        </w:rPr>
        <w:t>2.一般公共服务（类）财政事务（款）事业运行（项）：指本单位用于保障机构正常运行、开展日常工作的基本支出。</w:t>
      </w:r>
      <w:r>
        <w:rPr>
          <w:rFonts w:hint="eastAsia" w:ascii="仿宋_GB2312" w:eastAsia="仿宋_GB2312"/>
          <w:sz w:val="32"/>
          <w:szCs w:val="32"/>
        </w:rPr>
        <w:br w:type="textWrapping"/>
      </w:r>
      <w:r>
        <w:rPr>
          <w:rFonts w:hint="eastAsia" w:ascii="仿宋_GB2312" w:eastAsia="仿宋_GB2312"/>
          <w:sz w:val="32"/>
          <w:szCs w:val="32"/>
        </w:rPr>
        <w:t xml:space="preserve">    3.一般公共服务（类）财政事务（款）其他财政事务支出（项）：指开展其他财政事务方面专门性工作任务的项目支出。</w:t>
      </w:r>
    </w:p>
    <w:p>
      <w:pPr>
        <w:pStyle w:val="13"/>
        <w:widowControl/>
        <w:shd w:val="clear" w:color="auto" w:fill="FFFFFF"/>
        <w:spacing w:beforeAutospacing="0" w:afterAutospacing="0" w:line="560" w:lineRule="exact"/>
        <w:ind w:firstLine="640" w:firstLineChars="200"/>
        <w:jc w:val="both"/>
        <w:rPr>
          <w:rFonts w:ascii="仿宋_GB2312" w:hAnsi="Calibri" w:eastAsia="仿宋_GB2312" w:cs="仿宋"/>
          <w:color w:val="000000"/>
          <w:sz w:val="32"/>
          <w:szCs w:val="32"/>
        </w:rPr>
      </w:pPr>
      <w:r>
        <w:rPr>
          <w:rFonts w:hint="eastAsia" w:ascii="仿宋_GB2312" w:hAnsi="Calibri" w:eastAsia="仿宋_GB2312" w:cs="仿宋"/>
          <w:color w:val="000000"/>
          <w:sz w:val="32"/>
          <w:szCs w:val="32"/>
        </w:rPr>
        <w:t>4.社会保障和就业（类）行政事业单位养老支出（款）机关事业单位基本养老保险缴费支出（项）：指单位实施养老保险制度由单位缴纳的养老保险费的支出。</w:t>
      </w:r>
      <w:r>
        <w:rPr>
          <w:rFonts w:hint="eastAsia" w:ascii="仿宋_GB2312" w:hAnsi="Calibri" w:eastAsia="仿宋_GB2312" w:cs="仿宋"/>
          <w:color w:val="000000"/>
          <w:sz w:val="32"/>
          <w:szCs w:val="32"/>
        </w:rPr>
        <w:br w:type="textWrapping"/>
      </w:r>
      <w:r>
        <w:rPr>
          <w:rFonts w:hint="eastAsia" w:ascii="仿宋_GB2312" w:hAnsi="Calibri" w:eastAsia="仿宋_GB2312" w:cs="仿宋"/>
          <w:color w:val="000000"/>
          <w:sz w:val="32"/>
          <w:szCs w:val="32"/>
        </w:rPr>
        <w:t xml:space="preserve">    5.社会保障和就业（类）行政事业单位养老支出（款）机关事业单位职业年金缴费支出（项）：指单位实施养老保险制度由单位缴纳的职业年金的支出。</w:t>
      </w:r>
      <w:r>
        <w:rPr>
          <w:rFonts w:hint="eastAsia" w:ascii="仿宋_GB2312" w:hAnsi="Calibri" w:eastAsia="仿宋_GB2312" w:cs="仿宋"/>
          <w:color w:val="000000"/>
          <w:sz w:val="32"/>
          <w:szCs w:val="32"/>
        </w:rPr>
        <w:br w:type="textWrapping"/>
      </w:r>
      <w:r>
        <w:rPr>
          <w:rFonts w:hint="eastAsia" w:ascii="仿宋_GB2312" w:hAnsi="Calibri" w:eastAsia="仿宋_GB2312" w:cs="仿宋"/>
          <w:color w:val="000000"/>
          <w:sz w:val="32"/>
          <w:szCs w:val="32"/>
        </w:rPr>
        <w:t xml:space="preserve">    </w:t>
      </w:r>
      <w:r>
        <w:rPr>
          <w:rFonts w:hint="eastAsia" w:ascii="仿宋_GB2312" w:eastAsia="仿宋_GB2312" w:cs="仿宋"/>
          <w:color w:val="000000"/>
          <w:sz w:val="32"/>
          <w:szCs w:val="32"/>
        </w:rPr>
        <w:t>6</w:t>
      </w:r>
      <w:r>
        <w:rPr>
          <w:rFonts w:hint="eastAsia" w:ascii="仿宋_GB2312" w:hAnsi="Calibri" w:eastAsia="仿宋_GB2312" w:cs="仿宋"/>
          <w:color w:val="000000"/>
          <w:sz w:val="32"/>
          <w:szCs w:val="32"/>
        </w:rPr>
        <w:t>.卫生健康（类）行政事业单位医疗（款）事业单位医疗（项）：指事业单位用于单位应缴纳基本医疗保险支出。</w:t>
      </w:r>
    </w:p>
    <w:p>
      <w:pPr>
        <w:pStyle w:val="13"/>
        <w:widowControl/>
        <w:shd w:val="clear" w:color="auto" w:fill="FFFFFF"/>
        <w:spacing w:beforeAutospacing="0" w:afterAutospacing="0" w:line="560" w:lineRule="exact"/>
        <w:ind w:firstLine="640" w:firstLineChars="200"/>
        <w:jc w:val="both"/>
        <w:rPr>
          <w:rFonts w:ascii="仿宋_GB2312" w:hAnsi="Calibri" w:eastAsia="仿宋_GB2312" w:cs="仿宋"/>
          <w:color w:val="000000"/>
          <w:sz w:val="32"/>
          <w:szCs w:val="32"/>
        </w:rPr>
      </w:pPr>
      <w:r>
        <w:rPr>
          <w:rFonts w:hint="eastAsia" w:ascii="仿宋_GB2312" w:hAnsi="Calibri" w:eastAsia="仿宋_GB2312" w:cs="仿宋"/>
          <w:color w:val="000000"/>
          <w:sz w:val="32"/>
          <w:szCs w:val="32"/>
        </w:rPr>
        <w:t>7.住房保障（类）住房改革支出（款）住房公积金（项）：指按照《住房公积金管理条例》的规定，由单位及其在职职工缴存的长期住房储金。</w:t>
      </w:r>
      <w:r>
        <w:rPr>
          <w:rFonts w:hint="eastAsia" w:ascii="仿宋_GB2312" w:hAnsi="Calibri" w:eastAsia="仿宋_GB2312" w:cs="仿宋"/>
          <w:color w:val="000000"/>
          <w:sz w:val="32"/>
          <w:szCs w:val="32"/>
        </w:rPr>
        <w:br w:type="textWrapping"/>
      </w:r>
      <w:r>
        <w:rPr>
          <w:rFonts w:hint="eastAsia" w:ascii="仿宋_GB2312" w:hAnsi="Calibri" w:eastAsia="仿宋_GB2312" w:cs="仿宋"/>
          <w:color w:val="000000"/>
          <w:sz w:val="32"/>
          <w:szCs w:val="32"/>
        </w:rPr>
        <w:t xml:space="preserve">    8.住房保障（类）住房改革支出（款）购房补贴（项）：指按房改政策规定的标准，向符合条件职工发放的用于购买住房的补贴。</w:t>
      </w:r>
      <w:r>
        <w:rPr>
          <w:rFonts w:hint="eastAsia" w:ascii="仿宋_GB2312" w:hAnsi="Calibri" w:eastAsia="仿宋_GB2312" w:cs="仿宋"/>
          <w:color w:val="000000"/>
          <w:sz w:val="32"/>
          <w:szCs w:val="32"/>
        </w:rPr>
        <w:br w:type="textWrapping"/>
      </w:r>
      <w:r>
        <w:rPr>
          <w:rFonts w:hint="eastAsia" w:ascii="仿宋_GB2312" w:hAnsi="Calibri" w:eastAsia="仿宋_GB2312" w:cs="仿宋"/>
          <w:color w:val="000000"/>
          <w:sz w:val="32"/>
          <w:szCs w:val="32"/>
        </w:rPr>
        <w:t xml:space="preserve">    9.基本支出：指为保证机构正常运转，完成日常工作任务而发生的人员支出和公用支出。</w:t>
      </w:r>
      <w:r>
        <w:rPr>
          <w:rFonts w:hint="eastAsia" w:ascii="仿宋_GB2312" w:hAnsi="Calibri" w:eastAsia="仿宋_GB2312" w:cs="仿宋"/>
          <w:color w:val="000000"/>
          <w:sz w:val="32"/>
          <w:szCs w:val="32"/>
        </w:rPr>
        <w:br w:type="textWrapping"/>
      </w:r>
      <w:r>
        <w:rPr>
          <w:rFonts w:hint="eastAsia" w:ascii="仿宋_GB2312" w:hAnsi="Calibri" w:eastAsia="仿宋_GB2312" w:cs="仿宋"/>
          <w:color w:val="000000"/>
          <w:sz w:val="32"/>
          <w:szCs w:val="32"/>
        </w:rPr>
        <w:t xml:space="preserve">    10.项目支出：指在基本支出之外为完成特定行政任务和事业发展目标所发生的支出。</w:t>
      </w:r>
    </w:p>
    <w:p>
      <w:pPr>
        <w:pStyle w:val="13"/>
        <w:widowControl/>
        <w:shd w:val="clear" w:color="auto" w:fill="FFFFFF"/>
        <w:spacing w:beforeAutospacing="0" w:afterAutospacing="0" w:line="560" w:lineRule="exact"/>
        <w:ind w:firstLine="640" w:firstLineChars="200"/>
        <w:jc w:val="both"/>
        <w:rPr>
          <w:rFonts w:ascii="仿宋_GB2312" w:hAnsi="Calibri" w:eastAsia="仿宋_GB2312" w:cs="仿宋"/>
          <w:color w:val="000000"/>
          <w:sz w:val="32"/>
          <w:szCs w:val="32"/>
        </w:rPr>
      </w:pPr>
      <w:r>
        <w:rPr>
          <w:rFonts w:hint="eastAsia" w:ascii="仿宋_GB2312" w:hAnsi="Calibri" w:eastAsia="仿宋_GB2312" w:cs="仿宋"/>
          <w:color w:val="000000"/>
          <w:sz w:val="32"/>
          <w:szCs w:val="32"/>
        </w:rPr>
        <w:t>11.“三公”经费：纳入财政厅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110" w:name="_Toc15377226"/>
    </w:p>
    <w:p>
      <w:pPr>
        <w:pStyle w:val="25"/>
        <w:spacing w:line="560" w:lineRule="exact"/>
        <w:ind w:firstLine="640" w:firstLineChars="200"/>
        <w:jc w:val="both"/>
        <w:rPr>
          <w:rFonts w:ascii="仿宋_GB2312" w:eastAsia="仿宋_GB2312"/>
          <w:sz w:val="32"/>
          <w:szCs w:val="32"/>
        </w:rPr>
      </w:pPr>
      <w:r>
        <w:rPr>
          <w:rFonts w:hint="eastAsia" w:ascii="仿宋_GB2312" w:eastAsia="仿宋_GB2312"/>
          <w:sz w:val="32"/>
          <w:szCs w:val="32"/>
        </w:rPr>
        <w:t>12.机关运行经费：为保障行政单位（含参照公务员法管理的事业单位）运行用于购买货物和服务的各项资金，包括办公及印刷费、邮电费、差旅费、会议费、福利费、日常维修费、一般购置费、办公用房水电费以及其他费用。</w:t>
      </w: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pStyle w:val="13"/>
        <w:widowControl/>
        <w:shd w:val="clear" w:color="auto" w:fill="FFFFFF"/>
        <w:spacing w:beforeAutospacing="0" w:afterAutospacing="0" w:line="560" w:lineRule="exact"/>
        <w:ind w:firstLine="642" w:firstLineChars="200"/>
        <w:jc w:val="both"/>
        <w:rPr>
          <w:rFonts w:ascii="宋体"/>
          <w:b/>
          <w:color w:val="000000"/>
          <w:sz w:val="32"/>
          <w:szCs w:val="32"/>
        </w:rPr>
      </w:pPr>
    </w:p>
    <w:p>
      <w:pPr>
        <w:rPr>
          <w:rFonts w:ascii="宋体"/>
          <w:b/>
          <w:color w:val="000000"/>
          <w:sz w:val="32"/>
          <w:szCs w:val="32"/>
        </w:rPr>
      </w:pPr>
      <w:r>
        <w:rPr>
          <w:rFonts w:ascii="宋体"/>
          <w:b/>
          <w:color w:val="000000"/>
          <w:sz w:val="32"/>
          <w:szCs w:val="32"/>
        </w:rPr>
        <w:br w:type="page"/>
      </w:r>
    </w:p>
    <w:p>
      <w:pPr>
        <w:pStyle w:val="3"/>
        <w:numPr>
          <w:ilvl w:val="0"/>
          <w:numId w:val="1"/>
        </w:numPr>
        <w:tabs>
          <w:tab w:val="left" w:pos="1719"/>
          <w:tab w:val="center" w:pos="4213"/>
        </w:tabs>
        <w:spacing w:before="0" w:after="0" w:line="560" w:lineRule="exact"/>
        <w:ind w:left="0" w:leftChars="0" w:firstLine="0" w:firstLineChars="0"/>
        <w:jc w:val="center"/>
        <w:rPr>
          <w:rFonts w:hint="eastAsia" w:ascii="黑体" w:hAnsi="黑体" w:eastAsia="黑体"/>
          <w:b w:val="0"/>
        </w:rPr>
      </w:pPr>
      <w:bookmarkStart w:id="111" w:name="_Toc4925_WPSOffice_Level1"/>
      <w:bookmarkStart w:id="112" w:name="_Toc15396614"/>
      <w:r>
        <w:rPr>
          <w:rFonts w:hint="eastAsia" w:ascii="黑体" w:hAnsi="黑体" w:eastAsia="黑体"/>
          <w:b w:val="0"/>
        </w:rPr>
        <w:t>附件</w:t>
      </w:r>
      <w:bookmarkEnd w:id="111"/>
      <w:bookmarkEnd w:id="112"/>
    </w:p>
    <w:p>
      <w:pPr>
        <w:rPr>
          <w:rFonts w:hint="eastAsia"/>
        </w:rPr>
      </w:pPr>
    </w:p>
    <w:p>
      <w:pPr>
        <w:pStyle w:val="3"/>
        <w:numPr>
          <w:ilvl w:val="0"/>
          <w:numId w:val="0"/>
        </w:numPr>
        <w:tabs>
          <w:tab w:val="left" w:pos="1719"/>
          <w:tab w:val="center" w:pos="4213"/>
        </w:tabs>
        <w:spacing w:before="0" w:after="0" w:line="560" w:lineRule="exact"/>
        <w:ind w:leftChars="0"/>
        <w:jc w:val="center"/>
        <w:rPr>
          <w:rFonts w:hint="eastAsia" w:ascii="黑体" w:hAnsi="黑体" w:eastAsia="黑体"/>
          <w:b w:val="0"/>
          <w:sz w:val="32"/>
          <w:szCs w:val="32"/>
          <w:lang w:val="zh-CN" w:eastAsia="zh-CN"/>
        </w:rPr>
      </w:pPr>
      <w:bookmarkStart w:id="113" w:name="_Toc22586_WPSOffice_Level2"/>
      <w:r>
        <w:rPr>
          <w:rFonts w:hint="eastAsia" w:ascii="仿宋_GB2312" w:hAnsi="仿宋_GB2312" w:eastAsia="仿宋_GB2312" w:cs="仿宋_GB2312"/>
          <w:b w:val="0"/>
          <w:sz w:val="32"/>
          <w:szCs w:val="32"/>
          <w:lang w:val="zh-CN" w:eastAsia="zh-CN"/>
        </w:rPr>
        <w:t>202</w:t>
      </w:r>
      <w:r>
        <w:rPr>
          <w:rFonts w:hint="eastAsia" w:ascii="仿宋_GB2312" w:hAnsi="仿宋_GB2312" w:eastAsia="仿宋_GB2312" w:cs="仿宋_GB2312"/>
          <w:b w:val="0"/>
          <w:sz w:val="32"/>
          <w:szCs w:val="32"/>
          <w:lang w:val="en-US" w:eastAsia="zh-CN"/>
        </w:rPr>
        <w:t>0</w:t>
      </w:r>
      <w:r>
        <w:rPr>
          <w:rFonts w:hint="eastAsia" w:ascii="仿宋_GB2312" w:hAnsi="仿宋_GB2312" w:eastAsia="仿宋_GB2312" w:cs="仿宋_GB2312"/>
          <w:b w:val="0"/>
          <w:sz w:val="32"/>
          <w:szCs w:val="32"/>
          <w:lang w:val="zh-CN" w:eastAsia="zh-CN"/>
        </w:rPr>
        <w:t>年预算项目支出绩效自评报告</w:t>
      </w:r>
      <w:bookmarkEnd w:id="11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Times New Roman"/>
          <w:color w:val="000000" w:themeColor="text1"/>
          <w:kern w:val="2"/>
          <w:sz w:val="32"/>
          <w:szCs w:val="32"/>
          <w:lang w:val="zh-CN" w:eastAsia="zh-CN" w:bidi="ar-SA"/>
          <w14:textFill>
            <w14:solidFill>
              <w14:schemeClr w14:val="tx1"/>
            </w14:solidFill>
          </w14:textFill>
        </w:rPr>
      </w:pPr>
      <w:bookmarkStart w:id="114" w:name="_Toc15330_WPSOffice_Level2"/>
      <w:r>
        <w:rPr>
          <w:rFonts w:hint="eastAsia" w:ascii="仿宋_GB2312" w:hAnsi="宋体" w:eastAsia="仿宋_GB2312" w:cs="Times New Roman"/>
          <w:color w:val="000000" w:themeColor="text1"/>
          <w:kern w:val="2"/>
          <w:sz w:val="32"/>
          <w:szCs w:val="32"/>
          <w:lang w:val="zh-CN" w:eastAsia="zh-CN" w:bidi="ar-SA"/>
          <w14:textFill>
            <w14:solidFill>
              <w14:schemeClr w14:val="tx1"/>
            </w14:solidFill>
          </w14:textFill>
        </w:rPr>
        <w:t>（本单位未开展此项工作）</w:t>
      </w:r>
      <w:bookmarkEnd w:id="114"/>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ascii="宋体" w:hAnsi="宋体" w:eastAsia="宋体" w:cs="Times New Roman"/>
          <w:color w:val="FF0000"/>
          <w:kern w:val="2"/>
          <w:sz w:val="32"/>
          <w:szCs w:val="32"/>
          <w:lang w:val="zh-CN" w:eastAsia="zh-CN" w:bidi="ar-SA"/>
        </w:rPr>
      </w:pPr>
    </w:p>
    <w:p>
      <w:pPr>
        <w:pStyle w:val="13"/>
        <w:widowControl/>
        <w:shd w:val="clear" w:color="auto" w:fill="FFFFFF"/>
        <w:spacing w:beforeAutospacing="0" w:afterAutospacing="0" w:line="560" w:lineRule="exact"/>
        <w:ind w:firstLine="642" w:firstLineChars="200"/>
        <w:jc w:val="both"/>
        <w:rPr>
          <w:rFonts w:ascii="黑体" w:hAnsi="黑体" w:eastAsia="黑体"/>
          <w:sz w:val="44"/>
          <w:szCs w:val="44"/>
        </w:rPr>
      </w:pPr>
      <w:r>
        <w:rPr>
          <w:rFonts w:ascii="宋体"/>
          <w:b/>
          <w:color w:val="000000"/>
          <w:sz w:val="32"/>
          <w:szCs w:val="32"/>
        </w:rPr>
        <w:br w:type="page"/>
      </w:r>
    </w:p>
    <w:p>
      <w:pPr>
        <w:numPr>
          <w:ilvl w:val="0"/>
          <w:numId w:val="0"/>
        </w:numPr>
        <w:spacing w:line="560" w:lineRule="exact"/>
        <w:ind w:leftChars="0"/>
        <w:jc w:val="center"/>
        <w:outlineLvl w:val="0"/>
        <w:rPr>
          <w:rStyle w:val="27"/>
          <w:rFonts w:hint="eastAsia" w:ascii="黑体" w:hAnsi="黑体" w:eastAsia="黑体"/>
          <w:b w:val="0"/>
        </w:rPr>
      </w:pPr>
      <w:bookmarkStart w:id="115" w:name="_Toc20885_WPSOffice_Level1"/>
      <w:bookmarkStart w:id="116" w:name="_Toc15747_WPSOffice_Level1"/>
      <w:bookmarkStart w:id="117" w:name="_Toc15396618"/>
      <w:bookmarkStart w:id="118" w:name="_Toc461_WPSOffice_Level1"/>
      <w:r>
        <w:rPr>
          <w:rStyle w:val="27"/>
          <w:rFonts w:hint="eastAsia" w:ascii="黑体" w:hAnsi="黑体" w:eastAsia="黑体"/>
          <w:b w:val="0"/>
          <w:lang w:eastAsia="zh-CN"/>
        </w:rPr>
        <w:t>第五部分</w:t>
      </w:r>
      <w:r>
        <w:rPr>
          <w:rStyle w:val="27"/>
          <w:rFonts w:hint="eastAsia" w:ascii="黑体" w:hAnsi="黑体" w:eastAsia="黑体"/>
          <w:b w:val="0"/>
          <w:lang w:val="en-US" w:eastAsia="zh-CN"/>
        </w:rPr>
        <w:t xml:space="preserve"> </w:t>
      </w:r>
      <w:r>
        <w:rPr>
          <w:rStyle w:val="27"/>
          <w:rFonts w:hint="eastAsia" w:ascii="黑体" w:hAnsi="黑体" w:eastAsia="黑体"/>
          <w:b w:val="0"/>
        </w:rPr>
        <w:t>附表</w:t>
      </w:r>
      <w:bookmarkEnd w:id="110"/>
      <w:bookmarkEnd w:id="115"/>
      <w:bookmarkEnd w:id="116"/>
      <w:bookmarkEnd w:id="117"/>
      <w:bookmarkEnd w:id="118"/>
      <w:bookmarkStart w:id="119" w:name="_Toc15396619"/>
    </w:p>
    <w:p>
      <w:pPr>
        <w:pStyle w:val="6"/>
        <w:numPr>
          <w:ilvl w:val="0"/>
          <w:numId w:val="0"/>
        </w:numPr>
        <w:ind w:leftChars="0"/>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20" w:name="_Toc32276_WPSOffice_Level2"/>
      <w:bookmarkStart w:id="121" w:name="_Toc4856_WPSOffice_Level2"/>
      <w:bookmarkStart w:id="122" w:name="_Toc19217_WPSOffice_Level2"/>
      <w:r>
        <w:rPr>
          <w:rFonts w:hint="eastAsia" w:ascii="仿宋_GB2312" w:hAnsi="Calibri" w:eastAsia="仿宋_GB2312" w:cs="仿宋"/>
          <w:b w:val="0"/>
          <w:bCs w:val="0"/>
          <w:color w:val="000000"/>
          <w:sz w:val="32"/>
          <w:szCs w:val="32"/>
        </w:rPr>
        <w:t>一、收入支出决算总表</w:t>
      </w:r>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23" w:name="_Toc12350_WPSOffice_Level2"/>
      <w:bookmarkStart w:id="124" w:name="_Toc12847_WPSOffice_Level2"/>
      <w:bookmarkStart w:id="125" w:name="_Toc9156_WPSOffice_Level2"/>
      <w:bookmarkStart w:id="126" w:name="_Toc15396620"/>
      <w:r>
        <w:rPr>
          <w:rFonts w:hint="eastAsia" w:ascii="仿宋_GB2312" w:hAnsi="Calibri" w:eastAsia="仿宋_GB2312" w:cs="仿宋"/>
          <w:b w:val="0"/>
          <w:bCs w:val="0"/>
          <w:color w:val="000000"/>
          <w:sz w:val="32"/>
          <w:szCs w:val="32"/>
        </w:rPr>
        <w:t>二、收入决算表</w:t>
      </w:r>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27" w:name="_Toc15396621"/>
      <w:bookmarkStart w:id="128" w:name="_Toc32687_WPSOffice_Level2"/>
      <w:bookmarkStart w:id="129" w:name="_Toc6954_WPSOffice_Level2"/>
      <w:bookmarkStart w:id="130" w:name="_Toc10458_WPSOffice_Level2"/>
      <w:r>
        <w:rPr>
          <w:rFonts w:hint="eastAsia" w:ascii="仿宋_GB2312" w:hAnsi="Calibri" w:eastAsia="仿宋_GB2312" w:cs="仿宋"/>
          <w:b w:val="0"/>
          <w:bCs w:val="0"/>
          <w:color w:val="000000"/>
          <w:sz w:val="32"/>
          <w:szCs w:val="32"/>
        </w:rPr>
        <w:t>三、支出决算表</w:t>
      </w:r>
      <w:bookmarkEnd w:id="127"/>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31" w:name="_Toc17974_WPSOffice_Level2"/>
      <w:bookmarkStart w:id="132" w:name="_Toc7668_WPSOffice_Level2"/>
      <w:bookmarkStart w:id="133" w:name="_Toc20251_WPSOffice_Level2"/>
      <w:bookmarkStart w:id="134" w:name="_Toc15396622"/>
      <w:r>
        <w:rPr>
          <w:rFonts w:hint="eastAsia" w:ascii="仿宋_GB2312" w:hAnsi="Calibri" w:eastAsia="仿宋_GB2312" w:cs="仿宋"/>
          <w:b w:val="0"/>
          <w:bCs w:val="0"/>
          <w:color w:val="000000"/>
          <w:sz w:val="32"/>
          <w:szCs w:val="32"/>
        </w:rPr>
        <w:t>四、财政拨款收入支出决算总表</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35" w:name="_Toc10846_WPSOffice_Level2"/>
      <w:bookmarkStart w:id="136" w:name="_Toc15396623"/>
      <w:bookmarkStart w:id="137" w:name="_Toc6586_WPSOffice_Level2"/>
      <w:bookmarkStart w:id="138" w:name="_Toc22091_WPSOffice_Level2"/>
      <w:r>
        <w:rPr>
          <w:rFonts w:hint="eastAsia" w:ascii="仿宋_GB2312" w:hAnsi="Calibri" w:eastAsia="仿宋_GB2312" w:cs="仿宋"/>
          <w:b w:val="0"/>
          <w:bCs w:val="0"/>
          <w:color w:val="000000"/>
          <w:sz w:val="32"/>
          <w:szCs w:val="32"/>
        </w:rPr>
        <w:t>五、财政拨款支出决算明细表</w:t>
      </w:r>
      <w:bookmarkEnd w:id="135"/>
      <w:bookmarkEnd w:id="136"/>
      <w:bookmarkEnd w:id="137"/>
      <w:bookmarkEnd w:id="138"/>
      <w:bookmarkStart w:id="139" w:name="_Toc1539662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40" w:name="_Toc29636_WPSOffice_Level2"/>
      <w:bookmarkStart w:id="141" w:name="_Toc15747_WPSOffice_Level2"/>
      <w:bookmarkStart w:id="142" w:name="_Toc18457_WPSOffice_Level2"/>
      <w:r>
        <w:rPr>
          <w:rFonts w:hint="eastAsia" w:ascii="仿宋_GB2312" w:hAnsi="Calibri" w:eastAsia="仿宋_GB2312" w:cs="仿宋"/>
          <w:b w:val="0"/>
          <w:bCs w:val="0"/>
          <w:color w:val="000000"/>
          <w:sz w:val="32"/>
          <w:szCs w:val="32"/>
        </w:rPr>
        <w:t>六、一般公共预算财政拨款支出决算表</w:t>
      </w:r>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43" w:name="_Toc15396625"/>
      <w:bookmarkStart w:id="144" w:name="_Toc1202_WPSOffice_Level2"/>
      <w:bookmarkStart w:id="145" w:name="_Toc14870_WPSOffice_Level2"/>
      <w:bookmarkStart w:id="146" w:name="_Toc32557_WPSOffice_Level2"/>
      <w:r>
        <w:rPr>
          <w:rFonts w:hint="eastAsia" w:ascii="仿宋_GB2312" w:hAnsi="Calibri" w:eastAsia="仿宋_GB2312" w:cs="仿宋"/>
          <w:b w:val="0"/>
          <w:bCs w:val="0"/>
          <w:color w:val="000000"/>
          <w:sz w:val="32"/>
          <w:szCs w:val="32"/>
        </w:rPr>
        <w:t>七、一般公共预算财政拨款支出决算明细表</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47" w:name="_Toc15396626"/>
      <w:bookmarkStart w:id="148" w:name="_Toc7311_WPSOffice_Level2"/>
      <w:bookmarkStart w:id="149" w:name="_Toc17625_WPSOffice_Level2"/>
      <w:bookmarkStart w:id="150" w:name="_Toc20086_WPSOffice_Level2"/>
      <w:r>
        <w:rPr>
          <w:rFonts w:hint="eastAsia" w:ascii="仿宋_GB2312" w:hAnsi="Calibri" w:eastAsia="仿宋_GB2312" w:cs="仿宋"/>
          <w:b w:val="0"/>
          <w:bCs w:val="0"/>
          <w:color w:val="000000"/>
          <w:sz w:val="32"/>
          <w:szCs w:val="32"/>
        </w:rPr>
        <w:t>八、一般公共预算财政拨款基本支出决算表</w:t>
      </w:r>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51" w:name="_Toc8445_WPSOffice_Level2"/>
      <w:bookmarkStart w:id="152" w:name="_Toc15396627"/>
      <w:bookmarkStart w:id="153" w:name="_Toc7564_WPSOffice_Level2"/>
      <w:bookmarkStart w:id="154" w:name="_Toc28588_WPSOffice_Level2"/>
      <w:r>
        <w:rPr>
          <w:rFonts w:hint="eastAsia" w:ascii="仿宋_GB2312" w:hAnsi="Calibri" w:eastAsia="仿宋_GB2312" w:cs="仿宋"/>
          <w:b w:val="0"/>
          <w:bCs w:val="0"/>
          <w:color w:val="000000"/>
          <w:sz w:val="32"/>
          <w:szCs w:val="32"/>
        </w:rPr>
        <w:t>九、一般公共预算财政拨款项目支出决算表</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55" w:name="_Toc15396628"/>
      <w:bookmarkStart w:id="156" w:name="_Toc20645_WPSOffice_Level2"/>
      <w:bookmarkStart w:id="157" w:name="_Toc31023_WPSOffice_Level2"/>
      <w:bookmarkStart w:id="158" w:name="_Toc29685_WPSOffice_Level2"/>
      <w:r>
        <w:rPr>
          <w:rFonts w:hint="eastAsia" w:ascii="仿宋_GB2312" w:hAnsi="Calibri" w:eastAsia="仿宋_GB2312" w:cs="仿宋"/>
          <w:b w:val="0"/>
          <w:bCs w:val="0"/>
          <w:color w:val="000000"/>
          <w:sz w:val="32"/>
          <w:szCs w:val="32"/>
        </w:rPr>
        <w:t>十、一般公共预算财政拨款“三公”经费支出决算表</w:t>
      </w:r>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59" w:name="_Toc15396629"/>
      <w:bookmarkStart w:id="160" w:name="_Toc17678_WPSOffice_Level2"/>
      <w:bookmarkStart w:id="161" w:name="_Toc772_WPSOffice_Level2"/>
      <w:bookmarkStart w:id="162" w:name="_Toc21193_WPSOffice_Level2"/>
      <w:r>
        <w:rPr>
          <w:rFonts w:hint="eastAsia" w:ascii="仿宋_GB2312" w:hAnsi="Calibri" w:eastAsia="仿宋_GB2312" w:cs="仿宋"/>
          <w:b w:val="0"/>
          <w:bCs w:val="0"/>
          <w:color w:val="000000"/>
          <w:sz w:val="32"/>
          <w:szCs w:val="32"/>
        </w:rPr>
        <w:t>十一、政府性基金预算财政拨款收入支出决算表</w:t>
      </w:r>
      <w:bookmarkEnd w:id="159"/>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63" w:name="_Toc312_WPSOffice_Level2"/>
      <w:bookmarkStart w:id="164" w:name="_Toc15396630"/>
      <w:bookmarkStart w:id="165" w:name="_Toc14041_WPSOffice_Level2"/>
      <w:bookmarkStart w:id="166" w:name="_Toc25975_WPSOffice_Level2"/>
      <w:r>
        <w:rPr>
          <w:rFonts w:hint="eastAsia" w:ascii="仿宋_GB2312" w:hAnsi="Calibri" w:eastAsia="仿宋_GB2312" w:cs="仿宋"/>
          <w:b w:val="0"/>
          <w:bCs w:val="0"/>
          <w:color w:val="000000"/>
          <w:sz w:val="32"/>
          <w:szCs w:val="32"/>
        </w:rPr>
        <w:t>十二、政府性基金预算财政拨款“三公”经费支出决算表</w:t>
      </w:r>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b w:val="0"/>
          <w:bCs w:val="0"/>
          <w:color w:val="000000"/>
          <w:sz w:val="32"/>
          <w:szCs w:val="32"/>
        </w:rPr>
      </w:pPr>
      <w:bookmarkStart w:id="167" w:name="_Toc31677_WPSOffice_Level2"/>
      <w:bookmarkStart w:id="168" w:name="_Toc30051_WPSOffice_Level2"/>
      <w:bookmarkStart w:id="169" w:name="_Toc15396631"/>
      <w:bookmarkStart w:id="170" w:name="_Toc24264_WPSOffice_Level2"/>
      <w:r>
        <w:rPr>
          <w:rFonts w:hint="eastAsia" w:ascii="仿宋_GB2312" w:hAnsi="Calibri" w:eastAsia="仿宋_GB2312" w:cs="仿宋"/>
          <w:b w:val="0"/>
          <w:bCs w:val="0"/>
          <w:color w:val="000000"/>
          <w:sz w:val="32"/>
          <w:szCs w:val="32"/>
        </w:rPr>
        <w:t>十三、国有资本经营预算财政拨款收入支出决算表</w:t>
      </w:r>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Calibri" w:eastAsia="仿宋_GB2312" w:cs="仿宋"/>
          <w:color w:val="000000"/>
          <w:sz w:val="32"/>
          <w:szCs w:val="32"/>
        </w:rPr>
      </w:pPr>
      <w:bookmarkStart w:id="171" w:name="_Toc29812_WPSOffice_Level2"/>
      <w:bookmarkStart w:id="172" w:name="_Toc13611_WPSOffice_Level2"/>
      <w:bookmarkStart w:id="173" w:name="_Toc1983_WPSOffice_Level2"/>
      <w:r>
        <w:rPr>
          <w:rFonts w:hint="eastAsia" w:ascii="仿宋_GB2312" w:hAnsi="Calibri" w:eastAsia="仿宋_GB2312" w:cs="仿宋"/>
          <w:color w:val="000000"/>
          <w:sz w:val="32"/>
          <w:szCs w:val="32"/>
        </w:rPr>
        <w:t>十四、国有资本经营预算财政拨款支出决算表</w:t>
      </w:r>
      <w:bookmarkEnd w:id="171"/>
      <w:bookmarkEnd w:id="172"/>
      <w:bookmarkEnd w:id="1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5F7A0"/>
    <w:multiLevelType w:val="singleLevel"/>
    <w:tmpl w:val="4AF5F7A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41F3"/>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352"/>
    <w:rsid w:val="001654D1"/>
    <w:rsid w:val="00174518"/>
    <w:rsid w:val="0018106D"/>
    <w:rsid w:val="001877A7"/>
    <w:rsid w:val="00191536"/>
    <w:rsid w:val="00196687"/>
    <w:rsid w:val="001C0962"/>
    <w:rsid w:val="001D7531"/>
    <w:rsid w:val="001E37B6"/>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0A71"/>
    <w:rsid w:val="00443880"/>
    <w:rsid w:val="004464F4"/>
    <w:rsid w:val="00471401"/>
    <w:rsid w:val="00473F31"/>
    <w:rsid w:val="0048263A"/>
    <w:rsid w:val="00487E5D"/>
    <w:rsid w:val="004972D1"/>
    <w:rsid w:val="004A711F"/>
    <w:rsid w:val="004B199D"/>
    <w:rsid w:val="004B4690"/>
    <w:rsid w:val="004E0A2D"/>
    <w:rsid w:val="004E206B"/>
    <w:rsid w:val="004E6DF7"/>
    <w:rsid w:val="004F0FBD"/>
    <w:rsid w:val="00505A47"/>
    <w:rsid w:val="00512FDA"/>
    <w:rsid w:val="00520DA0"/>
    <w:rsid w:val="00556ABA"/>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281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23BB"/>
    <w:rsid w:val="00A237D8"/>
    <w:rsid w:val="00A268C4"/>
    <w:rsid w:val="00A307CD"/>
    <w:rsid w:val="00A331C8"/>
    <w:rsid w:val="00A40A00"/>
    <w:rsid w:val="00A4142F"/>
    <w:rsid w:val="00A422EB"/>
    <w:rsid w:val="00A45BB7"/>
    <w:rsid w:val="00A56DF2"/>
    <w:rsid w:val="00A56E6E"/>
    <w:rsid w:val="00A67AB5"/>
    <w:rsid w:val="00A733B2"/>
    <w:rsid w:val="00A741C2"/>
    <w:rsid w:val="00A82398"/>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406EE"/>
    <w:rsid w:val="016457EA"/>
    <w:rsid w:val="03371A5F"/>
    <w:rsid w:val="03B67A5A"/>
    <w:rsid w:val="05BD0806"/>
    <w:rsid w:val="05F85799"/>
    <w:rsid w:val="06133401"/>
    <w:rsid w:val="06662150"/>
    <w:rsid w:val="06AB42E3"/>
    <w:rsid w:val="070348B8"/>
    <w:rsid w:val="077951DA"/>
    <w:rsid w:val="07AD181F"/>
    <w:rsid w:val="07B23BF5"/>
    <w:rsid w:val="08CB3B9D"/>
    <w:rsid w:val="09FE19C8"/>
    <w:rsid w:val="0A2032A3"/>
    <w:rsid w:val="0AAD2A4D"/>
    <w:rsid w:val="0AB71AFC"/>
    <w:rsid w:val="0C7177D8"/>
    <w:rsid w:val="0C84122E"/>
    <w:rsid w:val="0C91331F"/>
    <w:rsid w:val="0CA83181"/>
    <w:rsid w:val="0D4B2BBC"/>
    <w:rsid w:val="0E2F5E88"/>
    <w:rsid w:val="0E7643A0"/>
    <w:rsid w:val="0F517C1E"/>
    <w:rsid w:val="0FA10652"/>
    <w:rsid w:val="0FFD31E3"/>
    <w:rsid w:val="107A3DC9"/>
    <w:rsid w:val="10BB2219"/>
    <w:rsid w:val="10C055FF"/>
    <w:rsid w:val="1102037A"/>
    <w:rsid w:val="113E3C37"/>
    <w:rsid w:val="118107EC"/>
    <w:rsid w:val="12C30AA4"/>
    <w:rsid w:val="13737CCD"/>
    <w:rsid w:val="15BC3BC3"/>
    <w:rsid w:val="16797AB1"/>
    <w:rsid w:val="16BB723D"/>
    <w:rsid w:val="16F95214"/>
    <w:rsid w:val="17583305"/>
    <w:rsid w:val="18015F3F"/>
    <w:rsid w:val="1876574B"/>
    <w:rsid w:val="18AF62CE"/>
    <w:rsid w:val="190C6796"/>
    <w:rsid w:val="191950BD"/>
    <w:rsid w:val="19343B54"/>
    <w:rsid w:val="1B1E0592"/>
    <w:rsid w:val="1BE8440E"/>
    <w:rsid w:val="1D1126FE"/>
    <w:rsid w:val="1D155CEE"/>
    <w:rsid w:val="1DDD7503"/>
    <w:rsid w:val="1EAB5150"/>
    <w:rsid w:val="1ECE612F"/>
    <w:rsid w:val="1EEE3880"/>
    <w:rsid w:val="20196A96"/>
    <w:rsid w:val="20A6139C"/>
    <w:rsid w:val="20D10657"/>
    <w:rsid w:val="20F57F95"/>
    <w:rsid w:val="214F0C85"/>
    <w:rsid w:val="21B64CA7"/>
    <w:rsid w:val="225B4A56"/>
    <w:rsid w:val="23D24B5F"/>
    <w:rsid w:val="240371BF"/>
    <w:rsid w:val="24470BCF"/>
    <w:rsid w:val="272C6B94"/>
    <w:rsid w:val="2737667F"/>
    <w:rsid w:val="27B46170"/>
    <w:rsid w:val="28061B1A"/>
    <w:rsid w:val="283857D6"/>
    <w:rsid w:val="285536EF"/>
    <w:rsid w:val="28962742"/>
    <w:rsid w:val="29484F47"/>
    <w:rsid w:val="29FD04D3"/>
    <w:rsid w:val="2A020B27"/>
    <w:rsid w:val="2A520B0B"/>
    <w:rsid w:val="2AA27411"/>
    <w:rsid w:val="2ABE7A3E"/>
    <w:rsid w:val="2BBE0ABE"/>
    <w:rsid w:val="2C283777"/>
    <w:rsid w:val="2D1923C3"/>
    <w:rsid w:val="2D9E390B"/>
    <w:rsid w:val="2DCE47EA"/>
    <w:rsid w:val="2E730F0A"/>
    <w:rsid w:val="2F5ED294"/>
    <w:rsid w:val="2F9C0153"/>
    <w:rsid w:val="312A07F1"/>
    <w:rsid w:val="314B42C0"/>
    <w:rsid w:val="319F7F4E"/>
    <w:rsid w:val="3221360D"/>
    <w:rsid w:val="33480CBC"/>
    <w:rsid w:val="337F6BF8"/>
    <w:rsid w:val="34725C5B"/>
    <w:rsid w:val="349D1547"/>
    <w:rsid w:val="34A04BD4"/>
    <w:rsid w:val="34CD3DBD"/>
    <w:rsid w:val="37151A53"/>
    <w:rsid w:val="37F705C6"/>
    <w:rsid w:val="38582E10"/>
    <w:rsid w:val="395516A8"/>
    <w:rsid w:val="395C438E"/>
    <w:rsid w:val="3C2F5711"/>
    <w:rsid w:val="3D3738A7"/>
    <w:rsid w:val="3D4D6299"/>
    <w:rsid w:val="3DA24251"/>
    <w:rsid w:val="3DB9D412"/>
    <w:rsid w:val="3DF63116"/>
    <w:rsid w:val="3EBCEB2A"/>
    <w:rsid w:val="3F3458EC"/>
    <w:rsid w:val="3F8E09CA"/>
    <w:rsid w:val="3FB5792D"/>
    <w:rsid w:val="3FEB2136"/>
    <w:rsid w:val="3FF51CB1"/>
    <w:rsid w:val="41050B57"/>
    <w:rsid w:val="41B26C05"/>
    <w:rsid w:val="42B432F6"/>
    <w:rsid w:val="43BC40A9"/>
    <w:rsid w:val="441B7D37"/>
    <w:rsid w:val="4454272B"/>
    <w:rsid w:val="44ED3950"/>
    <w:rsid w:val="4673649A"/>
    <w:rsid w:val="46C8483B"/>
    <w:rsid w:val="47253B03"/>
    <w:rsid w:val="48E06558"/>
    <w:rsid w:val="49074367"/>
    <w:rsid w:val="495F6D23"/>
    <w:rsid w:val="496F39ED"/>
    <w:rsid w:val="4B4F4627"/>
    <w:rsid w:val="4B571F1A"/>
    <w:rsid w:val="4BD2567C"/>
    <w:rsid w:val="4BE068DB"/>
    <w:rsid w:val="4E796A41"/>
    <w:rsid w:val="4ECE2238"/>
    <w:rsid w:val="5013544D"/>
    <w:rsid w:val="50460F3D"/>
    <w:rsid w:val="50B54767"/>
    <w:rsid w:val="52D8072E"/>
    <w:rsid w:val="532D6FB1"/>
    <w:rsid w:val="53922AB7"/>
    <w:rsid w:val="53F26B7B"/>
    <w:rsid w:val="55D526E0"/>
    <w:rsid w:val="55FB71F3"/>
    <w:rsid w:val="560A29EF"/>
    <w:rsid w:val="57F3458A"/>
    <w:rsid w:val="58810758"/>
    <w:rsid w:val="58C70075"/>
    <w:rsid w:val="5B28536A"/>
    <w:rsid w:val="5C580124"/>
    <w:rsid w:val="5D8D7FFD"/>
    <w:rsid w:val="5D8F3593"/>
    <w:rsid w:val="5FD210B1"/>
    <w:rsid w:val="5FE7ECB4"/>
    <w:rsid w:val="5FF6BC93"/>
    <w:rsid w:val="5FFE5181"/>
    <w:rsid w:val="60A0387B"/>
    <w:rsid w:val="6441157B"/>
    <w:rsid w:val="645E58C9"/>
    <w:rsid w:val="65F3393B"/>
    <w:rsid w:val="668C1553"/>
    <w:rsid w:val="66BFFC33"/>
    <w:rsid w:val="677E4B65"/>
    <w:rsid w:val="67F01B91"/>
    <w:rsid w:val="683B52C5"/>
    <w:rsid w:val="695F2267"/>
    <w:rsid w:val="69C447A9"/>
    <w:rsid w:val="6ADD2BE6"/>
    <w:rsid w:val="6BFF762F"/>
    <w:rsid w:val="6C0E0318"/>
    <w:rsid w:val="6C4A05C8"/>
    <w:rsid w:val="6CF54CAA"/>
    <w:rsid w:val="6DB7234B"/>
    <w:rsid w:val="6E743406"/>
    <w:rsid w:val="6F0E301E"/>
    <w:rsid w:val="6F521871"/>
    <w:rsid w:val="6FB7EAD8"/>
    <w:rsid w:val="70C20BB3"/>
    <w:rsid w:val="71E14625"/>
    <w:rsid w:val="71ED70C1"/>
    <w:rsid w:val="72734D90"/>
    <w:rsid w:val="72D0496E"/>
    <w:rsid w:val="7428295C"/>
    <w:rsid w:val="74F320CA"/>
    <w:rsid w:val="778C74CB"/>
    <w:rsid w:val="77C9781D"/>
    <w:rsid w:val="77D029BE"/>
    <w:rsid w:val="79093F72"/>
    <w:rsid w:val="7943F606"/>
    <w:rsid w:val="795ED962"/>
    <w:rsid w:val="79ED2C59"/>
    <w:rsid w:val="7ADD3946"/>
    <w:rsid w:val="7AF95B95"/>
    <w:rsid w:val="7BDE66DE"/>
    <w:rsid w:val="7C3E2648"/>
    <w:rsid w:val="7DAEF351"/>
    <w:rsid w:val="7DC13449"/>
    <w:rsid w:val="7DDE7993"/>
    <w:rsid w:val="7DFFDBB3"/>
    <w:rsid w:val="7EBB4AA7"/>
    <w:rsid w:val="7EEE38DD"/>
    <w:rsid w:val="7F643286"/>
    <w:rsid w:val="7FFB8E0E"/>
    <w:rsid w:val="AF653EBB"/>
    <w:rsid w:val="BF3CA270"/>
    <w:rsid w:val="BFDEBB79"/>
    <w:rsid w:val="BFEF7C97"/>
    <w:rsid w:val="D7FDB1C6"/>
    <w:rsid w:val="DE611857"/>
    <w:rsid w:val="DFFF0024"/>
    <w:rsid w:val="DFFFEE62"/>
    <w:rsid w:val="EBDFC067"/>
    <w:rsid w:val="ED2DB7F3"/>
    <w:rsid w:val="EFCBC6D2"/>
    <w:rsid w:val="F7FD7975"/>
    <w:rsid w:val="FCFF62AB"/>
    <w:rsid w:val="FD355D34"/>
    <w:rsid w:val="FE6F448C"/>
    <w:rsid w:val="FEEF84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Normal Indent"/>
    <w:basedOn w:val="1"/>
    <w:qFormat/>
    <w:uiPriority w:val="0"/>
    <w:pPr>
      <w:ind w:firstLine="200" w:firstLine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3"/>
    <w:qFormat/>
    <w:uiPriority w:val="9"/>
    <w:rPr>
      <w:rFonts w:ascii="Times New Roman" w:hAnsi="Times New Roman"/>
      <w:b/>
      <w:bCs/>
      <w:kern w:val="44"/>
      <w:sz w:val="44"/>
      <w:szCs w:val="44"/>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2"/>
    <w:qFormat/>
    <w:uiPriority w:val="0"/>
    <w:pPr>
      <w:ind w:left="200" w:leftChars="200"/>
    </w:pPr>
    <w:rPr>
      <w:rFonts w:ascii="Calibri" w:hAnsi="Calibri" w:eastAsia="宋体" w:cs="Times New Roman"/>
      <w:lang w:val="en-US" w:eastAsia="zh-CN" w:bidi="ar-SA"/>
    </w:rPr>
  </w:style>
  <w:style w:type="paragraph" w:customStyle="1" w:styleId="34">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9590;&#29590;2021&#24180;\&#24449;&#27714;&#24847;&#35265;&#22238;&#22797;\&#36130;&#21153;&#22788;\2020&#24180;&#20915;&#31639;&#35828;&#26126;\&#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9590;&#29590;2021&#24180;\&#24449;&#27714;&#24847;&#35265;&#22238;&#22797;\&#36130;&#21153;&#22788;\2020&#24180;&#20915;&#31639;&#35828;&#26126;\&#20915;&#31639;&#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9590;&#29590;2021&#24180;\&#24449;&#27714;&#24847;&#35265;&#22238;&#22797;\&#36130;&#21153;&#22788;\2020&#24180;&#20915;&#31639;&#35828;&#26126;\&#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9590;&#29590;2021&#24180;\&#24449;&#27714;&#24847;&#35265;&#22238;&#22797;\&#36130;&#21153;&#22788;\2020&#24180;&#20915;&#31639;&#35828;&#26126;\&#20915;&#31639;&#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9590;&#29590;2021&#24180;\&#24449;&#27714;&#24847;&#35265;&#22238;&#22797;\&#36130;&#21153;&#22788;\2020&#24180;&#20915;&#31639;&#35828;&#26126;\&#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0&#24180;&#20915;&#31639;&#35828;&#26126;\&#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80979858008273"/>
          <c:y val="0.0900899064600605"/>
          <c:w val="0.90208289854281"/>
          <c:h val="0.803416507058239"/>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[决算说明图表.xls]图1!$A$2:$A$3</c:f>
              <c:strCache>
                <c:ptCount val="2"/>
                <c:pt idx="0">
                  <c:v>2019年</c:v>
                </c:pt>
                <c:pt idx="1">
                  <c:v>2020年</c:v>
                </c:pt>
              </c:strCache>
            </c:strRef>
          </c:cat>
          <c:val>
            <c:numRef>
              <c:f>[决算说明图表.xls]图1!$B$2:$B$3</c:f>
              <c:numCache>
                <c:formatCode>General</c:formatCode>
                <c:ptCount val="2"/>
                <c:pt idx="0">
                  <c:v>147.48</c:v>
                </c:pt>
                <c:pt idx="1">
                  <c:v>169.47</c:v>
                </c:pt>
              </c:numCache>
            </c:numRef>
          </c:val>
        </c:ser>
        <c:dLbls>
          <c:showLegendKey val="false"/>
          <c:showVal val="false"/>
          <c:showCatName val="false"/>
          <c:showSerName val="false"/>
          <c:showPercent val="false"/>
          <c:showBubbleSize val="false"/>
        </c:dLbls>
        <c:gapWidth val="219"/>
        <c:overlap val="-27"/>
        <c:axId val="675629232"/>
        <c:axId val="608450320"/>
      </c:barChart>
      <c:catAx>
        <c:axId val="67562923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8450320"/>
        <c:crosses val="autoZero"/>
        <c:auto val="true"/>
        <c:lblAlgn val="ctr"/>
        <c:lblOffset val="100"/>
        <c:noMultiLvlLbl val="false"/>
      </c:catAx>
      <c:valAx>
        <c:axId val="608450320"/>
        <c:scaling>
          <c:orientation val="minMax"/>
          <c:min val="0"/>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5629232"/>
        <c:crosses val="autoZero"/>
        <c:crossBetween val="between"/>
        <c:majorUnit val="50"/>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[决算说明图表.xls]图2!$A$3</c:f>
              <c:strCache>
                <c:ptCount val="1"/>
                <c:pt idx="0">
                  <c:v>一般公共预算财政拨款收入169.47万元，占100%</c:v>
                </c:pt>
              </c:strCache>
            </c:strRef>
          </c:tx>
          <c:spPr>
            <a:ln>
              <a:noFill/>
            </a:ln>
          </c:spPr>
          <c:explosion val="0"/>
          <c:dPt>
            <c:idx val="0"/>
            <c:bubble3D val="false"/>
            <c:spPr>
              <a:solidFill>
                <a:schemeClr val="accent1"/>
              </a:solidFill>
              <a:ln w="19050">
                <a:noFill/>
              </a:ln>
              <a:effectLst/>
            </c:spPr>
          </c:dPt>
          <c:dLbls>
            <c:dLbl>
              <c:idx val="0"/>
              <c:layout>
                <c:manualLayout>
                  <c:x val="-0.000580114303236105"/>
                  <c:y val="-0.160753655793026"/>
                </c:manualLayout>
              </c:layout>
              <c:dLblPos val="bestFit"/>
              <c:showLegendKey val="false"/>
              <c:showVal val="false"/>
              <c:showCatName val="false"/>
              <c:showSerName val="true"/>
              <c:showPercent val="false"/>
              <c:showBubbleSize val="false"/>
              <c:extLst>
                <c:ext xmlns:c15="http://schemas.microsoft.com/office/drawing/2012/chart" uri="{CE6537A1-D6FC-4f65-9D91-7224C49458BB}">
                  <c15:layout>
                    <c:manualLayout>
                      <c:w val="0.230629931444832"/>
                      <c:h val="0.83924639099584"/>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tru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val>
            <c:numRef>
              <c:f>[决算说明图表.xls]图2!$A$4</c:f>
              <c:numCache>
                <c:formatCode>General</c:formatCode>
                <c:ptCount val="1"/>
                <c:pt idx="0">
                  <c:v>169.47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90184742993591"/>
          <c:y val="0.00878220140515222"/>
          <c:w val="0.421766997612165"/>
          <c:h val="0.982435597189696"/>
        </c:manualLayout>
      </c:layout>
      <c:pieChart>
        <c:varyColors val="true"/>
        <c:ser>
          <c:idx val="0"/>
          <c:order val="0"/>
          <c:spPr>
            <a:ln>
              <a:noFill/>
            </a:ln>
          </c:spPr>
          <c:explosion val="0"/>
          <c:dPt>
            <c:idx val="0"/>
            <c:bubble3D val="false"/>
            <c:spPr>
              <a:solidFill>
                <a:schemeClr val="accent1"/>
              </a:solidFill>
              <a:ln w="19050">
                <a:noFill/>
              </a:ln>
              <a:effectLst/>
            </c:spPr>
          </c:dPt>
          <c:dPt>
            <c:idx val="1"/>
            <c:bubble3D val="false"/>
            <c:spPr>
              <a:solidFill>
                <a:schemeClr val="accent2"/>
              </a:solidFill>
              <a:ln w="19050">
                <a:noFill/>
              </a:ln>
              <a:effectLst/>
            </c:spPr>
          </c:dPt>
          <c:dLbls>
            <c:dLbl>
              <c:idx val="0"/>
              <c:layout>
                <c:manualLayout>
                  <c:x val="-0.104310669850446"/>
                  <c:y val="-0.23844025616254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基本支出</a:t>
                    </a:r>
                    <a:r>
                      <a:rPr lang="en-US" altLang="zh-CN"/>
                      <a:t>81.27%</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806349205225152"/>
                  <c:y val="0.18286395690924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项目支出</a:t>
                    </a:r>
                    <a:r>
                      <a:rPr lang="en-US" altLang="zh-CN"/>
                      <a:t>18.73%</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[决算说明图表.xls]图3!$A$2:$A$3</c:f>
              <c:strCache>
                <c:ptCount val="2"/>
                <c:pt idx="0">
                  <c:v>基本支出</c:v>
                </c:pt>
                <c:pt idx="1">
                  <c:v>项目支出</c:v>
                </c:pt>
              </c:strCache>
            </c:strRef>
          </c:cat>
          <c:val>
            <c:numRef>
              <c:f>[决算说明图表.xls]图3!$B$2:$B$3</c:f>
              <c:numCache>
                <c:formatCode>General</c:formatCode>
                <c:ptCount val="2"/>
                <c:pt idx="0">
                  <c:v>137.72</c:v>
                </c:pt>
                <c:pt idx="1">
                  <c:v>31.75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23479877515311"/>
          <c:y val="0.0868313395550637"/>
          <c:w val="0.906044092147634"/>
          <c:h val="0.801914414414414"/>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[决算说明图表.xls]图1!$A$2:$A$3</c:f>
              <c:strCache>
                <c:ptCount val="2"/>
                <c:pt idx="0">
                  <c:v>2019年</c:v>
                </c:pt>
                <c:pt idx="1">
                  <c:v>2020年</c:v>
                </c:pt>
              </c:strCache>
            </c:strRef>
          </c:cat>
          <c:val>
            <c:numRef>
              <c:f>[决算说明图表.xls]图1!$B$2:$B$3</c:f>
              <c:numCache>
                <c:formatCode>General</c:formatCode>
                <c:ptCount val="2"/>
                <c:pt idx="0">
                  <c:v>147.48</c:v>
                </c:pt>
                <c:pt idx="1">
                  <c:v>169.47</c:v>
                </c:pt>
              </c:numCache>
            </c:numRef>
          </c:val>
        </c:ser>
        <c:dLbls>
          <c:showLegendKey val="false"/>
          <c:showVal val="false"/>
          <c:showCatName val="false"/>
          <c:showSerName val="false"/>
          <c:showPercent val="false"/>
          <c:showBubbleSize val="false"/>
        </c:dLbls>
        <c:gapWidth val="219"/>
        <c:overlap val="-27"/>
        <c:axId val="675629232"/>
        <c:axId val="608450320"/>
      </c:barChart>
      <c:catAx>
        <c:axId val="67562923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8450320"/>
        <c:crosses val="autoZero"/>
        <c:auto val="true"/>
        <c:lblAlgn val="ctr"/>
        <c:lblOffset val="100"/>
        <c:noMultiLvlLbl val="false"/>
      </c:catAx>
      <c:valAx>
        <c:axId val="608450320"/>
        <c:scaling>
          <c:orientation val="minMax"/>
          <c:min val="0"/>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5629232"/>
        <c:crosses val="autoZero"/>
        <c:crossBetween val="between"/>
        <c:majorUnit val="50"/>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90798441391214"/>
          <c:y val="0.111812461470164"/>
          <c:w val="0.896281104730653"/>
          <c:h val="0.750673281360737"/>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[决算说明图表.xls]图1!$A$2:$A$3</c:f>
              <c:strCache>
                <c:ptCount val="2"/>
                <c:pt idx="0">
                  <c:v>2019年</c:v>
                </c:pt>
                <c:pt idx="1">
                  <c:v>2020年</c:v>
                </c:pt>
              </c:strCache>
            </c:strRef>
          </c:cat>
          <c:val>
            <c:numRef>
              <c:f>[决算说明图表.xls]图1!$B$2:$B$3</c:f>
              <c:numCache>
                <c:formatCode>General</c:formatCode>
                <c:ptCount val="2"/>
                <c:pt idx="0">
                  <c:v>147.48</c:v>
                </c:pt>
                <c:pt idx="1">
                  <c:v>169.47</c:v>
                </c:pt>
              </c:numCache>
            </c:numRef>
          </c:val>
        </c:ser>
        <c:dLbls>
          <c:showLegendKey val="false"/>
          <c:showVal val="false"/>
          <c:showCatName val="false"/>
          <c:showSerName val="false"/>
          <c:showPercent val="false"/>
          <c:showBubbleSize val="false"/>
        </c:dLbls>
        <c:gapWidth val="219"/>
        <c:overlap val="-27"/>
        <c:axId val="675629232"/>
        <c:axId val="608450320"/>
      </c:barChart>
      <c:catAx>
        <c:axId val="67562923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8450320"/>
        <c:crosses val="autoZero"/>
        <c:auto val="true"/>
        <c:lblAlgn val="ctr"/>
        <c:lblOffset val="100"/>
        <c:noMultiLvlLbl val="false"/>
      </c:catAx>
      <c:valAx>
        <c:axId val="608450320"/>
        <c:scaling>
          <c:orientation val="minMax"/>
          <c:min val="0"/>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5629232"/>
        <c:crosses val="autoZero"/>
        <c:crossBetween val="between"/>
        <c:majorUnit val="50"/>
      </c:valAx>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07007646985082"/>
          <c:y val="0.0730799893701834"/>
          <c:w val="0.400651874138147"/>
          <c:h val="0.849322349189476"/>
        </c:manualLayout>
      </c:layout>
      <c:pieChart>
        <c:varyColors val="true"/>
        <c:ser>
          <c:idx val="0"/>
          <c:order val="0"/>
          <c:spPr>
            <a:ln>
              <a:noFill/>
            </a:ln>
          </c:spPr>
          <c:explosion val="0"/>
          <c:dPt>
            <c:idx val="0"/>
            <c:bubble3D val="false"/>
            <c:spPr>
              <a:solidFill>
                <a:schemeClr val="accent1"/>
              </a:solidFill>
              <a:ln w="19050">
                <a:noFill/>
              </a:ln>
              <a:effectLst/>
            </c:spPr>
          </c:dPt>
          <c:dPt>
            <c:idx val="1"/>
            <c:bubble3D val="false"/>
            <c:spPr>
              <a:solidFill>
                <a:schemeClr val="accent2"/>
              </a:solidFill>
              <a:ln w="19050">
                <a:noFill/>
              </a:ln>
              <a:effectLst/>
            </c:spPr>
          </c:dPt>
          <c:dPt>
            <c:idx val="2"/>
            <c:bubble3D val="false"/>
            <c:spPr>
              <a:solidFill>
                <a:schemeClr val="accent3"/>
              </a:solidFill>
              <a:ln w="19050">
                <a:noFill/>
              </a:ln>
              <a:effectLst/>
            </c:spPr>
          </c:dPt>
          <c:dPt>
            <c:idx val="3"/>
            <c:bubble3D val="false"/>
            <c:spPr>
              <a:solidFill>
                <a:schemeClr val="accent4"/>
              </a:solidFill>
              <a:ln w="19050">
                <a:noFill/>
              </a:ln>
              <a:effectLst/>
            </c:spPr>
          </c:dPt>
          <c:dLbls>
            <c:dLbl>
              <c:idx val="0"/>
              <c:layout>
                <c:manualLayout>
                  <c:x val="0.04375"/>
                  <c:y val="0.046116033020332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一般公共服务支出</a:t>
                    </a:r>
                    <a:endPar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73.9</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12283569469039"/>
                  <c:y val="0.155275969645794"/>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92750146372075"/>
                  <c:y val="0.060087551873827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卫生健康支出4.70%</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947734521734421"/>
                  <c:y val="-0.0646643062370069"/>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[决算说明图表.xls]图6!$A$2:$A$5</c:f>
              <c:strCache>
                <c:ptCount val="4"/>
                <c:pt idx="0">
                  <c:v>一般公共服务（类）支出</c:v>
                </c:pt>
                <c:pt idx="1">
                  <c:v>社会保障和就业支出</c:v>
                </c:pt>
                <c:pt idx="2">
                  <c:v>卫生健康支出支出</c:v>
                </c:pt>
                <c:pt idx="3">
                  <c:v>住房保障支出</c:v>
                </c:pt>
              </c:strCache>
            </c:strRef>
          </c:cat>
          <c:val>
            <c:numRef>
              <c:f>[决算说明图表.xls]图6!$B$2:$B$5</c:f>
              <c:numCache>
                <c:formatCode>General</c:formatCode>
                <c:ptCount val="4"/>
                <c:pt idx="0">
                  <c:v>125.24</c:v>
                </c:pt>
                <c:pt idx="1">
                  <c:v>15.04</c:v>
                </c:pt>
                <c:pt idx="2">
                  <c:v>7.97</c:v>
                </c:pt>
                <c:pt idx="3">
                  <c:v>21.22</c:v>
                </c:pt>
              </c:numCache>
            </c:numRef>
          </c:val>
        </c:ser>
        <c:ser>
          <c:idx val="1"/>
          <c:order val="1"/>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[决算说明图表.xls]图6!$A$2:$A$5</c:f>
              <c:strCache>
                <c:ptCount val="4"/>
                <c:pt idx="0">
                  <c:v>一般公共服务（类）支出</c:v>
                </c:pt>
                <c:pt idx="1">
                  <c:v>社会保障和就业支出</c:v>
                </c:pt>
                <c:pt idx="2">
                  <c:v>卫生健康支出支出</c:v>
                </c:pt>
                <c:pt idx="3">
                  <c:v>住房保障支出</c:v>
                </c:pt>
              </c:strCache>
            </c:strRef>
          </c:cat>
          <c:val>
            <c:numRef>
              <c:f>[决算说明图表.xls]图6!$C$2:$C$5</c:f>
              <c:numCache>
                <c:formatCode>0.00%</c:formatCode>
                <c:ptCount val="4"/>
                <c:pt idx="0">
                  <c:v>0.7391</c:v>
                </c:pt>
                <c:pt idx="1">
                  <c:v>0.0887</c:v>
                </c:pt>
                <c:pt idx="2">
                  <c:v>0.047</c:v>
                </c:pt>
                <c:pt idx="3">
                  <c:v>0.1252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noFill/>
      <a:prstDash val="solid"/>
      <a:round/>
    </a:ln>
    <a:effectLst/>
  </c:spPr>
  <c:txPr>
    <a:bodyPr wrap="square"/>
    <a:lstStyle/>
    <a:p>
      <a:pPr>
        <a:defRPr lang="zh-CN"/>
      </a:pPr>
    </a:p>
  </c:txPr>
  <c:externalData r:id="rId1">
    <c:autoUpdate val="false"/>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93bc8a6-5926-49c4-8bb9-4392b000b0b9}"/>
        <w:style w:val=""/>
        <w:category>
          <w:name w:val="常规"/>
          <w:gallery w:val="placeholder"/>
        </w:category>
        <w:types>
          <w:type w:val="bbPlcHdr"/>
        </w:types>
        <w:behaviors>
          <w:behavior w:val="content"/>
        </w:behaviors>
        <w:description w:val=""/>
        <w:guid w:val="{293bc8a6-5926-49c4-8bb9-4392b000b0b9}"/>
      </w:docPartPr>
      <w:docPartBody>
        <w:p>
          <w:r>
            <w:rPr>
              <w:color w:val="808080"/>
            </w:rPr>
            <w:t>单击此处输入文字。</w:t>
          </w:r>
        </w:p>
      </w:docPartBody>
    </w:docPart>
    <w:docPart>
      <w:docPartPr>
        <w:name w:val="{5b7a1bfe-3934-4932-93b8-5bdaf0b9b717}"/>
        <w:style w:val=""/>
        <w:category>
          <w:name w:val="常规"/>
          <w:gallery w:val="placeholder"/>
        </w:category>
        <w:types>
          <w:type w:val="bbPlcHdr"/>
        </w:types>
        <w:behaviors>
          <w:behavior w:val="content"/>
        </w:behaviors>
        <w:description w:val=""/>
        <w:guid w:val="{5b7a1bfe-3934-4932-93b8-5bdaf0b9b717}"/>
      </w:docPartPr>
      <w:docPartBody>
        <w:p>
          <w:r>
            <w:rPr>
              <w:color w:val="808080"/>
            </w:rPr>
            <w:t>单击此处输入文字。</w:t>
          </w:r>
        </w:p>
      </w:docPartBody>
    </w:docPart>
    <w:docPart>
      <w:docPartPr>
        <w:name w:val="{744aafbf-0b3c-4eba-8aca-d1c5cb7d726f}"/>
        <w:style w:val=""/>
        <w:category>
          <w:name w:val="常规"/>
          <w:gallery w:val="placeholder"/>
        </w:category>
        <w:types>
          <w:type w:val="bbPlcHdr"/>
        </w:types>
        <w:behaviors>
          <w:behavior w:val="content"/>
        </w:behaviors>
        <w:description w:val=""/>
        <w:guid w:val="{744aafbf-0b3c-4eba-8aca-d1c5cb7d726f}"/>
      </w:docPartPr>
      <w:docPartBody>
        <w:p>
          <w:r>
            <w:rPr>
              <w:color w:val="808080"/>
            </w:rPr>
            <w:t>单击此处输入文字。</w:t>
          </w:r>
        </w:p>
      </w:docPartBody>
    </w:docPart>
    <w:docPart>
      <w:docPartPr>
        <w:name w:val="{ce6cb48e-7b10-4300-9c5f-362d9427a022}"/>
        <w:style w:val=""/>
        <w:category>
          <w:name w:val="常规"/>
          <w:gallery w:val="placeholder"/>
        </w:category>
        <w:types>
          <w:type w:val="bbPlcHdr"/>
        </w:types>
        <w:behaviors>
          <w:behavior w:val="content"/>
        </w:behaviors>
        <w:description w:val=""/>
        <w:guid w:val="{ce6cb48e-7b10-4300-9c5f-362d9427a022}"/>
      </w:docPartPr>
      <w:docPartBody>
        <w:p>
          <w:r>
            <w:rPr>
              <w:color w:val="808080"/>
            </w:rPr>
            <w:t>单击此处输入文字。</w:t>
          </w:r>
        </w:p>
      </w:docPartBody>
    </w:docPart>
    <w:docPart>
      <w:docPartPr>
        <w:name w:val="{0321a8da-8457-40ef-aa94-5fa464a69139}"/>
        <w:style w:val=""/>
        <w:category>
          <w:name w:val="常规"/>
          <w:gallery w:val="placeholder"/>
        </w:category>
        <w:types>
          <w:type w:val="bbPlcHdr"/>
        </w:types>
        <w:behaviors>
          <w:behavior w:val="content"/>
        </w:behaviors>
        <w:description w:val=""/>
        <w:guid w:val="{0321a8da-8457-40ef-aa94-5fa464a69139}"/>
      </w:docPartPr>
      <w:docPartBody>
        <w:p>
          <w:r>
            <w:rPr>
              <w:color w:val="808080"/>
            </w:rPr>
            <w:t>单击此处输入文字。</w:t>
          </w:r>
        </w:p>
      </w:docPartBody>
    </w:docPart>
    <w:docPart>
      <w:docPartPr>
        <w:name w:val="{60165003-4194-4686-87b5-3360d06b176f}"/>
        <w:style w:val=""/>
        <w:category>
          <w:name w:val="常规"/>
          <w:gallery w:val="placeholder"/>
        </w:category>
        <w:types>
          <w:type w:val="bbPlcHdr"/>
        </w:types>
        <w:behaviors>
          <w:behavior w:val="content"/>
        </w:behaviors>
        <w:description w:val=""/>
        <w:guid w:val="{60165003-4194-4686-87b5-3360d06b176f}"/>
      </w:docPartPr>
      <w:docPartBody>
        <w:p>
          <w:r>
            <w:rPr>
              <w:color w:val="808080"/>
            </w:rPr>
            <w:t>单击此处输入文字。</w:t>
          </w:r>
        </w:p>
      </w:docPartBody>
    </w:docPart>
    <w:docPart>
      <w:docPartPr>
        <w:name w:val="{40365fd9-7b77-44ef-9813-4eb27f3313f4}"/>
        <w:style w:val=""/>
        <w:category>
          <w:name w:val="常规"/>
          <w:gallery w:val="placeholder"/>
        </w:category>
        <w:types>
          <w:type w:val="bbPlcHdr"/>
        </w:types>
        <w:behaviors>
          <w:behavior w:val="content"/>
        </w:behaviors>
        <w:description w:val=""/>
        <w:guid w:val="{40365fd9-7b77-44ef-9813-4eb27f3313f4}"/>
      </w:docPartPr>
      <w:docPartBody>
        <w:p>
          <w:r>
            <w:rPr>
              <w:color w:val="808080"/>
            </w:rPr>
            <w:t>单击此处输入文字。</w:t>
          </w:r>
        </w:p>
      </w:docPartBody>
    </w:docPart>
    <w:docPart>
      <w:docPartPr>
        <w:name w:val="{4c00c282-7579-4ddc-a188-8eb30b308c15}"/>
        <w:style w:val=""/>
        <w:category>
          <w:name w:val="常规"/>
          <w:gallery w:val="placeholder"/>
        </w:category>
        <w:types>
          <w:type w:val="bbPlcHdr"/>
        </w:types>
        <w:behaviors>
          <w:behavior w:val="content"/>
        </w:behaviors>
        <w:description w:val=""/>
        <w:guid w:val="{4c00c282-7579-4ddc-a188-8eb30b308c15}"/>
      </w:docPartPr>
      <w:docPartBody>
        <w:p>
          <w:r>
            <w:rPr>
              <w:color w:val="808080"/>
            </w:rPr>
            <w:t>单击此处输入文字。</w:t>
          </w:r>
        </w:p>
      </w:docPartBody>
    </w:docPart>
    <w:docPart>
      <w:docPartPr>
        <w:name w:val="{6e86a650-45f2-459f-9921-0537fc645489}"/>
        <w:style w:val=""/>
        <w:category>
          <w:name w:val="常规"/>
          <w:gallery w:val="placeholder"/>
        </w:category>
        <w:types>
          <w:type w:val="bbPlcHdr"/>
        </w:types>
        <w:behaviors>
          <w:behavior w:val="content"/>
        </w:behaviors>
        <w:description w:val=""/>
        <w:guid w:val="{6e86a650-45f2-459f-9921-0537fc645489}"/>
      </w:docPartPr>
      <w:docPartBody>
        <w:p>
          <w:r>
            <w:rPr>
              <w:color w:val="808080"/>
            </w:rPr>
            <w:t>单击此处输入文字。</w:t>
          </w:r>
        </w:p>
      </w:docPartBody>
    </w:docPart>
    <w:docPart>
      <w:docPartPr>
        <w:name w:val="{a3a62715-03ca-4a26-a23b-f208aa6a9767}"/>
        <w:style w:val=""/>
        <w:category>
          <w:name w:val="常规"/>
          <w:gallery w:val="placeholder"/>
        </w:category>
        <w:types>
          <w:type w:val="bbPlcHdr"/>
        </w:types>
        <w:behaviors>
          <w:behavior w:val="content"/>
        </w:behaviors>
        <w:description w:val=""/>
        <w:guid w:val="{a3a62715-03ca-4a26-a23b-f208aa6a9767}"/>
      </w:docPartPr>
      <w:docPartBody>
        <w:p>
          <w:r>
            <w:rPr>
              <w:color w:val="808080"/>
            </w:rPr>
            <w:t>单击此处输入文字。</w:t>
          </w:r>
        </w:p>
      </w:docPartBody>
    </w:docPart>
    <w:docPart>
      <w:docPartPr>
        <w:name w:val="{acf0618f-2d35-4337-9e3a-47101e3618b2}"/>
        <w:style w:val=""/>
        <w:category>
          <w:name w:val="常规"/>
          <w:gallery w:val="placeholder"/>
        </w:category>
        <w:types>
          <w:type w:val="bbPlcHdr"/>
        </w:types>
        <w:behaviors>
          <w:behavior w:val="content"/>
        </w:behaviors>
        <w:description w:val=""/>
        <w:guid w:val="{acf0618f-2d35-4337-9e3a-47101e3618b2}"/>
      </w:docPartPr>
      <w:docPartBody>
        <w:p>
          <w:r>
            <w:rPr>
              <w:color w:val="808080"/>
            </w:rPr>
            <w:t>单击此处输入文字。</w:t>
          </w:r>
        </w:p>
      </w:docPartBody>
    </w:docPart>
    <w:docPart>
      <w:docPartPr>
        <w:name w:val="{c9f2bef3-cf3a-4475-844f-7a8f7d126fc1}"/>
        <w:style w:val=""/>
        <w:category>
          <w:name w:val="常规"/>
          <w:gallery w:val="placeholder"/>
        </w:category>
        <w:types>
          <w:type w:val="bbPlcHdr"/>
        </w:types>
        <w:behaviors>
          <w:behavior w:val="content"/>
        </w:behaviors>
        <w:description w:val=""/>
        <w:guid w:val="{c9f2bef3-cf3a-4475-844f-7a8f7d126fc1}"/>
      </w:docPartPr>
      <w:docPartBody>
        <w:p>
          <w:r>
            <w:rPr>
              <w:color w:val="808080"/>
            </w:rPr>
            <w:t>单击此处输入文字。</w:t>
          </w:r>
        </w:p>
      </w:docPartBody>
    </w:docPart>
    <w:docPart>
      <w:docPartPr>
        <w:name w:val="{0247d4ef-8a35-4e3c-9676-ce840c96700d}"/>
        <w:style w:val=""/>
        <w:category>
          <w:name w:val="常规"/>
          <w:gallery w:val="placeholder"/>
        </w:category>
        <w:types>
          <w:type w:val="bbPlcHdr"/>
        </w:types>
        <w:behaviors>
          <w:behavior w:val="content"/>
        </w:behaviors>
        <w:description w:val=""/>
        <w:guid w:val="{0247d4ef-8a35-4e3c-9676-ce840c96700d}"/>
      </w:docPartPr>
      <w:docPartBody>
        <w:p>
          <w:r>
            <w:rPr>
              <w:color w:val="808080"/>
            </w:rPr>
            <w:t>单击此处输入文字。</w:t>
          </w:r>
        </w:p>
      </w:docPartBody>
    </w:docPart>
    <w:docPart>
      <w:docPartPr>
        <w:name w:val="{ea0d0f83-e628-4899-9ce9-6a2e976caa8b}"/>
        <w:style w:val=""/>
        <w:category>
          <w:name w:val="常规"/>
          <w:gallery w:val="placeholder"/>
        </w:category>
        <w:types>
          <w:type w:val="bbPlcHdr"/>
        </w:types>
        <w:behaviors>
          <w:behavior w:val="content"/>
        </w:behaviors>
        <w:description w:val=""/>
        <w:guid w:val="{ea0d0f83-e628-4899-9ce9-6a2e976caa8b}"/>
      </w:docPartPr>
      <w:docPartBody>
        <w:p>
          <w:r>
            <w:rPr>
              <w:color w:val="808080"/>
            </w:rPr>
            <w:t>单击此处输入文字。</w:t>
          </w:r>
        </w:p>
      </w:docPartBody>
    </w:docPart>
    <w:docPart>
      <w:docPartPr>
        <w:name w:val="{68c0d35d-1995-4296-bf24-145a210c28b3}"/>
        <w:style w:val=""/>
        <w:category>
          <w:name w:val="常规"/>
          <w:gallery w:val="placeholder"/>
        </w:category>
        <w:types>
          <w:type w:val="bbPlcHdr"/>
        </w:types>
        <w:behaviors>
          <w:behavior w:val="content"/>
        </w:behaviors>
        <w:description w:val=""/>
        <w:guid w:val="{68c0d35d-1995-4296-bf24-145a210c28b3}"/>
      </w:docPartPr>
      <w:docPartBody>
        <w:p>
          <w:r>
            <w:rPr>
              <w:color w:val="808080"/>
            </w:rPr>
            <w:t>单击此处输入文字。</w:t>
          </w:r>
        </w:p>
      </w:docPartBody>
    </w:docPart>
    <w:docPart>
      <w:docPartPr>
        <w:name w:val="{27c84549-b289-4b62-baab-143bd12c20da}"/>
        <w:style w:val=""/>
        <w:category>
          <w:name w:val="常规"/>
          <w:gallery w:val="placeholder"/>
        </w:category>
        <w:types>
          <w:type w:val="bbPlcHdr"/>
        </w:types>
        <w:behaviors>
          <w:behavior w:val="content"/>
        </w:behaviors>
        <w:description w:val=""/>
        <w:guid w:val="{27c84549-b289-4b62-baab-143bd12c20da}"/>
      </w:docPartPr>
      <w:docPartBody>
        <w:p>
          <w:r>
            <w:rPr>
              <w:color w:val="808080"/>
            </w:rPr>
            <w:t>单击此处输入文字。</w:t>
          </w:r>
        </w:p>
      </w:docPartBody>
    </w:docPart>
    <w:docPart>
      <w:docPartPr>
        <w:name w:val="{6b69b69b-2984-4f23-864a-a46d52ad1094}"/>
        <w:style w:val=""/>
        <w:category>
          <w:name w:val="常规"/>
          <w:gallery w:val="placeholder"/>
        </w:category>
        <w:types>
          <w:type w:val="bbPlcHdr"/>
        </w:types>
        <w:behaviors>
          <w:behavior w:val="content"/>
        </w:behaviors>
        <w:description w:val=""/>
        <w:guid w:val="{6b69b69b-2984-4f23-864a-a46d52ad1094}"/>
      </w:docPartPr>
      <w:docPartBody>
        <w:p>
          <w:r>
            <w:rPr>
              <w:color w:val="808080"/>
            </w:rPr>
            <w:t>单击此处输入文字。</w:t>
          </w:r>
        </w:p>
      </w:docPartBody>
    </w:docPart>
    <w:docPart>
      <w:docPartPr>
        <w:name w:val="{6a12ff3a-fa1e-490b-99f1-e0ab0ae83fb6}"/>
        <w:style w:val=""/>
        <w:category>
          <w:name w:val="常规"/>
          <w:gallery w:val="placeholder"/>
        </w:category>
        <w:types>
          <w:type w:val="bbPlcHdr"/>
        </w:types>
        <w:behaviors>
          <w:behavior w:val="content"/>
        </w:behaviors>
        <w:description w:val=""/>
        <w:guid w:val="{6a12ff3a-fa1e-490b-99f1-e0ab0ae83fb6}"/>
      </w:docPartPr>
      <w:docPartBody>
        <w:p>
          <w:r>
            <w:rPr>
              <w:color w:val="808080"/>
            </w:rPr>
            <w:t>单击此处输入文字。</w:t>
          </w:r>
        </w:p>
      </w:docPartBody>
    </w:docPart>
    <w:docPart>
      <w:docPartPr>
        <w:name w:val="{68a009d3-80ed-4a60-a1ff-71d014ece93a}"/>
        <w:style w:val=""/>
        <w:category>
          <w:name w:val="常规"/>
          <w:gallery w:val="placeholder"/>
        </w:category>
        <w:types>
          <w:type w:val="bbPlcHdr"/>
        </w:types>
        <w:behaviors>
          <w:behavior w:val="content"/>
        </w:behaviors>
        <w:description w:val=""/>
        <w:guid w:val="{68a009d3-80ed-4a60-a1ff-71d014ece93a}"/>
      </w:docPartPr>
      <w:docPartBody>
        <w:p>
          <w:r>
            <w:rPr>
              <w:color w:val="808080"/>
            </w:rPr>
            <w:t>单击此处输入文字。</w:t>
          </w:r>
        </w:p>
      </w:docPartBody>
    </w:docPart>
    <w:docPart>
      <w:docPartPr>
        <w:name w:val="{82a58e81-7b63-44a4-935d-19fb47c02fa1}"/>
        <w:style w:val=""/>
        <w:category>
          <w:name w:val="常规"/>
          <w:gallery w:val="placeholder"/>
        </w:category>
        <w:types>
          <w:type w:val="bbPlcHdr"/>
        </w:types>
        <w:behaviors>
          <w:behavior w:val="content"/>
        </w:behaviors>
        <w:description w:val=""/>
        <w:guid w:val="{82a58e81-7b63-44a4-935d-19fb47c02fa1}"/>
      </w:docPartPr>
      <w:docPartBody>
        <w:p>
          <w:r>
            <w:rPr>
              <w:color w:val="808080"/>
            </w:rPr>
            <w:t>单击此处输入文字。</w:t>
          </w:r>
        </w:p>
      </w:docPartBody>
    </w:docPart>
    <w:docPart>
      <w:docPartPr>
        <w:name w:val="{5add6402-1001-4c4c-9986-81f5c313fa99}"/>
        <w:style w:val=""/>
        <w:category>
          <w:name w:val="常规"/>
          <w:gallery w:val="placeholder"/>
        </w:category>
        <w:types>
          <w:type w:val="bbPlcHdr"/>
        </w:types>
        <w:behaviors>
          <w:behavior w:val="content"/>
        </w:behaviors>
        <w:description w:val=""/>
        <w:guid w:val="{5add6402-1001-4c4c-9986-81f5c313fa99}"/>
      </w:docPartPr>
      <w:docPartBody>
        <w:p>
          <w:r>
            <w:rPr>
              <w:color w:val="808080"/>
            </w:rPr>
            <w:t>单击此处输入文字。</w:t>
          </w:r>
        </w:p>
      </w:docPartBody>
    </w:docPart>
    <w:docPart>
      <w:docPartPr>
        <w:name w:val="{f83586e8-7da5-4582-baf3-661c4179697a}"/>
        <w:style w:val=""/>
        <w:category>
          <w:name w:val="常规"/>
          <w:gallery w:val="placeholder"/>
        </w:category>
        <w:types>
          <w:type w:val="bbPlcHdr"/>
        </w:types>
        <w:behaviors>
          <w:behavior w:val="content"/>
        </w:behaviors>
        <w:description w:val=""/>
        <w:guid w:val="{f83586e8-7da5-4582-baf3-661c4179697a}"/>
      </w:docPartPr>
      <w:docPartBody>
        <w:p>
          <w:r>
            <w:rPr>
              <w:color w:val="808080"/>
            </w:rPr>
            <w:t>单击此处输入文字。</w:t>
          </w:r>
        </w:p>
      </w:docPartBody>
    </w:docPart>
    <w:docPart>
      <w:docPartPr>
        <w:name w:val="{5cb1aff6-580e-49df-88d2-f50bb2d96867}"/>
        <w:style w:val=""/>
        <w:category>
          <w:name w:val="常规"/>
          <w:gallery w:val="placeholder"/>
        </w:category>
        <w:types>
          <w:type w:val="bbPlcHdr"/>
        </w:types>
        <w:behaviors>
          <w:behavior w:val="content"/>
        </w:behaviors>
        <w:description w:val=""/>
        <w:guid w:val="{5cb1aff6-580e-49df-88d2-f50bb2d96867}"/>
      </w:docPartPr>
      <w:docPartBody>
        <w:p>
          <w:r>
            <w:rPr>
              <w:color w:val="808080"/>
            </w:rPr>
            <w:t>单击此处输入文字。</w:t>
          </w:r>
        </w:p>
      </w:docPartBody>
    </w:docPart>
    <w:docPart>
      <w:docPartPr>
        <w:name w:val="{2a815845-ed08-4ef1-b6ad-e1c489b4061f}"/>
        <w:style w:val=""/>
        <w:category>
          <w:name w:val="常规"/>
          <w:gallery w:val="placeholder"/>
        </w:category>
        <w:types>
          <w:type w:val="bbPlcHdr"/>
        </w:types>
        <w:behaviors>
          <w:behavior w:val="content"/>
        </w:behaviors>
        <w:description w:val=""/>
        <w:guid w:val="{2a815845-ed08-4ef1-b6ad-e1c489b4061f}"/>
      </w:docPartPr>
      <w:docPartBody>
        <w:p>
          <w:r>
            <w:rPr>
              <w:color w:val="808080"/>
            </w:rPr>
            <w:t>单击此处输入文字。</w:t>
          </w:r>
        </w:p>
      </w:docPartBody>
    </w:docPart>
    <w:docPart>
      <w:docPartPr>
        <w:name w:val="{90a0c90c-ddd5-4f72-9dac-d902d5a80142}"/>
        <w:style w:val=""/>
        <w:category>
          <w:name w:val="常规"/>
          <w:gallery w:val="placeholder"/>
        </w:category>
        <w:types>
          <w:type w:val="bbPlcHdr"/>
        </w:types>
        <w:behaviors>
          <w:behavior w:val="content"/>
        </w:behaviors>
        <w:description w:val=""/>
        <w:guid w:val="{90a0c90c-ddd5-4f72-9dac-d902d5a80142}"/>
      </w:docPartPr>
      <w:docPartBody>
        <w:p>
          <w:r>
            <w:rPr>
              <w:color w:val="808080"/>
            </w:rPr>
            <w:t>单击此处输入文字。</w:t>
          </w:r>
        </w:p>
      </w:docPartBody>
    </w:docPart>
    <w:docPart>
      <w:docPartPr>
        <w:name w:val="{9a364d22-992f-4164-ad1a-195a011093b0}"/>
        <w:style w:val=""/>
        <w:category>
          <w:name w:val="常规"/>
          <w:gallery w:val="placeholder"/>
        </w:category>
        <w:types>
          <w:type w:val="bbPlcHdr"/>
        </w:types>
        <w:behaviors>
          <w:behavior w:val="content"/>
        </w:behaviors>
        <w:description w:val=""/>
        <w:guid w:val="{9a364d22-992f-4164-ad1a-195a011093b0}"/>
      </w:docPartPr>
      <w:docPartBody>
        <w:p>
          <w:r>
            <w:rPr>
              <w:color w:val="808080"/>
            </w:rPr>
            <w:t>单击此处输入文字。</w:t>
          </w:r>
        </w:p>
      </w:docPartBody>
    </w:docPart>
    <w:docPart>
      <w:docPartPr>
        <w:name w:val="{a23152cb-5de5-4858-a669-a434fb7d2569}"/>
        <w:style w:val=""/>
        <w:category>
          <w:name w:val="常规"/>
          <w:gallery w:val="placeholder"/>
        </w:category>
        <w:types>
          <w:type w:val="bbPlcHdr"/>
        </w:types>
        <w:behaviors>
          <w:behavior w:val="content"/>
        </w:behaviors>
        <w:description w:val=""/>
        <w:guid w:val="{a23152cb-5de5-4858-a669-a434fb7d2569}"/>
      </w:docPartPr>
      <w:docPartBody>
        <w:p>
          <w:r>
            <w:rPr>
              <w:color w:val="808080"/>
            </w:rPr>
            <w:t>单击此处输入文字。</w:t>
          </w:r>
        </w:p>
      </w:docPartBody>
    </w:docPart>
    <w:docPart>
      <w:docPartPr>
        <w:name w:val="{12c61076-12ac-4aa0-8095-e2dc0b707f75}"/>
        <w:style w:val=""/>
        <w:category>
          <w:name w:val="常规"/>
          <w:gallery w:val="placeholder"/>
        </w:category>
        <w:types>
          <w:type w:val="bbPlcHdr"/>
        </w:types>
        <w:behaviors>
          <w:behavior w:val="content"/>
        </w:behaviors>
        <w:description w:val=""/>
        <w:guid w:val="{12c61076-12ac-4aa0-8095-e2dc0b707f75}"/>
      </w:docPartPr>
      <w:docPartBody>
        <w:p>
          <w:r>
            <w:rPr>
              <w:color w:val="808080"/>
            </w:rPr>
            <w:t>单击此处输入文字。</w:t>
          </w:r>
        </w:p>
      </w:docPartBody>
    </w:docPart>
    <w:docPart>
      <w:docPartPr>
        <w:name w:val="{ffd644ca-153b-4475-9996-afd319175764}"/>
        <w:style w:val=""/>
        <w:category>
          <w:name w:val="常规"/>
          <w:gallery w:val="placeholder"/>
        </w:category>
        <w:types>
          <w:type w:val="bbPlcHdr"/>
        </w:types>
        <w:behaviors>
          <w:behavior w:val="content"/>
        </w:behaviors>
        <w:description w:val=""/>
        <w:guid w:val="{ffd644ca-153b-4475-9996-afd319175764}"/>
      </w:docPartPr>
      <w:docPartBody>
        <w:p>
          <w:r>
            <w:rPr>
              <w:color w:val="808080"/>
            </w:rPr>
            <w:t>单击此处输入文字。</w:t>
          </w:r>
        </w:p>
      </w:docPartBody>
    </w:docPart>
    <w:docPart>
      <w:docPartPr>
        <w:name w:val="{43a6bffd-0e2d-4712-bc9e-f26ae17b2de2}"/>
        <w:style w:val=""/>
        <w:category>
          <w:name w:val="常规"/>
          <w:gallery w:val="placeholder"/>
        </w:category>
        <w:types>
          <w:type w:val="bbPlcHdr"/>
        </w:types>
        <w:behaviors>
          <w:behavior w:val="content"/>
        </w:behaviors>
        <w:description w:val=""/>
        <w:guid w:val="{43a6bffd-0e2d-4712-bc9e-f26ae17b2de2}"/>
      </w:docPartPr>
      <w:docPartBody>
        <w:p>
          <w:r>
            <w:rPr>
              <w:color w:val="808080"/>
            </w:rPr>
            <w:t>单击此处输入文字。</w:t>
          </w:r>
        </w:p>
      </w:docPartBody>
    </w:docPart>
    <w:docPart>
      <w:docPartPr>
        <w:name w:val="{593b16c0-413a-4c93-9996-14fe0ee291f3}"/>
        <w:style w:val=""/>
        <w:category>
          <w:name w:val="常规"/>
          <w:gallery w:val="placeholder"/>
        </w:category>
        <w:types>
          <w:type w:val="bbPlcHdr"/>
        </w:types>
        <w:behaviors>
          <w:behavior w:val="content"/>
        </w:behaviors>
        <w:description w:val=""/>
        <w:guid w:val="{593b16c0-413a-4c93-9996-14fe0ee291f3}"/>
      </w:docPartPr>
      <w:docPartBody>
        <w:p>
          <w:r>
            <w:rPr>
              <w:color w:val="808080"/>
            </w:rPr>
            <w:t>单击此处输入文字。</w:t>
          </w:r>
        </w:p>
      </w:docPartBody>
    </w:docPart>
    <w:docPart>
      <w:docPartPr>
        <w:name w:val="{a85aee7c-4009-442d-97a6-b894e43f482d}"/>
        <w:style w:val=""/>
        <w:category>
          <w:name w:val="常规"/>
          <w:gallery w:val="placeholder"/>
        </w:category>
        <w:types>
          <w:type w:val="bbPlcHdr"/>
        </w:types>
        <w:behaviors>
          <w:behavior w:val="content"/>
        </w:behaviors>
        <w:description w:val=""/>
        <w:guid w:val="{a85aee7c-4009-442d-97a6-b894e43f482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characterSpacingControl w:val="doNotCompress"/>
  <w:compat>
    <w:useFELayout/>
    <w:splitPgBreakAndParaMark/>
    <w:compatSetting w:name="compatibilityMode" w:uri="http://schemas.microsoft.com/office/word" w:val="15"/>
  </w:compat>
  <w:rsids>
    <w:rsidRoot w:val="00FC4FEF"/>
    <w:rsid w:val="00F86C34"/>
    <w:rsid w:val="00FC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13</Pages>
  <Words>822</Words>
  <Characters>4689</Characters>
  <Lines>39</Lines>
  <Paragraphs>10</Paragraphs>
  <TotalTime>3</TotalTime>
  <ScaleCrop>false</ScaleCrop>
  <LinksUpToDate>false</LinksUpToDate>
  <CharactersWithSpaces>5501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2021-09-03T19:42:00Z</dcterms:created>
  <dc:creator>曹颖</dc:creator>
  <cp:lastModifiedBy>子悠</cp:lastModifiedBy>
  <cp:lastPrinted>2022-11-14T18:02:00Z</cp:lastPrinted>
  <dcterms:modified xsi:type="dcterms:W3CDTF">2022-11-14T10:29:17Z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