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425"/>
      <w:bookmarkStart w:id="2" w:name="_Toc15396475"/>
      <w:bookmarkStart w:id="3" w:name="_Toc15378441"/>
      <w:bookmarkStart w:id="4" w:name="_Toc15396597"/>
      <w:bookmarkStart w:id="5" w:name="_Toc15377193"/>
      <w:r>
        <w:rPr>
          <w:rFonts w:hint="eastAsia" w:ascii="方正小标宋简体" w:hAnsi="黑体" w:eastAsia="方正小标宋简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8442"/>
      <w:bookmarkStart w:id="7" w:name="_Toc15377426"/>
      <w:bookmarkStart w:id="8" w:name="_Toc15377194"/>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财政科学研究所</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单位决算</w:t>
      </w:r>
      <w:bookmarkEnd w:id="6"/>
      <w:bookmarkEnd w:id="7"/>
      <w:bookmarkEnd w:id="8"/>
      <w:bookmarkEnd w:id="9"/>
      <w:bookmarkEnd w:id="10"/>
      <w:bookmarkEnd w:id="11"/>
    </w:p>
    <w:p>
      <w:pPr>
        <w:widowControl/>
        <w:jc w:val="center"/>
        <w:rPr>
          <w:rFonts w:ascii="仿宋_GB2312" w:hAnsi="仿宋_GB2312" w:eastAsia="仿宋_GB2312" w:cs="仿宋_GB2312"/>
          <w:b/>
          <w:bCs/>
          <w:sz w:val="32"/>
          <w:szCs w:val="32"/>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sdt>
      <w:sdtPr>
        <w:rPr>
          <w:rFonts w:ascii="Times New Roman" w:hAnsi="Times New Roman" w:eastAsia="宋体" w:cs="Times New Roman"/>
          <w:b w:val="0"/>
          <w:bCs w:val="0"/>
          <w:color w:val="auto"/>
          <w:kern w:val="2"/>
          <w:sz w:val="21"/>
          <w:szCs w:val="24"/>
          <w:lang w:val="zh-CN"/>
        </w:rPr>
        <w:id w:val="650259928"/>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2"/>
          </w:pPr>
        </w:p>
        <w:p>
          <w:r>
            <w:rPr>
              <w:rFonts w:hint="eastAsia" w:ascii="仿宋_GB2312" w:hAnsi="仿宋_GB2312" w:eastAsia="仿宋_GB2312" w:cs="仿宋_GB2312"/>
              <w:b/>
              <w:bCs/>
              <w:sz w:val="32"/>
              <w:szCs w:val="32"/>
            </w:rPr>
            <w:t>第一部分 单位概况</w:t>
          </w:r>
          <w:r>
            <w:t xml:space="preserve"> </w:t>
          </w:r>
          <w:r>
            <w:ptab w:relativeTo="margin" w:alignment="right" w:leader="dot"/>
          </w:r>
          <w:r>
            <w:rPr>
              <w:rFonts w:hint="eastAsia"/>
            </w:rPr>
            <w:t>4</w:t>
          </w:r>
        </w:p>
        <w:p>
          <w:pPr>
            <w:ind w:firstLine="470" w:firstLineChars="147"/>
            <w:rPr>
              <w:lang w:val="zh-CN"/>
            </w:rPr>
          </w:pPr>
          <w:r>
            <w:rPr>
              <w:rFonts w:hint="eastAsia" w:ascii="仿宋_GB2312" w:hAnsi="仿宋_GB2312" w:eastAsia="仿宋_GB2312" w:cs="仿宋_GB2312"/>
              <w:sz w:val="32"/>
              <w:szCs w:val="32"/>
            </w:rPr>
            <w:t>一、职能简介</w:t>
          </w:r>
          <w:r>
            <w:ptab w:relativeTo="margin" w:alignment="right" w:leader="dot"/>
          </w:r>
          <w:r>
            <w:rPr>
              <w:rFonts w:hint="eastAsia"/>
            </w:rPr>
            <w:t>4</w:t>
          </w:r>
        </w:p>
        <w:p>
          <w:pPr>
            <w:pStyle w:val="12"/>
            <w:rPr>
              <w:rFonts w:hint="eastAsia"/>
              <w:lang w:val="zh-CN"/>
            </w:rPr>
          </w:pPr>
          <w:r>
            <w:rPr>
              <w:rFonts w:hint="eastAsia" w:ascii="仿宋_GB2312" w:hAnsi="仿宋_GB2312" w:eastAsia="仿宋_GB2312" w:cs="仿宋_GB2312"/>
              <w:sz w:val="32"/>
              <w:szCs w:val="32"/>
            </w:rPr>
            <w:t>二、2020年重点工作完成情况</w:t>
          </w:r>
          <w:r>
            <w:ptab w:relativeTo="margin" w:alignment="right" w:leader="dot"/>
          </w:r>
          <w:r>
            <w:rPr>
              <w:rFonts w:hint="eastAsia"/>
              <w:lang w:val="zh-CN"/>
            </w:rPr>
            <w:t>4</w:t>
          </w:r>
        </w:p>
        <w:p>
          <w:pPr>
            <w:pStyle w:val="1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eastAsia="宋体"/>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机构设置情况</w:t>
          </w:r>
          <w:r>
            <w:ptab w:relativeTo="margin" w:alignment="right" w:leader="dot"/>
          </w:r>
          <w:r>
            <w:rPr>
              <w:rFonts w:hint="eastAsia"/>
              <w:b/>
              <w:bCs/>
              <w:lang w:val="en-US" w:eastAsia="zh-CN"/>
            </w:rPr>
            <w:t>5</w:t>
          </w:r>
        </w:p>
        <w:p>
          <w:pPr>
            <w:rPr>
              <w:lang w:val="zh-CN"/>
            </w:rPr>
          </w:pPr>
        </w:p>
        <w:p>
          <w:r>
            <w:rPr>
              <w:rFonts w:hint="eastAsia" w:ascii="仿宋_GB2312" w:hAnsi="仿宋_GB2312" w:eastAsia="仿宋_GB2312" w:cs="仿宋_GB2312"/>
              <w:b/>
              <w:bCs/>
              <w:sz w:val="32"/>
              <w:szCs w:val="32"/>
            </w:rPr>
            <w:t>第二部分 2020年度单位决算情况说明</w:t>
          </w:r>
          <w:r>
            <w:t xml:space="preserve"> </w:t>
          </w:r>
          <w:r>
            <w:ptab w:relativeTo="margin" w:alignment="right" w:leader="dot"/>
          </w:r>
          <w:r>
            <w:rPr>
              <w:rFonts w:hint="eastAsia"/>
            </w:rPr>
            <w:t>6</w:t>
          </w:r>
        </w:p>
        <w:p>
          <w:pPr>
            <w:ind w:firstLine="470" w:firstLineChars="147"/>
          </w:pPr>
          <w:r>
            <w:rPr>
              <w:rFonts w:hint="eastAsia" w:ascii="仿宋_GB2312" w:hAnsi="仿宋_GB2312" w:eastAsia="仿宋_GB2312" w:cs="仿宋_GB2312"/>
              <w:sz w:val="32"/>
              <w:szCs w:val="32"/>
            </w:rPr>
            <w:t>一、收入支出决算总体情况说明</w:t>
          </w:r>
          <w:r>
            <w:ptab w:relativeTo="margin" w:alignment="right" w:leader="dot"/>
          </w:r>
          <w:r>
            <w:rPr>
              <w:rFonts w:hint="eastAsia"/>
            </w:rPr>
            <w:t>6</w:t>
          </w:r>
        </w:p>
        <w:p>
          <w:pPr>
            <w:ind w:firstLine="470" w:firstLineChars="147"/>
          </w:pPr>
          <w:r>
            <w:rPr>
              <w:rFonts w:hint="eastAsia" w:ascii="仿宋_GB2312" w:hAnsi="仿宋_GB2312" w:eastAsia="仿宋_GB2312" w:cs="仿宋_GB2312"/>
              <w:sz w:val="32"/>
              <w:szCs w:val="32"/>
            </w:rPr>
            <w:t>二、收入决算情况说明</w:t>
          </w:r>
          <w:r>
            <w:ptab w:relativeTo="margin" w:alignment="right" w:leader="dot"/>
          </w:r>
          <w:r>
            <w:rPr>
              <w:rFonts w:hint="eastAsia"/>
            </w:rPr>
            <w:t>6</w:t>
          </w:r>
        </w:p>
        <w:p>
          <w:pPr>
            <w:ind w:firstLine="470" w:firstLineChars="147"/>
          </w:pPr>
          <w:r>
            <w:rPr>
              <w:rFonts w:hint="eastAsia" w:ascii="仿宋_GB2312" w:hAnsi="仿宋_GB2312" w:eastAsia="仿宋_GB2312" w:cs="仿宋_GB2312"/>
              <w:sz w:val="32"/>
              <w:szCs w:val="32"/>
            </w:rPr>
            <w:t>三、支出决算情况说明</w:t>
          </w:r>
          <w:r>
            <w:ptab w:relativeTo="margin" w:alignment="right" w:leader="dot"/>
          </w:r>
          <w:r>
            <w:rPr>
              <w:rFonts w:hint="eastAsia"/>
            </w:rPr>
            <w:t>7</w:t>
          </w:r>
        </w:p>
        <w:p>
          <w:pPr>
            <w:ind w:firstLine="470" w:firstLineChars="147"/>
            <w:rPr>
              <w:rFonts w:hint="eastAsia" w:eastAsia="宋体"/>
              <w:lang w:eastAsia="zh-CN"/>
            </w:rPr>
          </w:pPr>
          <w:r>
            <w:rPr>
              <w:rFonts w:hint="eastAsia" w:ascii="仿宋_GB2312" w:hAnsi="仿宋_GB2312" w:eastAsia="仿宋_GB2312" w:cs="仿宋_GB2312"/>
              <w:sz w:val="32"/>
              <w:szCs w:val="32"/>
            </w:rPr>
            <w:t>四、财政拨款收入支出决算总体情况说明</w:t>
          </w:r>
          <w:r>
            <w:ptab w:relativeTo="margin" w:alignment="right" w:leader="dot"/>
          </w:r>
          <w:r>
            <w:rPr>
              <w:rFonts w:hint="eastAsia"/>
              <w:lang w:val="en-US" w:eastAsia="zh-CN"/>
            </w:rPr>
            <w:t>7</w:t>
          </w:r>
        </w:p>
        <w:p>
          <w:pPr>
            <w:ind w:firstLine="470" w:firstLineChars="147"/>
          </w:pPr>
          <w:r>
            <w:rPr>
              <w:rFonts w:hint="eastAsia" w:ascii="仿宋_GB2312" w:hAnsi="仿宋_GB2312" w:eastAsia="仿宋_GB2312" w:cs="仿宋_GB2312"/>
              <w:sz w:val="32"/>
              <w:szCs w:val="32"/>
            </w:rPr>
            <w:t>五、一般公共预算财政拨款支出决算情况说明</w:t>
          </w:r>
          <w:r>
            <w:ptab w:relativeTo="margin" w:alignment="right" w:leader="dot"/>
          </w:r>
          <w:r>
            <w:rPr>
              <w:rFonts w:hint="eastAsia"/>
            </w:rPr>
            <w:t>8</w:t>
          </w:r>
        </w:p>
        <w:p>
          <w:pPr>
            <w:ind w:firstLine="470" w:firstLineChars="147"/>
          </w:pPr>
          <w:r>
            <w:rPr>
              <w:rFonts w:hint="eastAsia" w:ascii="仿宋_GB2312" w:hAnsi="仿宋_GB2312" w:eastAsia="仿宋_GB2312" w:cs="仿宋_GB2312"/>
              <w:sz w:val="32"/>
              <w:szCs w:val="32"/>
            </w:rPr>
            <w:t>六、一般公共预算财政拨款基本支出决算情况说明</w:t>
          </w:r>
          <w:r>
            <w:ptab w:relativeTo="margin" w:alignment="right" w:leader="dot"/>
          </w:r>
          <w:r>
            <w:rPr>
              <w:rFonts w:hint="eastAsia"/>
            </w:rPr>
            <w:t>11</w:t>
          </w:r>
          <w:bookmarkStart w:id="65" w:name="_GoBack"/>
          <w:bookmarkEnd w:id="65"/>
        </w:p>
        <w:p>
          <w:pPr>
            <w:ind w:firstLine="470" w:firstLineChars="147"/>
            <w:rPr>
              <w:rFonts w:hint="default" w:eastAsia="宋体"/>
              <w:lang w:val="en-US" w:eastAsia="zh-CN"/>
            </w:rPr>
          </w:pPr>
          <w:r>
            <w:rPr>
              <w:rFonts w:hint="eastAsia" w:ascii="仿宋_GB2312" w:hAnsi="仿宋_GB2312" w:eastAsia="仿宋_GB2312" w:cs="仿宋_GB2312"/>
              <w:sz w:val="32"/>
              <w:szCs w:val="32"/>
            </w:rPr>
            <w:t>七、“三公”经费财政拨款支出决算情况说明</w:t>
          </w:r>
          <w:r>
            <w:ptab w:relativeTo="margin" w:alignment="right" w:leader="dot"/>
          </w:r>
          <w:r>
            <w:rPr>
              <w:rFonts w:hint="eastAsia"/>
              <w:lang w:val="en-US" w:eastAsia="zh-CN"/>
            </w:rPr>
            <w:t>12</w:t>
          </w:r>
        </w:p>
        <w:p>
          <w:pPr>
            <w:ind w:firstLine="470" w:firstLineChars="147"/>
          </w:pPr>
          <w:r>
            <w:rPr>
              <w:rFonts w:hint="eastAsia" w:ascii="仿宋_GB2312" w:hAnsi="仿宋_GB2312" w:eastAsia="仿宋_GB2312" w:cs="仿宋_GB2312"/>
              <w:sz w:val="32"/>
              <w:szCs w:val="32"/>
            </w:rPr>
            <w:t>八、政府性基金预算支出决算情况说明</w:t>
          </w:r>
          <w:r>
            <w:ptab w:relativeTo="margin" w:alignment="right" w:leader="dot"/>
          </w:r>
          <w:r>
            <w:rPr>
              <w:rFonts w:hint="eastAsia"/>
            </w:rPr>
            <w:t>12</w:t>
          </w:r>
        </w:p>
        <w:p>
          <w:pPr>
            <w:ind w:firstLine="470" w:firstLineChars="147"/>
          </w:pPr>
          <w:r>
            <w:rPr>
              <w:rFonts w:hint="eastAsia" w:ascii="仿宋_GB2312" w:hAnsi="仿宋_GB2312" w:eastAsia="仿宋_GB2312" w:cs="仿宋_GB2312"/>
              <w:sz w:val="32"/>
              <w:szCs w:val="32"/>
            </w:rPr>
            <w:t>九、国有资本经营预算支出决算情况说明</w:t>
          </w:r>
          <w:r>
            <w:ptab w:relativeTo="margin" w:alignment="right" w:leader="dot"/>
          </w:r>
          <w:r>
            <w:rPr>
              <w:rFonts w:hint="eastAsia"/>
            </w:rPr>
            <w:t>12</w:t>
          </w:r>
        </w:p>
        <w:p>
          <w:pPr>
            <w:ind w:firstLine="470" w:firstLineChars="147"/>
          </w:pPr>
          <w:r>
            <w:rPr>
              <w:rFonts w:hint="eastAsia" w:ascii="仿宋_GB2312" w:hAnsi="仿宋_GB2312" w:eastAsia="仿宋_GB2312" w:cs="仿宋_GB2312"/>
              <w:sz w:val="32"/>
              <w:szCs w:val="32"/>
            </w:rPr>
            <w:t>十、其他重要事项的情况说明</w:t>
          </w:r>
          <w:r>
            <w:ptab w:relativeTo="margin" w:alignment="right" w:leader="dot"/>
          </w:r>
          <w:r>
            <w:rPr>
              <w:rFonts w:hint="eastAsia"/>
            </w:rPr>
            <w:t>12</w:t>
          </w:r>
        </w:p>
        <w:p>
          <w:r>
            <w:rPr>
              <w:rFonts w:hint="eastAsia" w:ascii="仿宋_GB2312" w:hAnsi="仿宋_GB2312" w:eastAsia="仿宋_GB2312" w:cs="仿宋_GB2312"/>
              <w:b/>
              <w:bCs/>
              <w:sz w:val="32"/>
              <w:szCs w:val="32"/>
            </w:rPr>
            <w:t>第三部分 名词解释</w:t>
          </w:r>
          <w:r>
            <w:ptab w:relativeTo="margin" w:alignment="right" w:leader="dot"/>
          </w:r>
          <w:r>
            <w:rPr>
              <w:rFonts w:hint="eastAsia"/>
            </w:rPr>
            <w:t>13</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第四部分 附件</w:t>
          </w:r>
          <w:r>
            <w:ptab w:relativeTo="margin" w:alignment="right" w:leader="dot"/>
          </w:r>
          <w:r>
            <w:rPr>
              <w:rFonts w:hint="eastAsia"/>
            </w:rPr>
            <w:t>15</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第五部分 附表</w:t>
          </w:r>
          <w:r>
            <w:ptab w:relativeTo="margin" w:alignment="right" w:leader="dot"/>
          </w:r>
          <w:r>
            <w:rPr>
              <w:rFonts w:hint="eastAsia"/>
            </w:rPr>
            <w:t>16</w:t>
          </w:r>
        </w:p>
      </w:sdtContent>
    </w:sdt>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ind w:firstLine="640" w:firstLineChars="200"/>
      </w:pPr>
      <w:r>
        <w:rPr>
          <w:rFonts w:hint="eastAsia" w:ascii="仿宋_GB2312" w:hAnsi="仿宋_GB2312" w:eastAsia="仿宋_GB2312" w:cs="仿宋_GB2312"/>
          <w:sz w:val="32"/>
          <w:szCs w:val="32"/>
        </w:rPr>
        <w:t>三、支出决算表</w:t>
      </w:r>
    </w:p>
    <w:p>
      <w:pPr>
        <w:ind w:firstLine="640" w:firstLineChars="200"/>
      </w:pPr>
      <w:r>
        <w:rPr>
          <w:rFonts w:hint="eastAsia" w:ascii="仿宋_GB2312" w:hAnsi="仿宋_GB2312" w:eastAsia="仿宋_GB2312" w:cs="仿宋_GB2312"/>
          <w:sz w:val="32"/>
          <w:szCs w:val="32"/>
        </w:rPr>
        <w:t>四、财政拨款收入支出决算总表</w:t>
      </w:r>
    </w:p>
    <w:p>
      <w:pPr>
        <w:ind w:firstLine="640" w:firstLineChars="200"/>
      </w:pPr>
      <w:r>
        <w:rPr>
          <w:rFonts w:hint="eastAsia" w:ascii="仿宋_GB2312" w:hAnsi="仿宋_GB2312" w:eastAsia="仿宋_GB2312" w:cs="仿宋_GB2312"/>
          <w:sz w:val="32"/>
          <w:szCs w:val="32"/>
        </w:rPr>
        <w:t>五、财政拨款支出决算明细表</w:t>
      </w:r>
    </w:p>
    <w:p>
      <w:pPr>
        <w:ind w:firstLine="640" w:firstLineChars="200"/>
      </w:pPr>
      <w:r>
        <w:rPr>
          <w:rFonts w:hint="eastAsia" w:ascii="仿宋_GB2312" w:hAnsi="仿宋_GB2312" w:eastAsia="仿宋_GB2312" w:cs="仿宋_GB2312"/>
          <w:sz w:val="32"/>
          <w:szCs w:val="32"/>
        </w:rPr>
        <w:t>六、一般公共预算财政拨款支出决算表</w:t>
      </w:r>
    </w:p>
    <w:p>
      <w:pPr>
        <w:ind w:firstLine="640" w:firstLineChars="200"/>
      </w:pPr>
      <w:r>
        <w:rPr>
          <w:rFonts w:hint="eastAsia" w:ascii="仿宋_GB2312" w:hAnsi="仿宋_GB2312" w:eastAsia="仿宋_GB2312" w:cs="仿宋_GB2312"/>
          <w:sz w:val="32"/>
          <w:szCs w:val="32"/>
        </w:rPr>
        <w:t>七、一般公共预算财政拨款支出决算明细表</w:t>
      </w:r>
    </w:p>
    <w:p>
      <w:pPr>
        <w:ind w:firstLine="640" w:firstLineChars="200"/>
      </w:pPr>
      <w:r>
        <w:rPr>
          <w:rFonts w:hint="eastAsia" w:ascii="仿宋_GB2312" w:hAnsi="仿宋_GB2312" w:eastAsia="仿宋_GB2312" w:cs="仿宋_GB2312"/>
          <w:sz w:val="32"/>
          <w:szCs w:val="32"/>
        </w:rPr>
        <w:t>八、一般公共预算财政拨款基本支出决算表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ind w:firstLine="640" w:firstLineChars="200"/>
      </w:pPr>
      <w:r>
        <w:rPr>
          <w:rFonts w:hint="eastAsia" w:ascii="仿宋_GB2312" w:hAnsi="仿宋_GB2312" w:eastAsia="仿宋_GB2312" w:cs="仿宋_GB2312"/>
          <w:sz w:val="32"/>
          <w:szCs w:val="32"/>
        </w:rPr>
        <w:t>十三、国有资本经营预算财政拨款收入支出决算表</w:t>
      </w:r>
    </w:p>
    <w:p>
      <w:pPr>
        <w:ind w:firstLine="640" w:firstLineChars="200"/>
      </w:pPr>
      <w:r>
        <w:rPr>
          <w:rFonts w:hint="eastAsia" w:ascii="仿宋_GB2312" w:hAnsi="仿宋_GB2312" w:eastAsia="仿宋_GB2312" w:cs="仿宋_GB2312"/>
          <w:sz w:val="32"/>
          <w:szCs w:val="32"/>
        </w:rPr>
        <w:t>十四、国有资本经营预算财政拨款支出决算表</w:t>
      </w:r>
      <w:bookmarkStart w:id="12" w:name="_Toc15377196"/>
      <w:bookmarkStart w:id="13" w:name="_Toc15396599"/>
    </w:p>
    <w:p>
      <w:pPr>
        <w:ind w:firstLine="482" w:firstLineChars="200"/>
        <w:rPr>
          <w:rFonts w:ascii="仿宋" w:hAnsi="仿宋" w:eastAsia="仿宋"/>
          <w:bCs/>
          <w:kern w:val="44"/>
          <w:sz w:val="24"/>
        </w:rPr>
      </w:pPr>
      <w:r>
        <w:rPr>
          <w:rFonts w:ascii="仿宋" w:hAnsi="仿宋" w:eastAsia="仿宋"/>
          <w:b/>
          <w:sz w:val="24"/>
        </w:rPr>
        <w:br w:type="page"/>
      </w:r>
    </w:p>
    <w:p>
      <w:pPr>
        <w:pStyle w:val="3"/>
        <w:jc w:val="center"/>
        <w:rPr>
          <w:rFonts w:ascii="黑体" w:eastAsia="黑体"/>
          <w:color w:val="000000"/>
          <w:sz w:val="32"/>
          <w:szCs w:val="32"/>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4"/>
        <w:spacing w:before="0" w:after="0" w:line="520" w:lineRule="atLeast"/>
        <w:ind w:firstLine="640" w:firstLineChars="200"/>
        <w:rPr>
          <w:rFonts w:ascii="黑体" w:hAnsi="黑体" w:eastAsia="黑体" w:cs="Times New Roman"/>
          <w:b w:val="0"/>
          <w:color w:val="000000"/>
        </w:rPr>
      </w:pPr>
      <w:bookmarkStart w:id="14" w:name="_Toc15377197"/>
      <w:bookmarkStart w:id="15" w:name="_Toc15396600"/>
      <w:r>
        <w:rPr>
          <w:rFonts w:hint="eastAsia" w:ascii="黑体" w:hAnsi="黑体" w:eastAsia="黑体" w:cs="Times New Roman"/>
          <w:b w:val="0"/>
          <w:color w:val="000000"/>
        </w:rPr>
        <w:t>一、职能简介</w:t>
      </w:r>
    </w:p>
    <w:p>
      <w:pPr>
        <w:spacing w:line="580" w:lineRule="exact"/>
        <w:ind w:firstLine="640" w:firstLineChars="200"/>
        <w:rPr>
          <w:rFonts w:ascii="仿宋" w:hAnsi="仿宋" w:eastAsia="仿宋" w:cs="仿宋"/>
          <w:bCs/>
          <w:color w:val="000000"/>
          <w:kern w:val="0"/>
          <w:sz w:val="32"/>
          <w:szCs w:val="32"/>
        </w:rPr>
      </w:pPr>
      <w:r>
        <w:rPr>
          <w:rFonts w:hint="eastAsia" w:ascii="仿宋" w:hAnsi="仿宋" w:eastAsia="仿宋" w:cs="仿宋"/>
          <w:color w:val="000000" w:themeColor="text1"/>
          <w:sz w:val="32"/>
          <w:szCs w:val="32"/>
          <w14:textFill>
            <w14:solidFill>
              <w14:schemeClr w14:val="tx1"/>
            </w14:solidFill>
          </w14:textFill>
        </w:rPr>
        <w:t>四川省财政科学研究所（以下简称科研所）承担财政改革、财政经济调研任务，指导组织全省财政科研工作，开展科研协作与交流，编辑、出版、发行《四川财政与会计》月刊，为经济社会、财政工作中的重大问题提出财税改革和重要财税政策的建议。</w:t>
      </w:r>
    </w:p>
    <w:p>
      <w:pPr>
        <w:pStyle w:val="4"/>
        <w:spacing w:before="0" w:after="0" w:line="520" w:lineRule="atLeast"/>
        <w:ind w:firstLine="800" w:firstLineChars="250"/>
        <w:rPr>
          <w:rFonts w:ascii="黑体" w:hAnsi="黑体" w:eastAsia="黑体" w:cs="Times New Roman"/>
          <w:b w:val="0"/>
          <w:color w:val="000000"/>
        </w:rPr>
      </w:pPr>
      <w:r>
        <w:rPr>
          <w:rFonts w:hint="eastAsia" w:ascii="黑体" w:hAnsi="黑体" w:eastAsia="黑体" w:cs="Times New Roman"/>
          <w:b w:val="0"/>
          <w:color w:val="000000"/>
        </w:rPr>
        <w:t>二、2020年重点工作完成情况</w:t>
      </w:r>
    </w:p>
    <w:bookmarkEnd w:id="14"/>
    <w:bookmarkEnd w:id="15"/>
    <w:p>
      <w:pPr>
        <w:spacing w:line="640" w:lineRule="exact"/>
        <w:ind w:firstLine="64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(一)开展年度课题研究</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围绕党中央国务院、省委省政府和厅党组重大决策部署，积极组织开展财政课题研究，完成《关于对“积极财政政策要更加积极有为”的认识与贯彻建议》《成渝地区双城经济圈协同发展财政政策研究》等多项财政科研课题研究任务。</w:t>
      </w:r>
    </w:p>
    <w:p>
      <w:pPr>
        <w:spacing w:line="640" w:lineRule="exact"/>
        <w:ind w:firstLine="64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(二)编辑出版《四川财政与会计》</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宣传中央和省重要财政法规政策，推广财政改革和财政管理经验，传播四川财政党建及党风廉政建设声音，弘扬改革创新、奋进奉献的财政文化。主要包括“四川财政抗疫纪实”“财政聚力脱贫攻坚”“成渝地区双城经济圈建设”“新预算法实施条例解读”“财政民生支出保障”“预算绩效管理改革”等热点重点内容。</w:t>
      </w:r>
    </w:p>
    <w:p>
      <w:pPr>
        <w:spacing w:line="640" w:lineRule="exact"/>
        <w:ind w:firstLine="64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(三)推进财政史志编撰工作</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动完成《四川省志•财政志（1986-2005）》正式出版工作，主动谋划编辑《四川财政大事记（1986-2005）》，按照省相关部门要求，完成四川财政年度大事记以及财政支持脱贫攻坚、抗击新冠肺炎疫情、四川小康建设等重要史料的整理编报工作。</w:t>
      </w:r>
    </w:p>
    <w:p>
      <w:pPr>
        <w:pStyle w:val="4"/>
        <w:pageBreakBefore w:val="0"/>
        <w:widowControl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b w:val="0"/>
          <w:lang w:val="en-US" w:eastAsia="zh-CN"/>
        </w:rPr>
      </w:pPr>
      <w:r>
        <w:rPr>
          <w:rFonts w:hint="eastAsia" w:ascii="黑体" w:hAnsi="黑体" w:eastAsia="黑体"/>
          <w:b w:val="0"/>
          <w:lang w:val="en-US" w:eastAsia="zh-CN"/>
        </w:rPr>
        <w:t>三、机构设置情况</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本单位是隶属于四川省财政厅的二级预算单位，本单位无下属单位。</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580" w:lineRule="exact"/>
        <w:ind w:firstLine="640" w:firstLineChars="200"/>
        <w:rPr>
          <w:rFonts w:ascii="仿宋" w:hAnsi="仿宋" w:eastAsia="仿宋"/>
          <w:bCs/>
          <w:color w:val="000000"/>
          <w:kern w:val="0"/>
          <w:sz w:val="32"/>
          <w:szCs w:val="32"/>
        </w:rPr>
      </w:pPr>
    </w:p>
    <w:p>
      <w:pPr>
        <w:pStyle w:val="3"/>
        <w:ind w:right="440"/>
        <w:jc w:val="center"/>
      </w:pPr>
      <w:bookmarkStart w:id="16" w:name="_Toc15377204"/>
      <w:bookmarkStart w:id="17" w:name="_Toc15396602"/>
      <w:r>
        <w:rPr>
          <w:rFonts w:hint="eastAsia" w:ascii="黑体" w:hAnsi="黑体" w:eastAsia="黑体"/>
          <w:b w:val="0"/>
        </w:rPr>
        <w:t>第二部分 2020年度</w:t>
      </w:r>
      <w:r>
        <w:rPr>
          <w:rStyle w:val="26"/>
          <w:rFonts w:hint="eastAsia" w:ascii="黑体" w:hAnsi="黑体" w:eastAsia="黑体"/>
          <w:b w:val="0"/>
          <w:bCs/>
        </w:rPr>
        <w:t>单位决算情况说明</w:t>
      </w:r>
      <w:bookmarkEnd w:id="16"/>
      <w:bookmarkEnd w:id="17"/>
    </w:p>
    <w:p>
      <w:pPr>
        <w:pStyle w:val="25"/>
        <w:numPr>
          <w:ilvl w:val="0"/>
          <w:numId w:val="1"/>
        </w:numPr>
        <w:spacing w:line="600" w:lineRule="exact"/>
        <w:ind w:firstLineChars="0"/>
        <w:outlineLvl w:val="1"/>
        <w:rPr>
          <w:rStyle w:val="27"/>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18"/>
      <w:bookmarkEnd w:id="19"/>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2020年度收、支总计314.16万元。与2019年相比，收、支总计各增加16.58万元，增长5.58%。主要变动原因是财政科研工作经费增加。</w:t>
      </w:r>
    </w:p>
    <w:p>
      <w:pPr>
        <w:spacing w:line="600" w:lineRule="exact"/>
        <w:ind w:firstLine="1405" w:firstLineChars="500"/>
        <w:rPr>
          <w:rFonts w:ascii="仿宋_GB2312" w:eastAsia="仿宋_GB2312"/>
          <w:color w:val="000000"/>
          <w:sz w:val="32"/>
          <w:szCs w:val="32"/>
        </w:rPr>
      </w:pPr>
      <w:r>
        <w:rPr>
          <w:rFonts w:hint="eastAsia" w:ascii="仿宋" w:hAnsi="仿宋" w:eastAsia="仿宋"/>
          <w:b/>
          <w:bCs/>
          <w:color w:val="000000" w:themeColor="text1"/>
          <w:sz w:val="28"/>
          <w:szCs w:val="28"/>
          <w14:textFill>
            <w14:solidFill>
              <w14:schemeClr w14:val="tx1"/>
            </w14:solidFill>
          </w14:textFill>
        </w:rPr>
        <w:t>图1：收、支决算总计变动情况图(单位：万元)</w:t>
      </w:r>
      <w:r>
        <w:drawing>
          <wp:anchor distT="0" distB="0" distL="114300" distR="114300" simplePos="0" relativeHeight="251659264" behindDoc="0" locked="0" layoutInCell="1" allowOverlap="1">
            <wp:simplePos x="0" y="0"/>
            <wp:positionH relativeFrom="column">
              <wp:posOffset>523875</wp:posOffset>
            </wp:positionH>
            <wp:positionV relativeFrom="paragraph">
              <wp:posOffset>190500</wp:posOffset>
            </wp:positionV>
            <wp:extent cx="4572000" cy="2513330"/>
            <wp:effectExtent l="0" t="0" r="0" b="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5"/>
        <w:numPr>
          <w:ilvl w:val="0"/>
          <w:numId w:val="1"/>
        </w:numPr>
        <w:spacing w:line="600" w:lineRule="exact"/>
        <w:ind w:firstLineChars="0"/>
        <w:outlineLvl w:val="1"/>
        <w:rPr>
          <w:rStyle w:val="27"/>
          <w:rFonts w:ascii="黑体" w:hAnsi="黑体" w:eastAsia="黑体"/>
          <w:b w:val="0"/>
        </w:rPr>
      </w:pPr>
      <w:bookmarkStart w:id="20" w:name="_Toc15396604"/>
      <w:bookmarkStart w:id="21"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0"/>
      <w:bookmarkEnd w:id="21"/>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本年收入合计314.16万元，其中：一般公共预算财政拨款收入314.16万元，占100%；政府性基金预算财政拨款收入0万元，占0%；上级补助收入0万元，占0%；事业收入0万元，占0%；经营收入0万元，占0%；附属单位上缴收入0万元，占0%；其他收入0万元，占0%。</w:t>
      </w:r>
    </w:p>
    <w:p>
      <w:pPr>
        <w:spacing w:line="600" w:lineRule="exact"/>
        <w:ind w:firstLine="643" w:firstLineChars="200"/>
        <w:jc w:val="center"/>
        <w:rPr>
          <w:rFonts w:ascii="仿宋_GB2312" w:hAnsi="仿宋_GB2312" w:eastAsia="仿宋_GB2312" w:cs="仿宋_GB2312"/>
          <w:b/>
          <w:bCs/>
          <w:color w:val="000000" w:themeColor="text1"/>
          <w:sz w:val="32"/>
          <w:szCs w:val="32"/>
          <w14:textFill>
            <w14:solidFill>
              <w14:schemeClr w14:val="tx1"/>
            </w14:solidFill>
          </w14:textFill>
        </w:rPr>
      </w:pPr>
    </w:p>
    <w:p>
      <w:pPr>
        <w:spacing w:line="600" w:lineRule="exact"/>
        <w:ind w:firstLine="1890" w:firstLineChars="900"/>
        <w:rPr>
          <w:rFonts w:ascii="仿宋_GB2312" w:eastAsia="仿宋_GB2312"/>
          <w:color w:val="FF0000"/>
          <w:sz w:val="32"/>
          <w:szCs w:val="32"/>
        </w:rPr>
      </w:pPr>
      <w:r>
        <w:drawing>
          <wp:anchor distT="0" distB="0" distL="114300" distR="114300" simplePos="0" relativeHeight="251663360" behindDoc="0" locked="0" layoutInCell="1" allowOverlap="1">
            <wp:simplePos x="0" y="0"/>
            <wp:positionH relativeFrom="column">
              <wp:posOffset>1038225</wp:posOffset>
            </wp:positionH>
            <wp:positionV relativeFrom="paragraph">
              <wp:posOffset>-932180</wp:posOffset>
            </wp:positionV>
            <wp:extent cx="3738245" cy="2480310"/>
            <wp:effectExtent l="0" t="0" r="14605" b="15240"/>
            <wp:wrapTopAndBottom/>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3738245" cy="2480310"/>
                    </a:xfrm>
                    <a:prstGeom prst="rect">
                      <a:avLst/>
                    </a:prstGeom>
                  </pic:spPr>
                </pic:pic>
              </a:graphicData>
            </a:graphic>
          </wp:anchor>
        </w:drawing>
      </w:r>
      <w:r>
        <w:rPr>
          <w:rFonts w:hint="eastAsia"/>
        </w:rPr>
        <w:t xml:space="preserve">           </w:t>
      </w:r>
      <w:r>
        <w:rPr>
          <w:rFonts w:hint="eastAsia" w:ascii="仿宋" w:hAnsi="仿宋" w:eastAsia="仿宋"/>
          <w:b/>
          <w:bCs/>
          <w:color w:val="000000" w:themeColor="text1"/>
          <w:sz w:val="28"/>
          <w:szCs w:val="28"/>
          <w14:textFill>
            <w14:solidFill>
              <w14:schemeClr w14:val="tx1"/>
            </w14:solidFill>
          </w14:textFill>
        </w:rPr>
        <w:t>图2：收入决算结构图</w:t>
      </w:r>
    </w:p>
    <w:p>
      <w:pPr>
        <w:pStyle w:val="25"/>
        <w:numPr>
          <w:ilvl w:val="0"/>
          <w:numId w:val="1"/>
        </w:numPr>
        <w:spacing w:line="600" w:lineRule="exact"/>
        <w:ind w:firstLineChars="0"/>
        <w:outlineLvl w:val="1"/>
        <w:rPr>
          <w:rStyle w:val="27"/>
          <w:rFonts w:ascii="黑体" w:hAnsi="黑体" w:eastAsia="黑体"/>
          <w:b w:val="0"/>
        </w:rPr>
      </w:pPr>
      <w:bookmarkStart w:id="22" w:name="_Toc15377207"/>
      <w:bookmarkStart w:id="23"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2"/>
      <w:bookmarkEnd w:id="23"/>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2020年本年支出合计314.16万元，其中：基本支出241.25万元，占76.8%；项目支出72.91万元，占23.2%；上缴上级支出0万元，占0%；经营支出0万元，占0%；对附属单位补助支出0万元，占0%。</w:t>
      </w:r>
    </w:p>
    <w:p>
      <w:pPr>
        <w:spacing w:line="600" w:lineRule="exact"/>
        <w:ind w:firstLine="2940" w:firstLineChars="1400"/>
        <w:rPr>
          <w:rFonts w:ascii="仿宋_GB2312" w:eastAsia="仿宋_GB2312"/>
          <w:color w:val="FF0000"/>
          <w:sz w:val="32"/>
          <w:szCs w:val="32"/>
        </w:rPr>
      </w:pPr>
      <w:r>
        <w:rPr>
          <w:rFonts w:hint="eastAsia"/>
        </w:rPr>
        <w:drawing>
          <wp:anchor distT="0" distB="0" distL="114300" distR="114300" simplePos="0" relativeHeight="251662336" behindDoc="0" locked="0" layoutInCell="1" allowOverlap="1">
            <wp:simplePos x="0" y="0"/>
            <wp:positionH relativeFrom="column">
              <wp:posOffset>772160</wp:posOffset>
            </wp:positionH>
            <wp:positionV relativeFrom="paragraph">
              <wp:posOffset>355600</wp:posOffset>
            </wp:positionV>
            <wp:extent cx="4217670" cy="2616200"/>
            <wp:effectExtent l="0" t="0" r="0" b="0"/>
            <wp:wrapTopAndBottom/>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8"/>
                    <a:stretch>
                      <a:fillRect/>
                    </a:stretch>
                  </pic:blipFill>
                  <pic:spPr>
                    <a:xfrm>
                      <a:off x="0" y="0"/>
                      <a:ext cx="4217670" cy="2616200"/>
                    </a:xfrm>
                    <a:prstGeom prst="rect">
                      <a:avLst/>
                    </a:prstGeom>
                  </pic:spPr>
                </pic:pic>
              </a:graphicData>
            </a:graphic>
          </wp:anchor>
        </w:drawing>
      </w:r>
      <w:r>
        <w:rPr>
          <w:rFonts w:hint="eastAsia" w:ascii="仿宋" w:hAnsi="仿宋" w:eastAsia="仿宋"/>
          <w:b/>
          <w:bCs/>
          <w:color w:val="000000" w:themeColor="text1"/>
          <w:sz w:val="28"/>
          <w:szCs w:val="28"/>
          <w14:textFill>
            <w14:solidFill>
              <w14:schemeClr w14:val="tx1"/>
            </w14:solidFill>
          </w14:textFill>
        </w:rPr>
        <w:t>图3：支出决算结构图</w:t>
      </w: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4"/>
      <w:bookmarkEnd w:id="25"/>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2020年财政拨款收、支总计314.16万元。与2019年相比，财政拨款收、支总计各增加16.58万元，增长5.58%。主要变动原因是财政科研工作经费增加。</w:t>
      </w:r>
    </w:p>
    <w:p>
      <w:pPr>
        <w:pStyle w:val="2"/>
        <w:spacing w:before="93"/>
        <w:ind w:firstLine="843" w:firstLineChars="300"/>
        <w:rPr>
          <w:rFonts w:ascii="仿宋" w:hAnsi="仿宋" w:eastAsia="仿宋"/>
          <w:b/>
          <w:color w:val="00B050"/>
          <w:sz w:val="32"/>
          <w:szCs w:val="32"/>
        </w:rPr>
      </w:pPr>
      <w:r>
        <w:rPr>
          <w:rFonts w:hint="eastAsia" w:ascii="仿宋" w:hAnsi="仿宋" w:eastAsia="仿宋"/>
          <w:b/>
          <w:bCs/>
          <w:color w:val="000000" w:themeColor="text1"/>
          <w:sz w:val="28"/>
          <w:szCs w:val="28"/>
          <w14:textFill>
            <w14:solidFill>
              <w14:schemeClr w14:val="tx1"/>
            </w14:solidFill>
          </w14:textFill>
        </w:rPr>
        <w:t>图4：财政拨款收、支决算总计变动情况（单位：万元）</w:t>
      </w:r>
      <w:r>
        <w:drawing>
          <wp:anchor distT="0" distB="0" distL="114300" distR="114300" simplePos="0" relativeHeight="251660288" behindDoc="0" locked="0" layoutInCell="1" allowOverlap="1">
            <wp:simplePos x="0" y="0"/>
            <wp:positionH relativeFrom="column">
              <wp:posOffset>695325</wp:posOffset>
            </wp:positionH>
            <wp:positionV relativeFrom="paragraph">
              <wp:posOffset>313690</wp:posOffset>
            </wp:positionV>
            <wp:extent cx="4572000" cy="2400300"/>
            <wp:effectExtent l="0" t="0" r="0" b="0"/>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469" w:firstLineChars="146"/>
        <w:outlineLvl w:val="2"/>
        <w:rPr>
          <w:rFonts w:ascii="楷体_GB2312" w:hAnsi="仿宋" w:eastAsia="楷体_GB2312"/>
          <w:b/>
          <w:color w:val="000000"/>
          <w:sz w:val="32"/>
          <w:szCs w:val="32"/>
        </w:rPr>
      </w:pPr>
      <w:bookmarkStart w:id="28" w:name="_Toc15377210"/>
      <w:r>
        <w:rPr>
          <w:rFonts w:hint="eastAsia" w:ascii="楷体_GB2312" w:hAnsi="仿宋" w:eastAsia="楷体_GB2312"/>
          <w:b/>
          <w:color w:val="000000"/>
          <w:sz w:val="32"/>
          <w:szCs w:val="32"/>
        </w:rPr>
        <w:t>（一）一般公共预算财政拨款支出决算总体情况</w:t>
      </w:r>
      <w:bookmarkEnd w:id="28"/>
    </w:p>
    <w:p>
      <w:pPr>
        <w:spacing w:line="580" w:lineRule="exact"/>
        <w:ind w:firstLine="640" w:firstLineChars="200"/>
        <w:rPr>
          <w:rFonts w:ascii="仿宋" w:hAnsi="仿宋" w:eastAsia="仿宋"/>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2020年一般公共预算财政拨款支出314.16万元，占本年支出合计的100%。与2019年相比，一般公共预算财政拨款增加16.58万元，增长5.58%。主要变动原因是财政科研工作经费增加。</w:t>
      </w:r>
    </w:p>
    <w:p>
      <w:pPr>
        <w:spacing w:line="600" w:lineRule="exact"/>
        <w:ind w:firstLine="562" w:firstLineChars="200"/>
      </w:pPr>
      <w:r>
        <w:rPr>
          <w:rFonts w:hint="eastAsia" w:ascii="仿宋" w:hAnsi="仿宋" w:eastAsia="仿宋"/>
          <w:b/>
          <w:bCs/>
          <w:color w:val="000000" w:themeColor="text1"/>
          <w:sz w:val="28"/>
          <w:szCs w:val="28"/>
          <w14:textFill>
            <w14:solidFill>
              <w14:schemeClr w14:val="tx1"/>
            </w14:solidFill>
          </w14:textFill>
        </w:rPr>
        <w:t>图5：一般公共预算财政拨款支出决算变动情况（单位：万元</w:t>
      </w:r>
      <w:r>
        <w:drawing>
          <wp:anchor distT="0" distB="0" distL="114300" distR="114300" simplePos="0" relativeHeight="251661312" behindDoc="0" locked="0" layoutInCell="1" allowOverlap="1">
            <wp:simplePos x="0" y="0"/>
            <wp:positionH relativeFrom="column">
              <wp:posOffset>323850</wp:posOffset>
            </wp:positionH>
            <wp:positionV relativeFrom="paragraph">
              <wp:posOffset>257175</wp:posOffset>
            </wp:positionV>
            <wp:extent cx="4572000" cy="2743200"/>
            <wp:effectExtent l="0" t="0" r="0" b="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bCs/>
          <w:color w:val="000000" w:themeColor="text1"/>
          <w:sz w:val="28"/>
          <w:szCs w:val="28"/>
          <w14:textFill>
            <w14:solidFill>
              <w14:schemeClr w14:val="tx1"/>
            </w14:solidFill>
          </w14:textFill>
        </w:rPr>
        <w:t>）</w:t>
      </w:r>
    </w:p>
    <w:p>
      <w:pPr>
        <w:spacing w:line="600" w:lineRule="exact"/>
        <w:ind w:firstLine="469" w:firstLineChars="146"/>
        <w:outlineLvl w:val="2"/>
        <w:rPr>
          <w:rFonts w:ascii="楷体_GB2312" w:hAnsi="仿宋" w:eastAsia="楷体_GB2312"/>
          <w:b/>
          <w:color w:val="000000"/>
          <w:sz w:val="32"/>
          <w:szCs w:val="32"/>
        </w:rPr>
      </w:pPr>
      <w:bookmarkStart w:id="29" w:name="_Toc15377211"/>
      <w:r>
        <w:rPr>
          <w:rFonts w:hint="eastAsia" w:ascii="楷体_GB2312" w:hAnsi="仿宋" w:eastAsia="楷体_GB2312"/>
          <w:b/>
          <w:color w:val="000000"/>
          <w:sz w:val="32"/>
          <w:szCs w:val="32"/>
        </w:rPr>
        <w:t>（二）一般公共预算财政拨款支出决算结构情况</w:t>
      </w:r>
      <w:bookmarkEnd w:id="29"/>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2020年一般公共预算财政拨款支出314.16万元，主要用于以下方面: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支出214.51万元，占68.3%；</w:t>
      </w:r>
      <w:r>
        <w:rPr>
          <w:rFonts w:hint="eastAsia" w:ascii="仿宋_GB2312" w:hAnsi="仿宋_GB2312" w:eastAsia="仿宋_GB2312" w:cs="仿宋_GB2312"/>
          <w:b/>
          <w:color w:val="000000" w:themeColor="text1"/>
          <w:sz w:val="32"/>
          <w:szCs w:val="32"/>
          <w14:textFill>
            <w14:solidFill>
              <w14:schemeClr w14:val="tx1"/>
            </w14:solidFill>
          </w14:textFill>
        </w:rPr>
        <w:t>教育支出（类）</w:t>
      </w:r>
      <w:r>
        <w:rPr>
          <w:rFonts w:hint="eastAsia" w:ascii="仿宋_GB2312" w:hAnsi="仿宋_GB2312" w:eastAsia="仿宋_GB2312" w:cs="仿宋_GB2312"/>
          <w:color w:val="000000" w:themeColor="text1"/>
          <w:sz w:val="32"/>
          <w:szCs w:val="32"/>
          <w14:textFill>
            <w14:solidFill>
              <w14:schemeClr w14:val="tx1"/>
            </w14:solidFill>
          </w14:textFill>
        </w:rPr>
        <w:t>0万元，占0%；</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支出0万元，占0%；</w:t>
      </w:r>
      <w:r>
        <w:rPr>
          <w:rFonts w:hint="eastAsia" w:ascii="仿宋_GB2312" w:hAnsi="仿宋_GB2312" w:eastAsia="仿宋_GB2312" w:cs="仿宋_GB2312"/>
          <w:b/>
          <w:color w:val="000000" w:themeColor="text1"/>
          <w:sz w:val="32"/>
          <w:szCs w:val="32"/>
          <w14:textFill>
            <w14:solidFill>
              <w14:schemeClr w14:val="tx1"/>
            </w14:solidFill>
          </w14:textFill>
        </w:rPr>
        <w:t>文化旅游体育与传媒（类）</w:t>
      </w:r>
      <w:r>
        <w:rPr>
          <w:rFonts w:hint="eastAsia" w:ascii="仿宋_GB2312" w:hAnsi="仿宋_GB2312" w:eastAsia="仿宋_GB2312" w:cs="仿宋_GB2312"/>
          <w:color w:val="000000" w:themeColor="text1"/>
          <w:sz w:val="32"/>
          <w:szCs w:val="32"/>
          <w14:textFill>
            <w14:solidFill>
              <w14:schemeClr w14:val="tx1"/>
            </w14:solidFill>
          </w14:textFill>
        </w:rPr>
        <w:t>支出0万元，占0%；</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支出56.48万元，占18%；</w:t>
      </w:r>
      <w:r>
        <w:rPr>
          <w:rFonts w:hint="eastAsia" w:ascii="仿宋_GB2312" w:hAnsi="仿宋_GB2312" w:eastAsia="仿宋_GB2312" w:cs="仿宋_GB2312"/>
          <w:b/>
          <w:color w:val="000000" w:themeColor="text1"/>
          <w:sz w:val="32"/>
          <w:szCs w:val="32"/>
          <w14:textFill>
            <w14:solidFill>
              <w14:schemeClr w14:val="tx1"/>
            </w14:solidFill>
          </w14:textFill>
        </w:rPr>
        <w:t>卫生健康（类）</w:t>
      </w:r>
      <w:r>
        <w:rPr>
          <w:rFonts w:hint="eastAsia" w:ascii="仿宋_GB2312" w:hAnsi="仿宋_GB2312" w:eastAsia="仿宋_GB2312" w:cs="仿宋_GB2312"/>
          <w:color w:val="000000" w:themeColor="text1"/>
          <w:sz w:val="32"/>
          <w:szCs w:val="32"/>
          <w14:textFill>
            <w14:solidFill>
              <w14:schemeClr w14:val="tx1"/>
            </w14:solidFill>
          </w14:textFill>
        </w:rPr>
        <w:t>支出16万元，占5.1%；</w:t>
      </w:r>
      <w:r>
        <w:rPr>
          <w:rFonts w:hint="eastAsia" w:ascii="仿宋_GB2312" w:hAnsi="仿宋_GB2312" w:eastAsia="仿宋_GB2312" w:cs="仿宋_GB2312"/>
          <w:b/>
          <w:color w:val="000000" w:themeColor="text1"/>
          <w:sz w:val="32"/>
          <w:szCs w:val="32"/>
          <w14:textFill>
            <w14:solidFill>
              <w14:schemeClr w14:val="tx1"/>
            </w14:solidFill>
          </w14:textFill>
        </w:rPr>
        <w:t>住房保障（类）</w:t>
      </w:r>
      <w:r>
        <w:rPr>
          <w:rFonts w:hint="eastAsia" w:ascii="仿宋_GB2312" w:hAnsi="仿宋_GB2312" w:eastAsia="仿宋_GB2312" w:cs="仿宋_GB2312"/>
          <w:color w:val="000000" w:themeColor="text1"/>
          <w:sz w:val="32"/>
          <w:szCs w:val="32"/>
          <w14:textFill>
            <w14:solidFill>
              <w14:schemeClr w14:val="tx1"/>
            </w14:solidFill>
          </w14:textFill>
        </w:rPr>
        <w:t>支出27.17万元，占8.6%。</w:t>
      </w:r>
    </w:p>
    <w:p>
      <w:pPr>
        <w:pStyle w:val="2"/>
        <w:spacing w:before="93"/>
      </w:pPr>
    </w:p>
    <w:p>
      <w:pPr>
        <w:spacing w:line="600" w:lineRule="exact"/>
        <w:ind w:firstLine="640" w:firstLineChars="200"/>
        <w:rPr>
          <w:rFonts w:ascii="仿宋" w:hAnsi="仿宋" w:eastAsia="仿宋"/>
          <w:color w:val="000000"/>
          <w:sz w:val="32"/>
          <w:szCs w:val="32"/>
        </w:rPr>
      </w:pPr>
    </w:p>
    <w:p>
      <w:pPr>
        <w:pStyle w:val="2"/>
        <w:spacing w:before="93"/>
        <w:rPr>
          <w:rFonts w:ascii="仿宋" w:hAnsi="仿宋" w:eastAsia="仿宋"/>
          <w:color w:val="000000"/>
          <w:sz w:val="32"/>
          <w:szCs w:val="32"/>
        </w:rPr>
      </w:pPr>
    </w:p>
    <w:p>
      <w:pPr>
        <w:pStyle w:val="2"/>
        <w:spacing w:before="93"/>
        <w:rPr>
          <w:rFonts w:ascii="仿宋" w:hAnsi="仿宋" w:eastAsia="仿宋"/>
          <w:color w:val="000000"/>
          <w:sz w:val="32"/>
          <w:szCs w:val="32"/>
        </w:rPr>
      </w:pPr>
      <w:r>
        <w:rPr>
          <w:rFonts w:hint="eastAsia"/>
        </w:rPr>
        <w:t xml:space="preserve">    </w:t>
      </w:r>
      <w:r>
        <w:rPr>
          <w:rFonts w:ascii="仿宋" w:hAnsi="仿宋" w:eastAsia="仿宋"/>
          <w:color w:val="000000"/>
          <w:sz w:val="32"/>
          <w:szCs w:val="32"/>
        </w:rPr>
        <w:drawing>
          <wp:inline distT="0" distB="0" distL="114300" distR="114300">
            <wp:extent cx="4578350" cy="2749550"/>
            <wp:effectExtent l="0" t="0" r="12700" b="12700"/>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1"/>
                    <a:stretch>
                      <a:fillRect/>
                    </a:stretch>
                  </pic:blipFill>
                  <pic:spPr>
                    <a:xfrm>
                      <a:off x="0" y="0"/>
                      <a:ext cx="4578350" cy="2749550"/>
                    </a:xfrm>
                    <a:prstGeom prst="rect">
                      <a:avLst/>
                    </a:prstGeom>
                  </pic:spPr>
                </pic:pic>
              </a:graphicData>
            </a:graphic>
          </wp:inline>
        </w:drawing>
      </w:r>
      <w:bookmarkStart w:id="30" w:name="_Toc15377212"/>
    </w:p>
    <w:p>
      <w:pPr>
        <w:spacing w:line="600" w:lineRule="exact"/>
        <w:ind w:firstLine="1405" w:firstLineChars="500"/>
        <w:rPr>
          <w:rFonts w:ascii="仿宋" w:hAnsi="仿宋" w:eastAsia="仿宋"/>
          <w:color w:val="000000"/>
          <w:sz w:val="32"/>
          <w:szCs w:val="32"/>
        </w:rPr>
      </w:pPr>
      <w:r>
        <w:rPr>
          <w:rFonts w:hint="eastAsia" w:ascii="仿宋" w:hAnsi="仿宋" w:eastAsia="仿宋"/>
          <w:b/>
          <w:bCs/>
          <w:color w:val="000000" w:themeColor="text1"/>
          <w:sz w:val="28"/>
          <w:szCs w:val="28"/>
          <w14:textFill>
            <w14:solidFill>
              <w14:schemeClr w14:val="tx1"/>
            </w14:solidFill>
          </w14:textFill>
        </w:rPr>
        <w:t>图6：一般公共预算财政拨款支出决算结构</w:t>
      </w:r>
    </w:p>
    <w:p>
      <w:pPr>
        <w:spacing w:line="600" w:lineRule="exact"/>
        <w:ind w:firstLine="469" w:firstLineChars="146"/>
        <w:outlineLvl w:val="2"/>
        <w:rPr>
          <w:rFonts w:ascii="楷体_GB2312" w:hAnsi="仿宋" w:eastAsia="楷体_GB2312"/>
          <w:b/>
          <w:color w:val="000000"/>
          <w:sz w:val="32"/>
          <w:szCs w:val="32"/>
        </w:rPr>
      </w:pPr>
      <w:r>
        <w:rPr>
          <w:rFonts w:hint="eastAsia" w:ascii="楷体_GB2312" w:hAnsi="仿宋" w:eastAsia="楷体_GB2312"/>
          <w:b/>
          <w:color w:val="000000"/>
          <w:sz w:val="32"/>
          <w:szCs w:val="32"/>
        </w:rPr>
        <w:t>（三）一般公共预算财政拨款支出决算具体情况</w:t>
      </w:r>
      <w:bookmarkEnd w:id="30"/>
    </w:p>
    <w:p>
      <w:pPr>
        <w:spacing w:line="58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bookmarkStart w:id="31" w:name="_Toc15378460"/>
      <w:bookmarkStart w:id="32" w:name="_Toc15377444"/>
      <w:bookmarkStart w:id="33" w:name="_Toc15377213"/>
      <w:r>
        <w:rPr>
          <w:rFonts w:hint="eastAsia" w:ascii="仿宋_GB2312" w:hAnsi="仿宋_GB2312" w:eastAsia="仿宋_GB2312" w:cs="仿宋_GB2312"/>
          <w:b/>
          <w:bCs/>
          <w:color w:val="000000" w:themeColor="text1"/>
          <w:sz w:val="32"/>
          <w:szCs w:val="32"/>
          <w14:textFill>
            <w14:solidFill>
              <w14:schemeClr w14:val="tx1"/>
            </w14:solidFill>
          </w14:textFill>
        </w:rPr>
        <w:t>2020年一般公共预算支出决算数为314.16万元，完成预算91.91%。其中：</w:t>
      </w:r>
      <w:bookmarkEnd w:id="31"/>
      <w:bookmarkEnd w:id="32"/>
      <w:bookmarkEnd w:id="33"/>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1.一般公共服务（类）财政事务（款）事业运行（项）: 支出决算为141.6万元，完成预算88.54%，决算数小于预算数的主要原因是继续积极贯彻落实中央八项规定精神及省委省政府十项规定要求，加强事业单位日常经费管理。</w:t>
      </w:r>
    </w:p>
    <w:p>
      <w:pPr>
        <w:pStyle w:val="2"/>
        <w:spacing w:before="93"/>
        <w:ind w:firstLine="643" w:firstLineChars="200"/>
        <w:rPr>
          <w:rFonts w:hAnsi="仿宋_GB2312" w:cs="仿宋_GB2312"/>
          <w:color w:val="000000" w:themeColor="text1"/>
          <w:kern w:val="2"/>
          <w:sz w:val="32"/>
          <w:szCs w:val="32"/>
          <w14:textFill>
            <w14:solidFill>
              <w14:schemeClr w14:val="tx1"/>
            </w14:solidFill>
          </w14:textFill>
        </w:rPr>
      </w:pPr>
      <w:r>
        <w:rPr>
          <w:rFonts w:hint="eastAsia" w:hAnsi="仿宋_GB2312" w:cs="仿宋_GB2312"/>
          <w:b/>
          <w:bCs/>
          <w:color w:val="000000" w:themeColor="text1"/>
          <w:kern w:val="2"/>
          <w:sz w:val="32"/>
          <w:szCs w:val="32"/>
          <w14:textFill>
            <w14:solidFill>
              <w14:schemeClr w14:val="tx1"/>
            </w14:solidFill>
          </w14:textFill>
        </w:rPr>
        <w:t xml:space="preserve">2.一般公共服务（类）财政事务（款）其他财政事务支出（项）: </w:t>
      </w:r>
      <w:r>
        <w:rPr>
          <w:rFonts w:hint="eastAsia" w:hAnsi="仿宋_GB2312" w:cs="仿宋_GB2312"/>
          <w:color w:val="000000" w:themeColor="text1"/>
          <w:kern w:val="2"/>
          <w:sz w:val="32"/>
          <w:szCs w:val="32"/>
          <w14:textFill>
            <w14:solidFill>
              <w14:schemeClr w14:val="tx1"/>
            </w14:solidFill>
          </w14:textFill>
        </w:rPr>
        <w:t>支出决算为72.91万元，完成预算91.32%，决算数小于预算数的主要原因是积极贯彻落实中央八项规定精神及省委省政府十项规定要求，加强行政单位日常经费管理。</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3.社会保障和就业（类）行政事业单位养老支出（款）事业单位离退休（项）:</w:t>
      </w:r>
      <w:r>
        <w:rPr>
          <w:rStyle w:val="15"/>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支出决算为32.17万元，完成预算97.45%。</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15"/>
          <w:rFonts w:hint="eastAsia" w:ascii="仿宋_GB2312" w:hAnsi="仿宋_GB2312" w:eastAsia="仿宋_GB2312" w:cs="仿宋_GB2312"/>
          <w:bCs/>
          <w:color w:val="000000"/>
          <w:sz w:val="32"/>
          <w:szCs w:val="32"/>
        </w:rPr>
        <w:t>4.社会保障和就业（类）行政事业单位养老支出（款）机关事业单位基本养老保险缴费支出（项）：</w:t>
      </w:r>
      <w:r>
        <w:rPr>
          <w:rFonts w:hint="eastAsia" w:ascii="仿宋_GB2312" w:hAnsi="仿宋_GB2312" w:eastAsia="仿宋_GB2312" w:cs="仿宋_GB2312"/>
          <w:color w:val="000000" w:themeColor="text1"/>
          <w:sz w:val="32"/>
          <w:szCs w:val="32"/>
          <w14:textFill>
            <w14:solidFill>
              <w14:schemeClr w14:val="tx1"/>
            </w14:solidFill>
          </w14:textFill>
        </w:rPr>
        <w:t>支出决算17.37万元，完成预算94%。</w:t>
      </w:r>
    </w:p>
    <w:p>
      <w:pPr>
        <w:pStyle w:val="2"/>
        <w:spacing w:before="93"/>
        <w:ind w:firstLine="643" w:firstLineChars="200"/>
        <w:rPr>
          <w:rStyle w:val="15"/>
          <w:rFonts w:hAnsi="仿宋_GB2312" w:cs="仿宋_GB2312"/>
          <w:b w:val="0"/>
          <w:bCs/>
          <w:color w:val="000000"/>
          <w:sz w:val="32"/>
          <w:szCs w:val="32"/>
        </w:rPr>
      </w:pPr>
      <w:r>
        <w:rPr>
          <w:rStyle w:val="15"/>
          <w:rFonts w:hint="eastAsia" w:hAnsi="仿宋_GB2312" w:cs="仿宋_GB2312"/>
          <w:bCs/>
          <w:color w:val="000000"/>
          <w:sz w:val="32"/>
          <w:szCs w:val="32"/>
        </w:rPr>
        <w:t>5.社会保障和就业（类）行政事业单位养老支出（款）机关事业单位年金缴费支出（项）：</w:t>
      </w:r>
      <w:r>
        <w:rPr>
          <w:rStyle w:val="15"/>
          <w:rFonts w:hint="eastAsia" w:hAnsi="仿宋_GB2312" w:cs="仿宋_GB2312"/>
          <w:b w:val="0"/>
          <w:bCs/>
          <w:color w:val="000000"/>
          <w:sz w:val="32"/>
          <w:szCs w:val="32"/>
        </w:rPr>
        <w:t>支出决算6.94万元，完成预算94%。</w:t>
      </w:r>
    </w:p>
    <w:p>
      <w:p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6.</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5"/>
          <w:rFonts w:hint="eastAsia" w:ascii="仿宋_GB2312" w:hAnsi="仿宋_GB2312" w:eastAsia="仿宋_GB2312" w:cs="仿宋_GB2312"/>
          <w:bCs/>
          <w:color w:val="000000"/>
          <w:sz w:val="32"/>
          <w:szCs w:val="32"/>
        </w:rPr>
        <w:t>（类）行政事业单位医疗（款）事业单位医疗（项）:</w:t>
      </w:r>
      <w:r>
        <w:rPr>
          <w:rStyle w:val="15"/>
          <w:rFonts w:hint="eastAsia" w:ascii="仿宋_GB2312" w:hAnsi="仿宋_GB2312" w:eastAsia="仿宋_GB2312" w:cs="仿宋_GB2312"/>
          <w:b w:val="0"/>
          <w:bCs/>
          <w:color w:val="000000"/>
          <w:sz w:val="32"/>
          <w:szCs w:val="32"/>
        </w:rPr>
        <w:t>支出决算为16万元，完成预算100%。</w:t>
      </w:r>
    </w:p>
    <w:p>
      <w:pPr>
        <w:pStyle w:val="2"/>
        <w:spacing w:before="93"/>
        <w:ind w:firstLine="643" w:firstLineChars="200"/>
        <w:rPr>
          <w:rFonts w:hAnsi="仿宋_GB2312" w:cs="仿宋_GB2312"/>
          <w:color w:val="000000"/>
          <w:sz w:val="32"/>
          <w:szCs w:val="32"/>
        </w:rPr>
      </w:pPr>
      <w:r>
        <w:rPr>
          <w:rStyle w:val="15"/>
          <w:rFonts w:hint="eastAsia" w:hAnsi="仿宋_GB2312" w:cs="仿宋_GB2312"/>
          <w:color w:val="000000"/>
          <w:sz w:val="32"/>
          <w:szCs w:val="32"/>
        </w:rPr>
        <w:t>7.住房保障支出（类）住房改革支出（款）</w:t>
      </w:r>
      <w:r>
        <w:rPr>
          <w:rFonts w:hint="eastAsia" w:hAnsi="仿宋_GB2312" w:cs="仿宋_GB2312"/>
          <w:b/>
        </w:rPr>
        <w:t>住房公积金（项）</w:t>
      </w:r>
      <w:r>
        <w:rPr>
          <w:rFonts w:hint="eastAsia" w:hAnsi="仿宋_GB2312" w:cs="仿宋_GB2312"/>
          <w:b/>
          <w:color w:val="000000"/>
          <w:sz w:val="32"/>
          <w:szCs w:val="32"/>
        </w:rPr>
        <w:t>：</w:t>
      </w:r>
      <w:r>
        <w:rPr>
          <w:rFonts w:hint="eastAsia" w:hAnsi="仿宋_GB2312" w:cs="仿宋_GB2312"/>
          <w:color w:val="000000"/>
          <w:sz w:val="32"/>
          <w:szCs w:val="32"/>
        </w:rPr>
        <w:t>支出决算为18万元，完成预算100%。</w:t>
      </w:r>
    </w:p>
    <w:p>
      <w:pPr>
        <w:pStyle w:val="2"/>
        <w:spacing w:before="93"/>
        <w:ind w:firstLine="643" w:firstLineChars="200"/>
        <w:rPr>
          <w:rFonts w:hAnsi="仿宋_GB2312" w:cs="仿宋_GB2312"/>
          <w:b/>
          <w:color w:val="000000"/>
          <w:sz w:val="32"/>
          <w:szCs w:val="32"/>
        </w:rPr>
      </w:pPr>
      <w:r>
        <w:rPr>
          <w:rStyle w:val="15"/>
          <w:rFonts w:hint="eastAsia" w:hAnsi="仿宋_GB2312" w:cs="仿宋_GB2312"/>
          <w:color w:val="000000"/>
          <w:sz w:val="32"/>
          <w:szCs w:val="32"/>
        </w:rPr>
        <w:t>8.住房保障支出（类）住房改革支出（款）</w:t>
      </w:r>
      <w:r>
        <w:rPr>
          <w:rFonts w:hint="eastAsia" w:ascii="仿宋_GB2312" w:hAnsi="仿宋_GB2312" w:eastAsia="仿宋_GB2312" w:cs="仿宋_GB2312"/>
          <w:b/>
          <w:bCs/>
          <w:sz w:val="32"/>
          <w:szCs w:val="32"/>
        </w:rPr>
        <w:t>购房补贴（项）</w:t>
      </w:r>
      <w:r>
        <w:rPr>
          <w:rFonts w:hint="eastAsia" w:hAnsi="仿宋_GB2312" w:cs="仿宋_GB2312"/>
          <w:b/>
        </w:rPr>
        <w:t>:</w:t>
      </w:r>
      <w:r>
        <w:rPr>
          <w:rFonts w:hint="eastAsia" w:hAnsi="仿宋_GB2312" w:cs="仿宋_GB2312"/>
        </w:rPr>
        <w:t>支</w:t>
      </w:r>
      <w:r>
        <w:rPr>
          <w:rStyle w:val="15"/>
          <w:rFonts w:hint="eastAsia" w:hAnsi="仿宋_GB2312" w:cs="仿宋_GB2312"/>
          <w:b w:val="0"/>
          <w:bCs/>
          <w:color w:val="000000"/>
          <w:sz w:val="32"/>
          <w:szCs w:val="32"/>
        </w:rPr>
        <w:t>出决算为9.17万元，完成预算100%。</w:t>
      </w: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2020年一般公共预算财政拨款基本支出241.25万元，其中：</w:t>
      </w:r>
    </w:p>
    <w:p>
      <w:pPr>
        <w:spacing w:line="600" w:lineRule="exact"/>
        <w:rPr>
          <w:rFonts w:ascii="仿宋" w:hAnsi="仿宋" w:eastAsia="仿宋"/>
          <w:b/>
          <w:color w:val="FF0000"/>
          <w:sz w:val="32"/>
          <w:szCs w:val="32"/>
        </w:rPr>
      </w:pPr>
      <w:r>
        <w:rPr>
          <w:rFonts w:hint="eastAsia" w:ascii="仿宋_GB2312" w:hAnsi="仿宋_GB2312" w:eastAsia="仿宋_GB2312" w:cs="仿宋_GB2312"/>
          <w:color w:val="000000"/>
          <w:sz w:val="32"/>
          <w:szCs w:val="32"/>
        </w:rPr>
        <w:t>人员经费225.96万元，主要包括：基本工资、津贴补贴、绩效工资、机关事业单位基本养老保险缴费、职业年金缴费、其他社会保障缴费、其他工资福利支出、职工基本医疗保险缴费、其他对个人和家庭的补助支出等。</w:t>
      </w:r>
      <w:r>
        <w:rPr>
          <w:rFonts w:hint="eastAsia" w:ascii="仿宋_GB2312" w:hAnsi="仿宋_GB2312" w:eastAsia="仿宋_GB2312" w:cs="仿宋_GB2312"/>
          <w:color w:val="000000"/>
          <w:sz w:val="32"/>
          <w:szCs w:val="32"/>
        </w:rPr>
        <w:br w:type="textWrapping"/>
      </w:r>
      <w:r>
        <w:rPr>
          <w:rFonts w:hint="eastAsia" w:ascii="仿宋" w:hAnsi="仿宋" w:eastAsia="仿宋"/>
          <w:color w:val="000000"/>
          <w:sz w:val="32"/>
          <w:szCs w:val="32"/>
        </w:rPr>
        <w:t>　</w:t>
      </w:r>
      <w:r>
        <w:rPr>
          <w:rFonts w:hint="eastAsia" w:ascii="仿宋_GB2312" w:hAnsi="仿宋_GB2312" w:eastAsia="仿宋_GB2312" w:cs="仿宋_GB2312"/>
          <w:color w:val="000000"/>
          <w:sz w:val="32"/>
          <w:szCs w:val="32"/>
        </w:rPr>
        <w:t>　公用经费15.29万元，主要包括：办公费、水费、差旅费、工会经费、福利费、其他商品和服务支出等。</w:t>
      </w: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6"/>
      <w:bookmarkEnd w:id="37"/>
    </w:p>
    <w:p>
      <w:pPr>
        <w:spacing w:line="600" w:lineRule="exact"/>
        <w:ind w:firstLine="645"/>
        <w:rPr>
          <w:rFonts w:hint="eastAsia" w:ascii="仿宋_GB2312" w:hAnsi="仿宋_GB2312" w:eastAsia="仿宋_GB2312" w:cs="仿宋_GB2312"/>
          <w:color w:val="000000"/>
          <w:sz w:val="32"/>
          <w:szCs w:val="32"/>
          <w:lang w:eastAsia="zh-CN"/>
        </w:rPr>
      </w:pPr>
      <w:bookmarkStart w:id="38" w:name="_Toc15377216"/>
      <w:r>
        <w:rPr>
          <w:rFonts w:hint="eastAsia" w:ascii="仿宋_GB2312" w:hAnsi="仿宋_GB2312" w:eastAsia="仿宋_GB2312" w:cs="仿宋_GB2312"/>
          <w:color w:val="000000"/>
          <w:sz w:val="32"/>
          <w:szCs w:val="32"/>
        </w:rPr>
        <w:t>科研所2020年未发生“三公”经费财政拨款支出</w:t>
      </w:r>
      <w:bookmarkEnd w:id="38"/>
      <w:bookmarkStart w:id="39" w:name="_Toc15396610"/>
      <w:bookmarkStart w:id="40" w:name="_Toc15377218"/>
      <w:r>
        <w:rPr>
          <w:rFonts w:hint="eastAsia" w:ascii="仿宋_GB2312" w:hAnsi="仿宋_GB2312" w:eastAsia="仿宋_GB2312" w:cs="仿宋_GB2312"/>
          <w:color w:val="000000"/>
          <w:sz w:val="32"/>
          <w:szCs w:val="32"/>
          <w:lang w:val="en-US" w:eastAsia="zh-CN"/>
        </w:rPr>
        <w:t>,本年度“三公”经费财政拨款支出与上年决算数无变化</w:t>
      </w:r>
      <w:r>
        <w:rPr>
          <w:rFonts w:hint="eastAsia" w:ascii="仿宋_GB2312" w:hAnsi="仿宋_GB2312" w:eastAsia="仿宋_GB2312" w:cs="仿宋_GB2312"/>
          <w:color w:val="000000"/>
          <w:sz w:val="32"/>
          <w:szCs w:val="32"/>
          <w:lang w:eastAsia="zh-CN"/>
        </w:rPr>
        <w:t>。本单位无公务用车。</w:t>
      </w:r>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39"/>
      <w:bookmarkEnd w:id="4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科研所2020年未发生政府性基金预算</w:t>
      </w:r>
      <w:r>
        <w:rPr>
          <w:rFonts w:hint="eastAsia" w:ascii="仿宋_GB2312" w:hAnsi="仿宋_GB2312" w:eastAsia="仿宋_GB2312" w:cs="仿宋_GB2312"/>
          <w:sz w:val="32"/>
          <w:szCs w:val="32"/>
        </w:rPr>
        <w:t>财政拨款支出。</w:t>
      </w:r>
    </w:p>
    <w:p>
      <w:pPr>
        <w:numPr>
          <w:ilvl w:val="0"/>
          <w:numId w:val="2"/>
        </w:numPr>
        <w:spacing w:line="600" w:lineRule="exact"/>
        <w:ind w:firstLine="640"/>
        <w:outlineLvl w:val="1"/>
        <w:rPr>
          <w:rStyle w:val="27"/>
          <w:rFonts w:ascii="黑体" w:hAnsi="黑体" w:eastAsia="黑体"/>
          <w:b w:val="0"/>
        </w:rPr>
      </w:pPr>
      <w:bookmarkStart w:id="41" w:name="_Toc15377219"/>
      <w:bookmarkStart w:id="42" w:name="_Toc15396611"/>
      <w:r>
        <w:rPr>
          <w:rStyle w:val="27"/>
          <w:rFonts w:hint="eastAsia" w:ascii="黑体" w:hAnsi="黑体" w:eastAsia="黑体"/>
          <w:b w:val="0"/>
        </w:rPr>
        <w:t>国有资本经营预算支出决算情况说明</w:t>
      </w:r>
      <w:bookmarkEnd w:id="41"/>
      <w:bookmarkEnd w:id="42"/>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color w:val="000000"/>
          <w:sz w:val="32"/>
          <w:szCs w:val="32"/>
        </w:rPr>
        <w:t>科研所</w:t>
      </w:r>
      <w:r>
        <w:rPr>
          <w:rFonts w:ascii="仿宋_GB2312" w:eastAsia="仿宋_GB2312"/>
          <w:sz w:val="32"/>
          <w:szCs w:val="32"/>
        </w:rPr>
        <w:t>20</w:t>
      </w:r>
      <w:r>
        <w:rPr>
          <w:rFonts w:hint="eastAsia" w:ascii="仿宋_GB2312" w:eastAsia="仿宋_GB2312"/>
          <w:sz w:val="32"/>
          <w:szCs w:val="32"/>
        </w:rPr>
        <w:t>20年未发生国有资本经营预算财政</w:t>
      </w:r>
      <w:r>
        <w:rPr>
          <w:rFonts w:hint="eastAsia" w:ascii="仿宋_GB2312" w:eastAsia="仿宋_GB2312"/>
          <w:color w:val="000000"/>
          <w:sz w:val="32"/>
          <w:szCs w:val="32"/>
        </w:rPr>
        <w:t>拨款支出。</w:t>
      </w:r>
    </w:p>
    <w:p>
      <w:pPr>
        <w:numPr>
          <w:ilvl w:val="0"/>
          <w:numId w:val="2"/>
        </w:numPr>
        <w:spacing w:line="600" w:lineRule="exact"/>
        <w:ind w:firstLine="640"/>
        <w:outlineLvl w:val="1"/>
        <w:rPr>
          <w:rStyle w:val="27"/>
          <w:rFonts w:ascii="黑体" w:hAnsi="黑体" w:eastAsia="黑体"/>
          <w:b w:val="0"/>
        </w:rPr>
      </w:pPr>
      <w:bookmarkStart w:id="43" w:name="_Toc15396612"/>
      <w:bookmarkStart w:id="44" w:name="_Toc15377221"/>
      <w:r>
        <w:rPr>
          <w:rStyle w:val="27"/>
          <w:rFonts w:hint="eastAsia" w:ascii="黑体" w:hAnsi="黑体" w:eastAsia="黑体"/>
          <w:b w:val="0"/>
        </w:rPr>
        <w:t>其他重要事项的情况说明</w:t>
      </w:r>
      <w:bookmarkEnd w:id="43"/>
      <w:bookmarkEnd w:id="44"/>
    </w:p>
    <w:p>
      <w:pPr>
        <w:spacing w:line="600" w:lineRule="exact"/>
        <w:ind w:firstLine="469" w:firstLineChars="146"/>
        <w:outlineLvl w:val="2"/>
        <w:rPr>
          <w:rFonts w:ascii="楷体_GB2312" w:hAnsi="仿宋" w:eastAsia="楷体_GB2312"/>
          <w:color w:val="000000"/>
          <w:sz w:val="32"/>
          <w:szCs w:val="32"/>
        </w:rPr>
      </w:pPr>
      <w:bookmarkStart w:id="45" w:name="_Toc15377222"/>
      <w:r>
        <w:rPr>
          <w:rFonts w:hint="eastAsia" w:ascii="楷体_GB2312" w:hAnsi="仿宋" w:eastAsia="楷体_GB2312"/>
          <w:b/>
          <w:color w:val="000000"/>
          <w:sz w:val="32"/>
          <w:szCs w:val="32"/>
        </w:rPr>
        <w:t>（一）机关运行经费支出情况</w:t>
      </w:r>
      <w:bookmarkEnd w:id="4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hAnsi="仿宋_GB2312" w:eastAsia="仿宋_GB2312" w:cs="仿宋_GB2312"/>
          <w:color w:val="000000"/>
          <w:sz w:val="32"/>
          <w:szCs w:val="32"/>
        </w:rPr>
        <w:t>科研所</w:t>
      </w:r>
      <w:r>
        <w:rPr>
          <w:rFonts w:hint="eastAsia" w:ascii="仿宋_GB2312" w:eastAsia="仿宋_GB2312"/>
          <w:color w:val="000000"/>
          <w:sz w:val="32"/>
          <w:szCs w:val="32"/>
        </w:rPr>
        <w:t>未发生机关运行经费支出。</w:t>
      </w:r>
    </w:p>
    <w:p>
      <w:pPr>
        <w:spacing w:line="600" w:lineRule="exact"/>
        <w:ind w:firstLine="469" w:firstLineChars="146"/>
        <w:outlineLvl w:val="2"/>
        <w:rPr>
          <w:rFonts w:ascii="楷体_GB2312" w:hAnsi="仿宋" w:eastAsia="楷体_GB2312"/>
          <w:b/>
          <w:color w:val="000000"/>
          <w:sz w:val="32"/>
          <w:szCs w:val="32"/>
        </w:rPr>
      </w:pPr>
      <w:bookmarkStart w:id="46" w:name="_Toc15377223"/>
      <w:r>
        <w:rPr>
          <w:rFonts w:hint="eastAsia" w:ascii="楷体_GB2312" w:hAnsi="仿宋" w:eastAsia="楷体_GB2312"/>
          <w:b/>
          <w:color w:val="000000"/>
          <w:sz w:val="32"/>
          <w:szCs w:val="32"/>
        </w:rPr>
        <w:t>（二）政府采购支出情况</w:t>
      </w:r>
      <w:bookmarkEnd w:id="4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hAnsi="仿宋_GB2312" w:eastAsia="仿宋_GB2312" w:cs="仿宋_GB2312"/>
          <w:color w:val="000000"/>
          <w:sz w:val="32"/>
          <w:szCs w:val="32"/>
        </w:rPr>
        <w:t>科研所</w:t>
      </w:r>
      <w:r>
        <w:rPr>
          <w:rFonts w:hint="eastAsia" w:ascii="仿宋_GB2312" w:eastAsia="仿宋_GB2312"/>
          <w:color w:val="000000"/>
          <w:sz w:val="32"/>
          <w:szCs w:val="32"/>
        </w:rPr>
        <w:t>未发生政府采购支出。</w:t>
      </w:r>
    </w:p>
    <w:p>
      <w:pPr>
        <w:spacing w:line="600" w:lineRule="exact"/>
        <w:ind w:firstLine="469" w:firstLineChars="146"/>
        <w:outlineLvl w:val="2"/>
        <w:rPr>
          <w:rFonts w:ascii="楷体_GB2312" w:hAnsi="仿宋" w:eastAsia="楷体_GB2312"/>
          <w:b/>
          <w:color w:val="000000"/>
          <w:sz w:val="32"/>
          <w:szCs w:val="32"/>
        </w:rPr>
      </w:pPr>
      <w:bookmarkStart w:id="47" w:name="_Toc15377224"/>
      <w:r>
        <w:rPr>
          <w:rFonts w:hint="eastAsia" w:ascii="楷体_GB2312" w:hAnsi="仿宋" w:eastAsia="楷体_GB2312"/>
          <w:b/>
          <w:color w:val="000000"/>
          <w:sz w:val="32"/>
          <w:szCs w:val="32"/>
        </w:rPr>
        <w:t>（三）国有资产占有使用情况</w:t>
      </w:r>
      <w:bookmarkEnd w:id="47"/>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仿宋_GB2312" w:eastAsia="仿宋_GB2312" w:cs="仿宋_GB2312"/>
          <w:color w:val="000000"/>
          <w:sz w:val="32"/>
          <w:szCs w:val="32"/>
        </w:rPr>
        <w:t>科研所</w:t>
      </w:r>
      <w:r>
        <w:rPr>
          <w:rFonts w:hint="eastAsia" w:ascii="仿宋_GB2312" w:eastAsia="仿宋_GB2312"/>
          <w:color w:val="000000"/>
          <w:sz w:val="32"/>
          <w:szCs w:val="32"/>
        </w:rPr>
        <w:t>共有车辆0辆。</w:t>
      </w:r>
      <w:r>
        <w:rPr>
          <w:rFonts w:hint="eastAsia" w:ascii="仿宋_GB2312" w:hAnsi="Calibri" w:eastAsia="仿宋_GB2312" w:cs="仿宋"/>
          <w:color w:val="000000"/>
          <w:kern w:val="0"/>
          <w:sz w:val="32"/>
          <w:szCs w:val="32"/>
        </w:rPr>
        <w:t>单价50万元以上通用设备0台（套），单价100万元以上专用设备0台（套）。</w:t>
      </w:r>
    </w:p>
    <w:p>
      <w:pPr>
        <w:autoSpaceDE w:val="0"/>
        <w:autoSpaceDN w:val="0"/>
        <w:adjustRightInd w:val="0"/>
        <w:spacing w:line="600" w:lineRule="exact"/>
        <w:ind w:firstLine="469" w:firstLineChars="146"/>
        <w:jc w:val="left"/>
        <w:outlineLvl w:val="2"/>
        <w:rPr>
          <w:rFonts w:ascii="楷体_GB2312" w:hAnsi="仿宋" w:eastAsia="楷体_GB2312"/>
          <w:b/>
          <w:sz w:val="32"/>
          <w:szCs w:val="32"/>
        </w:rPr>
      </w:pPr>
      <w:r>
        <w:rPr>
          <w:rFonts w:hint="eastAsia" w:ascii="楷体_GB2312" w:hAnsi="仿宋" w:eastAsia="楷体_GB2312"/>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根据预算绩效管理要求，本单位无100万元以上项目，因此未开展预算事前评估、编制绩效目标、开展绩效监控、项目绩效目标完成情况自评。</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6"/>
          <w:rFonts w:ascii="黑体" w:hAnsi="黑体" w:eastAsia="黑体"/>
          <w:b w:val="0"/>
        </w:rPr>
      </w:pPr>
      <w:bookmarkStart w:id="48" w:name="_Toc15377225"/>
      <w:bookmarkStart w:id="49"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48"/>
      <w:bookmarkEnd w:id="49"/>
    </w:p>
    <w:p>
      <w:pPr>
        <w:spacing w:line="600" w:lineRule="exact"/>
        <w:jc w:val="left"/>
        <w:rPr>
          <w:rFonts w:ascii="宋体"/>
          <w:b/>
          <w:color w:val="000000"/>
          <w:sz w:val="44"/>
          <w:szCs w:val="44"/>
        </w:rPr>
      </w:pP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4"/>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2.一般公共服务（类）财政事务（款）事业运行（项）：指科研所用于保障机构正常运行、开展日常工作的基本支出。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3.一般公共服务（类）财政事务（款）其他财政事务支出（项）：科研所开展其他财政事务方面专门性工作任务的项目支出，如财政科研工作经费支出。</w:t>
      </w:r>
    </w:p>
    <w:p>
      <w:pPr>
        <w:pStyle w:val="24"/>
        <w:spacing w:line="520" w:lineRule="exact"/>
        <w:ind w:firstLine="640" w:firstLineChars="200"/>
        <w:rPr>
          <w:rFonts w:ascii="仿宋_GB2312" w:hAnsi="仿宋_GB2312" w:eastAsia="仿宋_GB2312" w:cs="仿宋_GB2312"/>
          <w:spacing w:val="-2"/>
          <w:sz w:val="32"/>
          <w:szCs w:val="32"/>
        </w:rPr>
      </w:pPr>
      <w:r>
        <w:rPr>
          <w:rFonts w:hint="eastAsia" w:ascii="仿宋_GB2312" w:hAnsi="仿宋_GB2312" w:eastAsia="仿宋_GB2312" w:cs="仿宋_GB2312"/>
          <w:sz w:val="32"/>
          <w:szCs w:val="32"/>
        </w:rPr>
        <w:t>4.社会保障和就业（类）行政事业单位养老支出（款）机关事业单位基本养老保险缴费支出（项）：指科研所</w:t>
      </w:r>
      <w:r>
        <w:rPr>
          <w:rFonts w:hint="eastAsia" w:ascii="仿宋_GB2312" w:hAnsi="仿宋_GB2312" w:eastAsia="仿宋_GB2312" w:cs="仿宋_GB2312"/>
          <w:spacing w:val="-2"/>
          <w:sz w:val="32"/>
          <w:szCs w:val="32"/>
        </w:rPr>
        <w:t>实施养老保险制度由单位缴纳的养老保险费的支出。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5.社会保障和就业（类）行政事业单位养老支出（款）机关事业单位职业年金缴费支出（项）：指科研所实施养老保险制度由单位缴纳的职业年金的支出。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6.社会保障和就业（类）行政事业单位养老支出（款）事业单位离退休支出（项）：指科研所的离退休人员的支出。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7.卫生健康（类）行政事业单位医疗（款）事业单位医疗（项）：指科研所用于缴纳单位基本医疗保险支出。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8.住房保障（类）住房改革支出（款）住房公积金（项）：指按照《住房公积金管理条例》的规定，由单位及其在职职工缴存的长期住房储金。</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9.住房保障（类）住房改革支出（款）购房补贴（项）：指按房改政策规定的标准，向符合条件职工发放的用于购买住房的补贴。</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10.基本支出：指为保证机构正常运转，完成日常工作任务而发生的人员支出和日常公用支出。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11.项目支出：指在基本支出之外为完成特定行政任务和事业发展目标所发生的支出。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三公”经费：纳入单位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机关运行经费：为保障行政单位（含参照公务员法管理的事业单位）运行用于购买货物和服务的各项资金，包括办公及印刷费、邮电费、差旅费、会议费、福利费、日常维修费、一般购置费、办公用房水电费以及其他费用。</w:t>
      </w:r>
    </w:p>
    <w:p>
      <w:pPr>
        <w:adjustRightInd w:val="0"/>
        <w:snapToGrid w:val="0"/>
        <w:spacing w:line="600" w:lineRule="exact"/>
        <w:ind w:firstLine="883" w:firstLineChars="200"/>
        <w:rPr>
          <w:rFonts w:ascii="宋体"/>
          <w:b/>
          <w:color w:val="000000"/>
          <w:sz w:val="44"/>
          <w:szCs w:val="44"/>
        </w:rPr>
      </w:pPr>
      <w:bookmarkStart w:id="50" w:name="_Toc15377226"/>
      <w:r>
        <w:rPr>
          <w:rFonts w:ascii="宋体"/>
          <w:b/>
          <w:color w:val="000000"/>
          <w:sz w:val="44"/>
          <w:szCs w:val="44"/>
        </w:rPr>
        <w:br w:type="page"/>
      </w:r>
    </w:p>
    <w:p>
      <w:pPr>
        <w:pStyle w:val="3"/>
        <w:jc w:val="center"/>
        <w:rPr>
          <w:rFonts w:ascii="黑体" w:eastAsia="黑体"/>
          <w:color w:val="000000"/>
          <w:sz w:val="32"/>
          <w:szCs w:val="32"/>
        </w:rPr>
      </w:pPr>
      <w:r>
        <w:rPr>
          <w:rFonts w:hint="eastAsia" w:ascii="黑体" w:hAnsi="黑体" w:eastAsia="黑体"/>
          <w:b w:val="0"/>
        </w:rPr>
        <w:t>第四部分 附件</w:t>
      </w:r>
    </w:p>
    <w:p>
      <w:pPr>
        <w:pStyle w:val="4"/>
        <w:spacing w:before="0" w:after="0" w:line="520" w:lineRule="atLeast"/>
        <w:ind w:firstLine="640" w:firstLineChars="200"/>
        <w:jc w:val="center"/>
        <w:rPr>
          <w:rFonts w:ascii="黑体" w:hAnsi="黑体" w:eastAsia="黑体" w:cs="Times New Roman"/>
          <w:b w:val="0"/>
          <w:color w:val="000000"/>
        </w:rPr>
      </w:pPr>
      <w:r>
        <w:rPr>
          <w:rFonts w:hint="eastAsia" w:ascii="黑体" w:hAnsi="黑体" w:eastAsia="黑体" w:cs="Times New Roman"/>
          <w:b w:val="0"/>
          <w:color w:val="000000"/>
        </w:rPr>
        <w:t>四川省财政科学研究所</w:t>
      </w:r>
    </w:p>
    <w:p>
      <w:pPr>
        <w:pStyle w:val="4"/>
        <w:spacing w:before="0" w:after="0" w:line="520" w:lineRule="atLeast"/>
        <w:ind w:firstLine="640" w:firstLineChars="200"/>
        <w:jc w:val="center"/>
        <w:rPr>
          <w:rFonts w:ascii="黑体" w:hAnsi="黑体" w:eastAsia="黑体" w:cs="Times New Roman"/>
          <w:b w:val="0"/>
          <w:color w:val="000000"/>
        </w:rPr>
      </w:pPr>
      <w:r>
        <w:rPr>
          <w:rFonts w:hint="eastAsia" w:ascii="黑体" w:hAnsi="黑体" w:eastAsia="黑体" w:cs="Times New Roman"/>
          <w:b w:val="0"/>
          <w:color w:val="000000"/>
        </w:rPr>
        <w:t>2020年预算项目支出绩效自评报告</w:t>
      </w:r>
    </w:p>
    <w:p>
      <w:r>
        <w:rPr>
          <w:rFonts w:hint="eastAsia"/>
        </w:rPr>
        <w:t xml:space="preserve"> </w:t>
      </w:r>
    </w:p>
    <w:p>
      <w:pPr>
        <w:pStyle w:val="2"/>
        <w:spacing w:before="93"/>
        <w:ind w:firstLine="2850" w:firstLineChars="950"/>
      </w:pPr>
      <w:r>
        <w:rPr>
          <w:rFonts w:hint="eastAsia"/>
        </w:rPr>
        <w:t xml:space="preserve">（本单位未开展此项工作。） </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left="660"/>
        <w:jc w:val="center"/>
        <w:outlineLvl w:val="0"/>
        <w:rPr>
          <w:rStyle w:val="26"/>
          <w:rFonts w:ascii="黑体" w:hAnsi="黑体" w:eastAsia="黑体"/>
          <w:b w:val="0"/>
        </w:rPr>
      </w:pPr>
      <w:bookmarkStart w:id="51" w:name="_Toc15396618"/>
      <w:r>
        <w:rPr>
          <w:rStyle w:val="26"/>
          <w:rFonts w:hint="eastAsia" w:ascii="黑体" w:hAnsi="黑体" w:eastAsia="黑体"/>
          <w:b w:val="0"/>
        </w:rPr>
        <w:t>第五部分 附表</w:t>
      </w:r>
      <w:bookmarkEnd w:id="50"/>
      <w:bookmarkEnd w:id="51"/>
      <w:bookmarkStart w:id="52" w:name="_Toc15396619"/>
    </w:p>
    <w:p>
      <w:pPr>
        <w:pStyle w:val="2"/>
        <w:spacing w:before="93"/>
      </w:pPr>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2"/>
    </w:p>
    <w:p>
      <w:pPr>
        <w:pStyle w:val="24"/>
        <w:spacing w:line="520" w:lineRule="exact"/>
        <w:ind w:firstLine="640" w:firstLineChars="200"/>
        <w:rPr>
          <w:rFonts w:ascii="仿宋_GB2312" w:hAnsi="仿宋_GB2312" w:eastAsia="仿宋_GB2312" w:cs="仿宋_GB2312"/>
          <w:sz w:val="32"/>
          <w:szCs w:val="32"/>
        </w:rPr>
      </w:pPr>
      <w:bookmarkStart w:id="53" w:name="_Toc15396620"/>
      <w:r>
        <w:rPr>
          <w:rFonts w:hint="eastAsia" w:ascii="仿宋_GB2312" w:hAnsi="仿宋_GB2312" w:eastAsia="仿宋_GB2312" w:cs="仿宋_GB2312"/>
          <w:sz w:val="32"/>
          <w:szCs w:val="32"/>
        </w:rPr>
        <w:t>二、收入决算表</w:t>
      </w:r>
      <w:bookmarkEnd w:id="53"/>
    </w:p>
    <w:p>
      <w:pPr>
        <w:pStyle w:val="24"/>
        <w:spacing w:line="520" w:lineRule="exact"/>
        <w:ind w:firstLine="640" w:firstLineChars="200"/>
        <w:rPr>
          <w:rFonts w:ascii="仿宋_GB2312" w:hAnsi="仿宋_GB2312" w:eastAsia="仿宋_GB2312" w:cs="仿宋_GB2312"/>
          <w:sz w:val="32"/>
          <w:szCs w:val="32"/>
        </w:rPr>
      </w:pPr>
      <w:bookmarkStart w:id="54" w:name="_Toc15396621"/>
      <w:r>
        <w:rPr>
          <w:rFonts w:hint="eastAsia" w:ascii="仿宋_GB2312" w:hAnsi="仿宋_GB2312" w:eastAsia="仿宋_GB2312" w:cs="仿宋_GB2312"/>
          <w:sz w:val="32"/>
          <w:szCs w:val="32"/>
        </w:rPr>
        <w:t>三、支出决算表</w:t>
      </w:r>
      <w:bookmarkEnd w:id="54"/>
    </w:p>
    <w:p>
      <w:pPr>
        <w:pStyle w:val="24"/>
        <w:spacing w:line="520" w:lineRule="exact"/>
        <w:ind w:firstLine="640" w:firstLineChars="200"/>
        <w:rPr>
          <w:rFonts w:ascii="仿宋_GB2312" w:hAnsi="仿宋_GB2312" w:eastAsia="仿宋_GB2312" w:cs="仿宋_GB2312"/>
          <w:sz w:val="32"/>
          <w:szCs w:val="32"/>
        </w:rPr>
      </w:pPr>
      <w:bookmarkStart w:id="55" w:name="_Toc15396622"/>
      <w:r>
        <w:rPr>
          <w:rFonts w:hint="eastAsia" w:ascii="仿宋_GB2312" w:hAnsi="仿宋_GB2312" w:eastAsia="仿宋_GB2312" w:cs="仿宋_GB2312"/>
          <w:sz w:val="32"/>
          <w:szCs w:val="32"/>
        </w:rPr>
        <w:t>四、财政拨款收入支出决算总表</w:t>
      </w:r>
      <w:bookmarkEnd w:id="55"/>
    </w:p>
    <w:p>
      <w:pPr>
        <w:pStyle w:val="24"/>
        <w:spacing w:line="520" w:lineRule="exact"/>
        <w:ind w:firstLine="640" w:firstLineChars="200"/>
        <w:rPr>
          <w:rFonts w:ascii="仿宋_GB2312" w:hAnsi="仿宋_GB2312" w:eastAsia="仿宋_GB2312" w:cs="仿宋_GB2312"/>
          <w:sz w:val="32"/>
          <w:szCs w:val="32"/>
        </w:rPr>
      </w:pPr>
      <w:bookmarkStart w:id="56" w:name="_Toc15396623"/>
      <w:r>
        <w:rPr>
          <w:rFonts w:hint="eastAsia" w:ascii="仿宋_GB2312" w:hAnsi="仿宋_GB2312" w:eastAsia="仿宋_GB2312" w:cs="仿宋_GB2312"/>
          <w:sz w:val="32"/>
          <w:szCs w:val="32"/>
        </w:rPr>
        <w:t>五、财政拨款支出决算明细表</w:t>
      </w:r>
      <w:bookmarkEnd w:id="56"/>
      <w:bookmarkStart w:id="57" w:name="_Toc15396624"/>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7"/>
    </w:p>
    <w:p>
      <w:pPr>
        <w:pStyle w:val="24"/>
        <w:spacing w:line="520" w:lineRule="exact"/>
        <w:ind w:firstLine="640" w:firstLineChars="200"/>
        <w:rPr>
          <w:rFonts w:ascii="仿宋_GB2312" w:hAnsi="仿宋_GB2312" w:eastAsia="仿宋_GB2312" w:cs="仿宋_GB2312"/>
          <w:sz w:val="32"/>
          <w:szCs w:val="32"/>
        </w:rPr>
      </w:pPr>
      <w:bookmarkStart w:id="58" w:name="_Toc15396625"/>
      <w:r>
        <w:rPr>
          <w:rFonts w:hint="eastAsia" w:ascii="仿宋_GB2312" w:hAnsi="仿宋_GB2312" w:eastAsia="仿宋_GB2312" w:cs="仿宋_GB2312"/>
          <w:sz w:val="32"/>
          <w:szCs w:val="32"/>
        </w:rPr>
        <w:t>七、一般公共预算财政拨款支出决算明细表</w:t>
      </w:r>
      <w:bookmarkEnd w:id="58"/>
    </w:p>
    <w:p>
      <w:pPr>
        <w:pStyle w:val="24"/>
        <w:spacing w:line="520" w:lineRule="exact"/>
        <w:ind w:firstLine="640" w:firstLineChars="200"/>
        <w:rPr>
          <w:rFonts w:ascii="仿宋_GB2312" w:hAnsi="仿宋_GB2312" w:eastAsia="仿宋_GB2312" w:cs="仿宋_GB2312"/>
          <w:sz w:val="32"/>
          <w:szCs w:val="32"/>
        </w:rPr>
      </w:pPr>
      <w:bookmarkStart w:id="59" w:name="_Toc15396626"/>
      <w:r>
        <w:rPr>
          <w:rFonts w:hint="eastAsia" w:ascii="仿宋_GB2312" w:hAnsi="仿宋_GB2312" w:eastAsia="仿宋_GB2312" w:cs="仿宋_GB2312"/>
          <w:sz w:val="32"/>
          <w:szCs w:val="32"/>
        </w:rPr>
        <w:t>八、一般公共预算财政拨款基本支出决算表</w:t>
      </w:r>
      <w:bookmarkEnd w:id="59"/>
    </w:p>
    <w:p>
      <w:pPr>
        <w:pStyle w:val="24"/>
        <w:spacing w:line="520" w:lineRule="exact"/>
        <w:ind w:firstLine="640" w:firstLineChars="200"/>
        <w:rPr>
          <w:rFonts w:ascii="仿宋_GB2312" w:hAnsi="仿宋_GB2312" w:eastAsia="仿宋_GB2312" w:cs="仿宋_GB2312"/>
          <w:sz w:val="32"/>
          <w:szCs w:val="32"/>
        </w:rPr>
      </w:pPr>
      <w:bookmarkStart w:id="60" w:name="_Toc15396627"/>
      <w:r>
        <w:rPr>
          <w:rFonts w:hint="eastAsia" w:ascii="仿宋_GB2312" w:hAnsi="仿宋_GB2312" w:eastAsia="仿宋_GB2312" w:cs="仿宋_GB2312"/>
          <w:sz w:val="32"/>
          <w:szCs w:val="32"/>
        </w:rPr>
        <w:t>九、一般公共预算财政拨款项目支出决算表</w:t>
      </w:r>
      <w:bookmarkEnd w:id="60"/>
    </w:p>
    <w:p>
      <w:pPr>
        <w:pStyle w:val="24"/>
        <w:spacing w:line="520" w:lineRule="exact"/>
        <w:ind w:firstLine="640" w:firstLineChars="200"/>
        <w:rPr>
          <w:rFonts w:ascii="仿宋_GB2312" w:hAnsi="仿宋_GB2312" w:eastAsia="仿宋_GB2312" w:cs="仿宋_GB2312"/>
          <w:sz w:val="32"/>
          <w:szCs w:val="32"/>
        </w:rPr>
      </w:pPr>
      <w:bookmarkStart w:id="61" w:name="_Toc15396628"/>
      <w:r>
        <w:rPr>
          <w:rFonts w:hint="eastAsia" w:ascii="仿宋_GB2312" w:hAnsi="仿宋_GB2312" w:eastAsia="仿宋_GB2312" w:cs="仿宋_GB2312"/>
          <w:sz w:val="32"/>
          <w:szCs w:val="32"/>
        </w:rPr>
        <w:t>十、一般公共预算财政拨款“三公”经费支出决算表</w:t>
      </w:r>
      <w:bookmarkEnd w:id="61"/>
    </w:p>
    <w:p>
      <w:pPr>
        <w:pStyle w:val="24"/>
        <w:spacing w:line="520" w:lineRule="exact"/>
        <w:ind w:firstLine="640" w:firstLineChars="200"/>
        <w:rPr>
          <w:rFonts w:ascii="仿宋_GB2312" w:hAnsi="仿宋_GB2312" w:eastAsia="仿宋_GB2312" w:cs="仿宋_GB2312"/>
          <w:sz w:val="32"/>
          <w:szCs w:val="32"/>
        </w:rPr>
      </w:pPr>
      <w:bookmarkStart w:id="62" w:name="_Toc15396629"/>
      <w:r>
        <w:rPr>
          <w:rFonts w:hint="eastAsia" w:ascii="仿宋_GB2312" w:hAnsi="仿宋_GB2312" w:eastAsia="仿宋_GB2312" w:cs="仿宋_GB2312"/>
          <w:sz w:val="32"/>
          <w:szCs w:val="32"/>
        </w:rPr>
        <w:t>十一、政府性基金预算财政拨款收入支出决算表</w:t>
      </w:r>
      <w:bookmarkEnd w:id="62"/>
    </w:p>
    <w:p>
      <w:pPr>
        <w:pStyle w:val="24"/>
        <w:spacing w:line="520" w:lineRule="exact"/>
        <w:ind w:firstLine="640" w:firstLineChars="200"/>
        <w:rPr>
          <w:rFonts w:ascii="仿宋_GB2312" w:hAnsi="仿宋_GB2312" w:eastAsia="仿宋_GB2312" w:cs="仿宋_GB2312"/>
          <w:sz w:val="32"/>
          <w:szCs w:val="32"/>
        </w:rPr>
      </w:pPr>
      <w:bookmarkStart w:id="63" w:name="_Toc15396630"/>
      <w:r>
        <w:rPr>
          <w:rFonts w:hint="eastAsia" w:ascii="仿宋_GB2312" w:hAnsi="仿宋_GB2312" w:eastAsia="仿宋_GB2312" w:cs="仿宋_GB2312"/>
          <w:sz w:val="32"/>
          <w:szCs w:val="32"/>
        </w:rPr>
        <w:t>十二、政府性基金预算财政拨款“三公”经费支出决算表</w:t>
      </w:r>
      <w:bookmarkEnd w:id="63"/>
    </w:p>
    <w:p>
      <w:pPr>
        <w:pStyle w:val="24"/>
        <w:spacing w:line="520" w:lineRule="exact"/>
        <w:ind w:firstLine="640" w:firstLineChars="200"/>
        <w:rPr>
          <w:rFonts w:ascii="仿宋_GB2312" w:hAnsi="仿宋_GB2312" w:eastAsia="仿宋_GB2312" w:cs="仿宋_GB2312"/>
          <w:sz w:val="32"/>
          <w:szCs w:val="32"/>
        </w:rPr>
      </w:pPr>
      <w:bookmarkStart w:id="64" w:name="_Toc15396631"/>
      <w:r>
        <w:rPr>
          <w:rFonts w:hint="eastAsia" w:ascii="仿宋_GB2312" w:hAnsi="仿宋_GB2312" w:eastAsia="仿宋_GB2312" w:cs="仿宋_GB2312"/>
          <w:sz w:val="32"/>
          <w:szCs w:val="32"/>
        </w:rPr>
        <w:t>十三、国有资本经营预算财政拨款收入支出决算表</w:t>
      </w:r>
      <w:bookmarkEnd w:id="64"/>
    </w:p>
    <w:p>
      <w:pPr>
        <w:pStyle w:val="24"/>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9</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DBhYTMzYzRhMjgzODhkYjliMzliNGM2MDUxN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CC9"/>
    <w:rsid w:val="000E7119"/>
    <w:rsid w:val="00114E9B"/>
    <w:rsid w:val="00142216"/>
    <w:rsid w:val="00144D6A"/>
    <w:rsid w:val="0014729F"/>
    <w:rsid w:val="00157BAB"/>
    <w:rsid w:val="001654D1"/>
    <w:rsid w:val="00174518"/>
    <w:rsid w:val="0018106D"/>
    <w:rsid w:val="001877A7"/>
    <w:rsid w:val="00191536"/>
    <w:rsid w:val="00196687"/>
    <w:rsid w:val="001B5A07"/>
    <w:rsid w:val="001C0962"/>
    <w:rsid w:val="001D2B8D"/>
    <w:rsid w:val="001D7531"/>
    <w:rsid w:val="001E737D"/>
    <w:rsid w:val="001F0592"/>
    <w:rsid w:val="001F7506"/>
    <w:rsid w:val="002006CD"/>
    <w:rsid w:val="00202B36"/>
    <w:rsid w:val="00204B7A"/>
    <w:rsid w:val="00204CDE"/>
    <w:rsid w:val="0021101A"/>
    <w:rsid w:val="0021630F"/>
    <w:rsid w:val="00220536"/>
    <w:rsid w:val="002330CC"/>
    <w:rsid w:val="00235629"/>
    <w:rsid w:val="00260C38"/>
    <w:rsid w:val="002616C0"/>
    <w:rsid w:val="00265372"/>
    <w:rsid w:val="002662AA"/>
    <w:rsid w:val="00280496"/>
    <w:rsid w:val="00294DC9"/>
    <w:rsid w:val="00295495"/>
    <w:rsid w:val="002A31DE"/>
    <w:rsid w:val="002B2613"/>
    <w:rsid w:val="002C68A0"/>
    <w:rsid w:val="002D6D05"/>
    <w:rsid w:val="002F1818"/>
    <w:rsid w:val="002F567B"/>
    <w:rsid w:val="003216A9"/>
    <w:rsid w:val="00335A74"/>
    <w:rsid w:val="003642C9"/>
    <w:rsid w:val="0036561B"/>
    <w:rsid w:val="0037013F"/>
    <w:rsid w:val="003729B2"/>
    <w:rsid w:val="00380C92"/>
    <w:rsid w:val="0038237B"/>
    <w:rsid w:val="003A484F"/>
    <w:rsid w:val="003A4883"/>
    <w:rsid w:val="003B0BE0"/>
    <w:rsid w:val="003B0C1B"/>
    <w:rsid w:val="003B688C"/>
    <w:rsid w:val="003C0291"/>
    <w:rsid w:val="003C17D0"/>
    <w:rsid w:val="003C39AE"/>
    <w:rsid w:val="003C7B60"/>
    <w:rsid w:val="003D0C0F"/>
    <w:rsid w:val="003D1FB2"/>
    <w:rsid w:val="003D66DA"/>
    <w:rsid w:val="003E1310"/>
    <w:rsid w:val="003E6F55"/>
    <w:rsid w:val="00406254"/>
    <w:rsid w:val="004223DE"/>
    <w:rsid w:val="00434489"/>
    <w:rsid w:val="00437085"/>
    <w:rsid w:val="00443880"/>
    <w:rsid w:val="004464F4"/>
    <w:rsid w:val="004541EB"/>
    <w:rsid w:val="00471401"/>
    <w:rsid w:val="00473F31"/>
    <w:rsid w:val="0048263A"/>
    <w:rsid w:val="00487E5D"/>
    <w:rsid w:val="004A644F"/>
    <w:rsid w:val="004A711F"/>
    <w:rsid w:val="004B199D"/>
    <w:rsid w:val="004B4690"/>
    <w:rsid w:val="004E0A2D"/>
    <w:rsid w:val="004E206B"/>
    <w:rsid w:val="004E6DF7"/>
    <w:rsid w:val="004F0FBD"/>
    <w:rsid w:val="00505A47"/>
    <w:rsid w:val="00512FDA"/>
    <w:rsid w:val="00520DA0"/>
    <w:rsid w:val="0054326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0683"/>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665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01D0"/>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14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6B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7A4B"/>
    <w:rsid w:val="00A91760"/>
    <w:rsid w:val="00A93B00"/>
    <w:rsid w:val="00A93C21"/>
    <w:rsid w:val="00AB64C9"/>
    <w:rsid w:val="00AC3C6A"/>
    <w:rsid w:val="00AD175B"/>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15EE"/>
    <w:rsid w:val="00BB4DF0"/>
    <w:rsid w:val="00BC289F"/>
    <w:rsid w:val="00BC2D50"/>
    <w:rsid w:val="00BC5361"/>
    <w:rsid w:val="00BC5460"/>
    <w:rsid w:val="00BC6B50"/>
    <w:rsid w:val="00BD0E25"/>
    <w:rsid w:val="00BF5BD6"/>
    <w:rsid w:val="00C03E31"/>
    <w:rsid w:val="00C176BA"/>
    <w:rsid w:val="00C261D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383E"/>
    <w:rsid w:val="00DF28BC"/>
    <w:rsid w:val="00DF34B9"/>
    <w:rsid w:val="00DF4C90"/>
    <w:rsid w:val="00E01053"/>
    <w:rsid w:val="00E07ACF"/>
    <w:rsid w:val="00E24F40"/>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E5ADA"/>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567F"/>
    <w:rsid w:val="00FC77BA"/>
    <w:rsid w:val="00FD3CC1"/>
    <w:rsid w:val="00FF1E02"/>
    <w:rsid w:val="00FF30B4"/>
    <w:rsid w:val="03E37E33"/>
    <w:rsid w:val="063E77E3"/>
    <w:rsid w:val="068256B0"/>
    <w:rsid w:val="0A2032A3"/>
    <w:rsid w:val="0B9A1ADA"/>
    <w:rsid w:val="0F133304"/>
    <w:rsid w:val="10C055FF"/>
    <w:rsid w:val="118107EC"/>
    <w:rsid w:val="16BB723D"/>
    <w:rsid w:val="18015F3F"/>
    <w:rsid w:val="1A9441BB"/>
    <w:rsid w:val="1BE8440E"/>
    <w:rsid w:val="1C6007EE"/>
    <w:rsid w:val="1D155CEE"/>
    <w:rsid w:val="20F57F95"/>
    <w:rsid w:val="240371BF"/>
    <w:rsid w:val="24613191"/>
    <w:rsid w:val="270B2F65"/>
    <w:rsid w:val="2848609F"/>
    <w:rsid w:val="29FD04D3"/>
    <w:rsid w:val="2ABE7A3E"/>
    <w:rsid w:val="2EDE7F8C"/>
    <w:rsid w:val="2EF06642"/>
    <w:rsid w:val="2F05202A"/>
    <w:rsid w:val="30D00140"/>
    <w:rsid w:val="30F544F2"/>
    <w:rsid w:val="319F7F4E"/>
    <w:rsid w:val="348A1516"/>
    <w:rsid w:val="350C36D1"/>
    <w:rsid w:val="35DD35A5"/>
    <w:rsid w:val="363300C1"/>
    <w:rsid w:val="37B8726B"/>
    <w:rsid w:val="3A6B33F5"/>
    <w:rsid w:val="3C0C0783"/>
    <w:rsid w:val="3C881126"/>
    <w:rsid w:val="407D3F88"/>
    <w:rsid w:val="4080725F"/>
    <w:rsid w:val="48A10D88"/>
    <w:rsid w:val="496F39ED"/>
    <w:rsid w:val="4BB758C3"/>
    <w:rsid w:val="4BE068DB"/>
    <w:rsid w:val="4BF6002B"/>
    <w:rsid w:val="4CFF2EAA"/>
    <w:rsid w:val="4ECE2238"/>
    <w:rsid w:val="52143F47"/>
    <w:rsid w:val="571019E4"/>
    <w:rsid w:val="593514CC"/>
    <w:rsid w:val="5C407C3F"/>
    <w:rsid w:val="62326FE0"/>
    <w:rsid w:val="64CA39A1"/>
    <w:rsid w:val="69AA444F"/>
    <w:rsid w:val="6C1A3131"/>
    <w:rsid w:val="6C4A05C8"/>
    <w:rsid w:val="72734D90"/>
    <w:rsid w:val="72E345B8"/>
    <w:rsid w:val="769571C4"/>
    <w:rsid w:val="77FE10B3"/>
    <w:rsid w:val="7A044164"/>
    <w:rsid w:val="7A212711"/>
    <w:rsid w:val="7C7413FC"/>
    <w:rsid w:val="7D3C4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Normal Indent"/>
    <w:basedOn w:val="1"/>
    <w:qFormat/>
    <w:uiPriority w:val="0"/>
    <w:pPr>
      <w:ind w:firstLine="200" w:firstLine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1153;&#20108;&#31185;\2020&#24180;&#20107;&#19994;&#21333;&#20301;&#20915;&#31639;&#20844;&#24320;\&#31185;&#30740;&#25152;\&#25910;&#25903;&#20915;&#31639;&#21464;&#2116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1153;&#20108;&#31185;\2020&#24180;&#20107;&#19994;&#21333;&#20301;&#20915;&#31639;&#20844;&#24320;\&#31185;&#30740;&#25152;\&#25910;&#25903;&#20915;&#31639;&#21464;&#2116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1153;&#20108;&#31185;\2020&#24180;&#20107;&#19994;&#21333;&#20301;&#20915;&#31639;&#20844;&#24320;\&#31185;&#30740;&#25152;\&#25910;&#25903;&#20915;&#31639;&#21464;&#2116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[收支决算变动表.xls]Sheet1!$A$2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[收支决算变动表.xls]Sheet1!$B$1:$C$1</c:f>
              <c:strCache>
                <c:ptCount val="2"/>
                <c:pt idx="0">
                  <c:v>2019年</c:v>
                </c:pt>
                <c:pt idx="1">
                  <c:v>2020年</c:v>
                </c:pt>
              </c:strCache>
            </c:strRef>
          </c:cat>
          <c:val>
            <c:numRef>
              <c:f>[收支决算变动表.xls]Sheet1!$B$2:$C$2</c:f>
              <c:numCache>
                <c:formatCode>General</c:formatCode>
                <c:ptCount val="2"/>
                <c:pt idx="0">
                  <c:v>297.58</c:v>
                </c:pt>
                <c:pt idx="1">
                  <c:v>314.16</c:v>
                </c:pt>
              </c:numCache>
            </c:numRef>
          </c:val>
        </c:ser>
        <c:dLbls>
          <c:showLegendKey val="0"/>
          <c:showVal val="1"/>
          <c:showCatName val="0"/>
          <c:showSerName val="0"/>
          <c:showPercent val="0"/>
          <c:showBubbleSize val="0"/>
        </c:dLbls>
        <c:gapWidth val="219"/>
        <c:overlap val="-27"/>
        <c:axId val="265135616"/>
        <c:axId val="132558208"/>
      </c:barChart>
      <c:catAx>
        <c:axId val="265135616"/>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558208"/>
        <c:crossesAt val="0"/>
        <c:auto val="1"/>
        <c:lblAlgn val="ctr"/>
        <c:lblOffset val="100"/>
        <c:noMultiLvlLbl val="0"/>
      </c:catAx>
      <c:valAx>
        <c:axId val="132558208"/>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0.00_);[Red]\(#,##0.00\)" sourceLinked="0"/>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135616"/>
        <c:crosses val="autoZero"/>
        <c:crossBetween val="between"/>
      </c:valAx>
      <c:spPr>
        <a:noFill/>
        <a:ln>
          <a:noFill/>
        </a:ln>
        <a:effectLst/>
      </c:spPr>
    </c:plotArea>
    <c:plotVisOnly val="1"/>
    <c:dispBlanksAs val="gap"/>
    <c:showDLblsOverMax val="0"/>
  </c:chart>
  <c:spPr>
    <a:noFill/>
    <a:ln w="9525" cap="flat" cmpd="sng" algn="ctr">
      <a:no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6111111111111"/>
          <c:y val="0.0367724867724868"/>
          <c:w val="0.863111111111111"/>
          <c:h val="0.83712962962963"/>
        </c:manualLayout>
      </c:layout>
      <c:barChart>
        <c:barDir val="col"/>
        <c:grouping val="clustered"/>
        <c:varyColors val="0"/>
        <c:ser>
          <c:idx val="0"/>
          <c:order val="0"/>
          <c:tx>
            <c:strRef>
              <c:f>[收支决算变动表.xls]Sheet1!$A$2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[收支决算变动表.xls]Sheet1!$B$1:$C$1</c:f>
              <c:strCache>
                <c:ptCount val="2"/>
                <c:pt idx="0">
                  <c:v>2019年</c:v>
                </c:pt>
                <c:pt idx="1">
                  <c:v>2020年</c:v>
                </c:pt>
              </c:strCache>
            </c:strRef>
          </c:cat>
          <c:val>
            <c:numRef>
              <c:f>[收支决算变动表.xls]Sheet1!$B$2:$C$2</c:f>
              <c:numCache>
                <c:formatCode>General</c:formatCode>
                <c:ptCount val="2"/>
                <c:pt idx="0">
                  <c:v>297.58</c:v>
                </c:pt>
                <c:pt idx="1">
                  <c:v>314.16</c:v>
                </c:pt>
              </c:numCache>
            </c:numRef>
          </c:val>
        </c:ser>
        <c:dLbls>
          <c:showLegendKey val="0"/>
          <c:showVal val="1"/>
          <c:showCatName val="0"/>
          <c:showSerName val="0"/>
          <c:showPercent val="0"/>
          <c:showBubbleSize val="0"/>
        </c:dLbls>
        <c:gapWidth val="219"/>
        <c:overlap val="-27"/>
        <c:axId val="265119232"/>
        <c:axId val="258614400"/>
      </c:barChart>
      <c:catAx>
        <c:axId val="265119232"/>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614400"/>
        <c:crossesAt val="0"/>
        <c:auto val="1"/>
        <c:lblAlgn val="ctr"/>
        <c:lblOffset val="100"/>
        <c:noMultiLvlLbl val="0"/>
      </c:catAx>
      <c:valAx>
        <c:axId val="25861440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0.00_);[Red]\(#,##0.00\)" sourceLinked="0"/>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119232"/>
        <c:crosses val="autoZero"/>
        <c:crossBetween val="between"/>
      </c:valAx>
      <c:spPr>
        <a:noFill/>
        <a:ln>
          <a:noFill/>
        </a:ln>
        <a:effectLst/>
      </c:spPr>
    </c:plotArea>
    <c:plotVisOnly val="1"/>
    <c:dispBlanksAs val="gap"/>
    <c:showDLblsOverMax val="0"/>
  </c:chart>
  <c:spPr>
    <a:noFill/>
    <a:ln w="9525"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[收支决算变动表.xls]Sheet1!$A$2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[收支决算变动表.xls]Sheet1!$B$1:$C$1</c:f>
              <c:strCache>
                <c:ptCount val="2"/>
                <c:pt idx="0">
                  <c:v>2019年</c:v>
                </c:pt>
                <c:pt idx="1">
                  <c:v>2020年</c:v>
                </c:pt>
              </c:strCache>
            </c:strRef>
          </c:cat>
          <c:val>
            <c:numRef>
              <c:f>[收支决算变动表.xls]Sheet1!$B$2:$C$2</c:f>
              <c:numCache>
                <c:formatCode>General</c:formatCode>
                <c:ptCount val="2"/>
                <c:pt idx="0">
                  <c:v>297.58</c:v>
                </c:pt>
                <c:pt idx="1">
                  <c:v>314.16</c:v>
                </c:pt>
              </c:numCache>
            </c:numRef>
          </c:val>
        </c:ser>
        <c:dLbls>
          <c:showLegendKey val="0"/>
          <c:showVal val="1"/>
          <c:showCatName val="0"/>
          <c:showSerName val="0"/>
          <c:showPercent val="0"/>
          <c:showBubbleSize val="0"/>
        </c:dLbls>
        <c:gapWidth val="219"/>
        <c:overlap val="-27"/>
        <c:axId val="265120768"/>
        <c:axId val="258616128"/>
      </c:barChart>
      <c:catAx>
        <c:axId val="265120768"/>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616128"/>
        <c:crossesAt val="0"/>
        <c:auto val="1"/>
        <c:lblAlgn val="ctr"/>
        <c:lblOffset val="100"/>
        <c:noMultiLvlLbl val="0"/>
      </c:catAx>
      <c:valAx>
        <c:axId val="258616128"/>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0.00_);[Red]\(#,##0.00\)" sourceLinked="0"/>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120768"/>
        <c:crosses val="autoZero"/>
        <c:crossBetween val="between"/>
      </c:valAx>
      <c:spPr>
        <a:noFill/>
        <a:ln>
          <a:noFill/>
        </a:ln>
        <a:effectLst/>
      </c:spPr>
    </c:plotArea>
    <c:plotVisOnly val="1"/>
    <c:dispBlanksAs val="gap"/>
    <c:showDLblsOverMax val="0"/>
  </c:chart>
  <c:spPr>
    <a:noFill/>
    <a:ln w="9525" cap="flat" cmpd="sng" algn="ctr">
      <a:no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3218-0612-4973-812E-4007DA119C3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4036</Words>
  <Characters>4357</Characters>
  <Lines>32</Lines>
  <Paragraphs>9</Paragraphs>
  <TotalTime>19</TotalTime>
  <ScaleCrop>false</ScaleCrop>
  <LinksUpToDate>false</LinksUpToDate>
  <CharactersWithSpaces>4408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2021-08-26T03:22:00Z</dcterms:created>
  <dc:creator>曹颖</dc:creator>
  <cp:lastModifiedBy>Dell</cp:lastModifiedBy>
  <cp:lastPrinted>2022-11-11T09:20:00Z</cp:lastPrinted>
  <dcterms:modified xsi:type="dcterms:W3CDTF">2022-11-11T10:01:15Z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1A7FC93515CE47E89D1176F599322469</vt:lpwstr>
  </property>
</Properties>
</file>