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pStyle w:val="2"/>
      </w:pPr>
    </w:p>
    <w:p>
      <w:pPr>
        <w:spacing w:line="600" w:lineRule="exact"/>
        <w:jc w:val="center"/>
        <w:outlineLvl w:val="0"/>
        <w:rPr>
          <w:rFonts w:ascii="方正小标宋简体" w:hAnsi="宋体" w:eastAsia="方正小标宋简体"/>
          <w:b w:val="0"/>
          <w:bCs w:val="0"/>
          <w:color w:val="000000"/>
          <w:sz w:val="72"/>
          <w:szCs w:val="72"/>
        </w:rPr>
      </w:pPr>
    </w:p>
    <w:p>
      <w:pPr>
        <w:adjustRightInd w:val="0"/>
        <w:snapToGrid w:val="0"/>
        <w:spacing w:line="360" w:lineRule="auto"/>
        <w:jc w:val="center"/>
        <w:outlineLvl w:val="0"/>
        <w:rPr>
          <w:rFonts w:ascii="方正小标宋简体" w:hAnsi="宋体" w:eastAsia="方正小标宋简体"/>
          <w:b w:val="0"/>
          <w:bCs w:val="0"/>
          <w:color w:val="000000"/>
          <w:sz w:val="72"/>
          <w:szCs w:val="72"/>
        </w:rPr>
      </w:pPr>
      <w:bookmarkStart w:id="1" w:name="_Toc15396597"/>
      <w:bookmarkStart w:id="2" w:name="_Toc15377425"/>
      <w:bookmarkStart w:id="3" w:name="_Toc15378441"/>
      <w:bookmarkStart w:id="4" w:name="_Toc15396475"/>
      <w:bookmarkStart w:id="5" w:name="_Toc15377193"/>
      <w:r>
        <w:rPr>
          <w:rFonts w:ascii="黑体" w:hAnsi="黑体" w:eastAsia="黑体"/>
          <w:b w:val="0"/>
          <w:bCs w:val="0"/>
          <w:color w:val="000000"/>
          <w:sz w:val="72"/>
          <w:szCs w:val="72"/>
        </w:rPr>
        <w:t>20</w:t>
      </w:r>
      <w:r>
        <w:rPr>
          <w:rFonts w:hint="eastAsia" w:ascii="黑体" w:hAnsi="黑体" w:eastAsia="黑体"/>
          <w:b w:val="0"/>
          <w:bCs w:val="0"/>
          <w:color w:val="000000"/>
          <w:sz w:val="72"/>
          <w:szCs w:val="72"/>
          <w:lang w:val="en-US" w:eastAsia="zh-CN"/>
        </w:rPr>
        <w:t>20</w:t>
      </w:r>
      <w:r>
        <w:rPr>
          <w:rFonts w:hint="eastAsia" w:ascii="方正小标宋简体" w:hAnsi="宋体" w:eastAsia="方正小标宋简体"/>
          <w:b w:val="0"/>
          <w:bCs w:val="0"/>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96476"/>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注册会计师事务中心单位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2"/>
      </w:pPr>
      <w:r>
        <w:rPr>
          <w:rFonts w:hint="eastAsia"/>
        </w:rPr>
        <w:t>公开时间：20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p>
      <w:pPr>
        <w:keepNext w:val="0"/>
        <w:keepLines w:val="0"/>
        <w:widowControl/>
        <w:suppressLineNumbers w:val="0"/>
        <w:spacing w:line="440" w:lineRule="exact"/>
        <w:ind w:firstLine="0" w:firstLineChars="0"/>
        <w:jc w:val="left"/>
        <w:rPr>
          <w:rFonts w:hint="eastAsia" w:ascii="仿宋" w:hAnsi="仿宋" w:eastAsia="仿宋" w:cs="仿宋"/>
          <w:b/>
          <w:bCs/>
          <w:color w:val="auto"/>
          <w:sz w:val="24"/>
        </w:rPr>
      </w:pPr>
      <w:r>
        <w:rPr>
          <w:rFonts w:hint="eastAsia" w:ascii="仿宋" w:hAnsi="仿宋" w:eastAsia="仿宋" w:cs="仿宋"/>
          <w:b/>
          <w:bCs/>
          <w:color w:val="auto"/>
          <w:sz w:val="24"/>
        </w:rPr>
        <w:t xml:space="preserve">第一部分 </w:t>
      </w:r>
      <w:r>
        <w:rPr>
          <w:rFonts w:hint="eastAsia" w:ascii="仿宋" w:hAnsi="仿宋" w:eastAsia="仿宋" w:cs="仿宋"/>
          <w:b/>
          <w:bCs/>
          <w:color w:val="auto"/>
          <w:sz w:val="24"/>
          <w:lang w:eastAsia="zh-CN"/>
        </w:rPr>
        <w:t>单位</w:t>
      </w:r>
      <w:r>
        <w:rPr>
          <w:rFonts w:hint="eastAsia" w:ascii="仿宋" w:hAnsi="仿宋" w:eastAsia="仿宋" w:cs="仿宋"/>
          <w:b/>
          <w:bCs/>
          <w:color w:val="auto"/>
          <w:sz w:val="24"/>
        </w:rPr>
        <w:t>概况</w:t>
      </w:r>
      <w:r>
        <w:rPr>
          <w:rFonts w:hint="eastAsia" w:ascii="仿宋" w:hAnsi="仿宋" w:eastAsia="仿宋" w:cs="仿宋"/>
          <w:b/>
          <w:bCs/>
          <w:color w:val="auto"/>
          <w:kern w:val="0"/>
          <w:sz w:val="24"/>
          <w:szCs w:val="24"/>
          <w:lang w:val="en-US" w:eastAsia="zh-CN" w:bidi="ar"/>
        </w:rPr>
        <w:t>........................</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kern w:val="0"/>
          <w:sz w:val="24"/>
          <w:szCs w:val="24"/>
          <w:lang w:val="en-US" w:eastAsia="zh-CN" w:bidi="ar"/>
        </w:rPr>
        <w:t>................ ....4</w:t>
      </w:r>
    </w:p>
    <w:p>
      <w:pPr>
        <w:keepNext w:val="0"/>
        <w:keepLines w:val="0"/>
        <w:widowControl/>
        <w:suppressLineNumbers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一、职能</w:t>
      </w:r>
      <w:r>
        <w:rPr>
          <w:rFonts w:hint="eastAsia" w:ascii="仿宋" w:hAnsi="仿宋" w:eastAsia="仿宋" w:cs="仿宋"/>
          <w:color w:val="auto"/>
          <w:sz w:val="24"/>
          <w:lang w:eastAsia="zh-CN"/>
        </w:rPr>
        <w:t>简介</w:t>
      </w:r>
      <w:r>
        <w:rPr>
          <w:rFonts w:hint="eastAsia" w:ascii="仿宋" w:hAnsi="仿宋" w:eastAsia="仿宋" w:cs="仿宋"/>
          <w:b/>
          <w:bCs/>
          <w:color w:val="000000"/>
          <w:kern w:val="0"/>
          <w:sz w:val="24"/>
          <w:szCs w:val="24"/>
          <w:lang w:val="en-US" w:eastAsia="zh-CN" w:bidi="ar"/>
        </w:rPr>
        <w:t>..........................</w:t>
      </w:r>
      <w:r>
        <w:rPr>
          <w:rFonts w:hint="eastAsia" w:ascii="仿宋" w:hAnsi="仿宋" w:eastAsia="仿宋" w:cs="仿宋"/>
          <w:b/>
          <w:bCs/>
          <w:color w:val="auto"/>
          <w:kern w:val="0"/>
          <w:sz w:val="24"/>
          <w:szCs w:val="24"/>
          <w:lang w:val="en-US" w:eastAsia="zh-CN" w:bidi="ar"/>
        </w:rPr>
        <w:t>...</w:t>
      </w:r>
      <w:r>
        <w:rPr>
          <w:rFonts w:hint="eastAsia" w:ascii="仿宋" w:hAnsi="仿宋" w:eastAsia="仿宋" w:cs="仿宋"/>
          <w:b w:val="0"/>
          <w:bCs w:val="0"/>
          <w:color w:val="auto"/>
          <w:kern w:val="2"/>
          <w:sz w:val="24"/>
          <w:szCs w:val="24"/>
          <w:lang w:val="en-US" w:eastAsia="zh-CN" w:bidi="ar"/>
        </w:rPr>
        <w:t>...</w:t>
      </w:r>
      <w:r>
        <w:rPr>
          <w:rFonts w:hint="eastAsia" w:ascii="仿宋" w:hAnsi="仿宋" w:eastAsia="仿宋" w:cs="仿宋"/>
          <w:b/>
          <w:bCs/>
          <w:color w:val="auto"/>
          <w:kern w:val="0"/>
          <w:sz w:val="24"/>
          <w:szCs w:val="24"/>
          <w:lang w:val="en-US" w:eastAsia="zh-CN" w:bidi="ar"/>
        </w:rPr>
        <w:t>...........</w:t>
      </w:r>
      <w:r>
        <w:rPr>
          <w:rFonts w:hint="eastAsia" w:ascii="仿宋" w:hAnsi="仿宋" w:eastAsia="仿宋" w:cs="仿宋"/>
          <w:b/>
          <w:bCs/>
          <w:color w:val="000000"/>
          <w:kern w:val="0"/>
          <w:sz w:val="24"/>
          <w:szCs w:val="24"/>
          <w:lang w:val="en-US" w:eastAsia="zh-CN" w:bidi="ar"/>
        </w:rPr>
        <w:t>....</w:t>
      </w:r>
      <w:r>
        <w:rPr>
          <w:rFonts w:hint="eastAsia" w:ascii="仿宋" w:hAnsi="仿宋" w:eastAsia="仿宋" w:cs="仿宋"/>
          <w:b/>
          <w:bCs/>
          <w:color w:val="auto"/>
          <w:kern w:val="0"/>
          <w:sz w:val="24"/>
          <w:szCs w:val="24"/>
          <w:lang w:val="en-US" w:eastAsia="zh-CN" w:bidi="ar"/>
        </w:rPr>
        <w:t>..</w:t>
      </w:r>
      <w:r>
        <w:rPr>
          <w:rFonts w:hint="eastAsia" w:ascii="仿宋" w:hAnsi="仿宋" w:eastAsia="仿宋" w:cs="仿宋"/>
          <w:b/>
          <w:bCs/>
          <w:color w:val="000000"/>
          <w:kern w:val="0"/>
          <w:sz w:val="24"/>
          <w:szCs w:val="24"/>
          <w:lang w:val="en-US" w:eastAsia="zh-CN" w:bidi="ar"/>
        </w:rPr>
        <w:t>...4</w:t>
      </w:r>
    </w:p>
    <w:p>
      <w:pPr>
        <w:pStyle w:val="13"/>
        <w:adjustRightInd w:val="0"/>
        <w:snapToGrid w:val="0"/>
        <w:spacing w:line="440" w:lineRule="exact"/>
        <w:ind w:left="0" w:leftChars="0" w:firstLine="480" w:firstLineChars="200"/>
        <w:jc w:val="left"/>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sz w:val="24"/>
          <w:lang w:eastAsia="zh-CN"/>
        </w:rPr>
        <w:t>二、</w:t>
      </w:r>
      <w:r>
        <w:rPr>
          <w:rFonts w:hint="eastAsia" w:ascii="仿宋" w:hAnsi="仿宋" w:eastAsia="仿宋" w:cs="仿宋"/>
          <w:color w:val="auto"/>
          <w:sz w:val="24"/>
          <w:lang w:val="en-US" w:eastAsia="zh-CN"/>
        </w:rPr>
        <w:t>2020年重点</w:t>
      </w:r>
      <w:r>
        <w:rPr>
          <w:rFonts w:hint="eastAsia" w:ascii="仿宋" w:hAnsi="仿宋" w:eastAsia="仿宋" w:cs="仿宋"/>
          <w:color w:val="auto"/>
          <w:sz w:val="24"/>
        </w:rPr>
        <w:t>工作</w:t>
      </w:r>
      <w:r>
        <w:rPr>
          <w:rFonts w:hint="eastAsia" w:ascii="仿宋" w:hAnsi="仿宋" w:eastAsia="仿宋" w:cs="仿宋"/>
          <w:color w:val="auto"/>
          <w:sz w:val="24"/>
          <w:lang w:eastAsia="zh-CN"/>
        </w:rPr>
        <w:t>完成情况</w:t>
      </w:r>
      <w:r>
        <w:rPr>
          <w:rFonts w:hint="eastAsia" w:ascii="仿宋" w:hAnsi="仿宋" w:eastAsia="仿宋" w:cs="仿宋"/>
          <w:b/>
          <w:bCs/>
          <w:color w:val="auto"/>
          <w:kern w:val="0"/>
          <w:sz w:val="24"/>
          <w:szCs w:val="24"/>
          <w:lang w:val="en-US" w:eastAsia="zh-CN" w:bidi="ar"/>
        </w:rPr>
        <w:t>.................</w:t>
      </w:r>
      <w:r>
        <w:rPr>
          <w:rFonts w:hint="eastAsia" w:ascii="仿宋" w:hAnsi="仿宋" w:eastAsia="仿宋" w:cs="仿宋"/>
          <w:b w:val="0"/>
          <w:bCs w:val="0"/>
          <w:color w:val="auto"/>
          <w:kern w:val="2"/>
          <w:sz w:val="24"/>
          <w:szCs w:val="24"/>
          <w:lang w:val="en-US" w:eastAsia="zh-CN" w:bidi="ar"/>
        </w:rPr>
        <w:t>...</w:t>
      </w:r>
      <w:r>
        <w:rPr>
          <w:rFonts w:hint="eastAsia" w:ascii="仿宋" w:hAnsi="仿宋" w:eastAsia="仿宋" w:cs="仿宋"/>
          <w:b/>
          <w:bCs/>
          <w:color w:val="auto"/>
          <w:kern w:val="0"/>
          <w:sz w:val="24"/>
          <w:szCs w:val="24"/>
          <w:lang w:val="en-US" w:eastAsia="zh-CN" w:bidi="ar"/>
        </w:rPr>
        <w:t>..................4</w:t>
      </w:r>
    </w:p>
    <w:p>
      <w:pPr>
        <w:pStyle w:val="13"/>
        <w:adjustRightInd w:val="0"/>
        <w:snapToGrid w:val="0"/>
        <w:spacing w:line="440" w:lineRule="exact"/>
        <w:ind w:left="0" w:leftChars="0" w:firstLine="480" w:firstLineChars="200"/>
        <w:jc w:val="left"/>
        <w:rPr>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sz w:val="24"/>
          <w:lang w:val="en-US" w:eastAsia="zh-CN"/>
        </w:rPr>
        <w:t>三、机构设置情况</w:t>
      </w:r>
      <w:r>
        <w:rPr>
          <w:rFonts w:hint="eastAsia" w:ascii="仿宋" w:hAnsi="仿宋" w:eastAsia="仿宋" w:cs="仿宋"/>
          <w:b/>
          <w:bCs/>
          <w:color w:val="auto"/>
          <w:kern w:val="0"/>
          <w:sz w:val="24"/>
          <w:szCs w:val="24"/>
          <w:lang w:val="en-US" w:eastAsia="zh-CN" w:bidi="ar"/>
        </w:rPr>
        <w:t>................................................5</w:t>
      </w:r>
    </w:p>
    <w:p>
      <w:pPr>
        <w:widowControl/>
        <w:adjustRightInd w:val="0"/>
        <w:snapToGrid w:val="0"/>
        <w:spacing w:before="0" w:line="440" w:lineRule="exact"/>
        <w:ind w:firstLine="0" w:firstLineChars="0"/>
        <w:jc w:val="left"/>
        <w:rPr>
          <w:rFonts w:hint="eastAsia" w:ascii="仿宋" w:hAnsi="仿宋" w:eastAsia="仿宋" w:cs="仿宋"/>
          <w:b/>
          <w:bCs/>
          <w:color w:val="auto"/>
          <w:sz w:val="24"/>
          <w:szCs w:val="24"/>
        </w:rPr>
      </w:pPr>
      <w:r>
        <w:rPr>
          <w:rFonts w:hint="eastAsia" w:ascii="仿宋" w:hAnsi="仿宋" w:eastAsia="仿宋" w:cs="仿宋"/>
          <w:b/>
          <w:bCs/>
          <w:color w:val="auto"/>
          <w:sz w:val="24"/>
        </w:rPr>
        <w:t>第二部分</w:t>
      </w:r>
      <w:r>
        <w:rPr>
          <w:rFonts w:hint="eastAsia" w:ascii="仿宋" w:hAnsi="仿宋" w:eastAsia="仿宋" w:cs="仿宋"/>
          <w:b/>
          <w:bCs/>
          <w:color w:val="auto"/>
          <w:sz w:val="24"/>
          <w:lang w:val="en-US" w:eastAsia="zh-CN"/>
        </w:rPr>
        <w:t xml:space="preserve"> 2020年度</w:t>
      </w:r>
      <w:r>
        <w:rPr>
          <w:rFonts w:hint="eastAsia" w:ascii="仿宋" w:hAnsi="仿宋" w:eastAsia="仿宋" w:cs="仿宋"/>
          <w:b/>
          <w:bCs/>
          <w:color w:val="auto"/>
          <w:sz w:val="24"/>
        </w:rPr>
        <w:t>部门决算情况说明</w:t>
      </w:r>
      <w:r>
        <w:rPr>
          <w:rFonts w:hint="eastAsia" w:ascii="仿宋" w:hAnsi="仿宋" w:eastAsia="仿宋" w:cs="仿宋"/>
          <w:b/>
          <w:bCs/>
          <w:color w:val="auto"/>
          <w:kern w:val="2"/>
          <w:sz w:val="24"/>
          <w:szCs w:val="24"/>
          <w:lang w:val="en-US" w:eastAsia="zh-CN" w:bidi="ar"/>
        </w:rPr>
        <w:t>......................... .........6</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一、收入支出决算总体情况说明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6</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二、收入决算情况说明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val="0"/>
          <w:bCs w:val="0"/>
          <w:color w:val="auto"/>
          <w:kern w:val="2"/>
          <w:sz w:val="24"/>
          <w:szCs w:val="24"/>
          <w:lang w:val="en-US" w:eastAsia="zh-CN" w:bidi="ar"/>
        </w:rPr>
        <w:t>.</w:t>
      </w:r>
      <w:r>
        <w:rPr>
          <w:rFonts w:hint="eastAsia" w:ascii="仿宋" w:hAnsi="仿宋" w:eastAsia="仿宋" w:cs="仿宋"/>
          <w:color w:val="auto"/>
          <w:sz w:val="24"/>
          <w:lang w:val="en-US" w:eastAsia="zh-CN"/>
        </w:rPr>
        <w:t>6</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b/>
          <w:bCs/>
          <w:color w:val="auto"/>
          <w:sz w:val="24"/>
          <w:lang w:val="en-US"/>
        </w:rPr>
      </w:pPr>
      <w:r>
        <w:rPr>
          <w:rFonts w:hint="eastAsia" w:ascii="仿宋" w:hAnsi="仿宋" w:eastAsia="仿宋" w:cs="仿宋"/>
          <w:color w:val="auto"/>
          <w:sz w:val="24"/>
        </w:rPr>
        <w:t>三、支出决算情况说明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7</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四、财政拨款收入支出决算总体情况说明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7</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五、一般公共预算财政拨款支出决算情况说明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8</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六、一般公共预算财政拨款基本支出决算情况说明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10</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七、“三公”经费财政拨款支出决算情况说明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11</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八、政府性基金预算支出决算情况说明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11</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rPr>
      </w:pPr>
      <w:r>
        <w:rPr>
          <w:rFonts w:hint="eastAsia" w:ascii="仿宋" w:hAnsi="仿宋" w:eastAsia="仿宋" w:cs="仿宋"/>
          <w:color w:val="auto"/>
          <w:sz w:val="24"/>
        </w:rPr>
        <w:t>九、 国有资本经营预算支出决算情况说明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11</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十、其他重要事项的情况说明</w:t>
      </w:r>
      <w:r>
        <w:rPr>
          <w:rFonts w:hint="eastAsia" w:ascii="仿宋" w:hAnsi="仿宋" w:eastAsia="仿宋" w:cs="仿宋"/>
          <w:b/>
          <w:bCs/>
          <w:color w:val="auto"/>
          <w:kern w:val="2"/>
          <w:sz w:val="24"/>
          <w:szCs w:val="24"/>
          <w:lang w:val="en-US" w:eastAsia="zh-CN" w:bidi="ar"/>
        </w:rPr>
        <w:t>.....................................</w:t>
      </w:r>
      <w:r>
        <w:rPr>
          <w:rFonts w:hint="eastAsia" w:ascii="仿宋" w:hAnsi="仿宋" w:eastAsia="仿宋" w:cs="仿宋"/>
          <w:b/>
          <w:bCs/>
          <w:color w:val="auto"/>
          <w:sz w:val="24"/>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44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第三部分  名词解释...................................</w:t>
      </w:r>
      <w:bookmarkStart w:id="65" w:name="_GoBack"/>
      <w:bookmarkEnd w:id="65"/>
      <w:r>
        <w:rPr>
          <w:rFonts w:hint="eastAsia" w:ascii="仿宋" w:hAnsi="仿宋" w:eastAsia="仿宋" w:cs="仿宋"/>
          <w:b/>
          <w:bCs/>
          <w:color w:val="auto"/>
          <w:kern w:val="2"/>
          <w:sz w:val="24"/>
          <w:szCs w:val="24"/>
          <w:lang w:val="en-US" w:eastAsia="zh-CN" w:bidi="ar-SA"/>
        </w:rPr>
        <w:t>.............14</w:t>
      </w:r>
    </w:p>
    <w:p>
      <w:pPr>
        <w:pStyle w:val="12"/>
        <w:keepNext w:val="0"/>
        <w:keepLines w:val="0"/>
        <w:pageBreakBefore w:val="0"/>
        <w:kinsoku/>
        <w:wordWrap/>
        <w:overflowPunct/>
        <w:topLinePunct w:val="0"/>
        <w:autoSpaceDE/>
        <w:autoSpaceDN/>
        <w:bidi w:val="0"/>
        <w:adjustRightInd w:val="0"/>
        <w:snapToGrid w:val="0"/>
        <w:spacing w:before="0" w:line="44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第四部分   附表...................................................16</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一、收入支出决算总表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二、收入决算表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三、支出决算表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四、财政拨款收入支出决算总表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五、财政拨款支出决算明细表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六、一般公共预算财政拨款支出决算表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七、一般公共预算财政拨款支出决算明细表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八、一般公共预算财政拨款基本支出决算表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九、一般公共预算财政拨款项目支出决算表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十、一般公共预算财政拨款“三公”经费支出决算表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十一、政府性基金预算财政拨款收入支出决算表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十二、政府性基金预算财政拨款“三公”经费支出决算表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十三、国有资本经营预算</w:t>
      </w:r>
      <w:r>
        <w:rPr>
          <w:rFonts w:hint="eastAsia" w:ascii="仿宋" w:hAnsi="仿宋" w:eastAsia="仿宋" w:cs="仿宋"/>
          <w:color w:val="auto"/>
          <w:sz w:val="24"/>
          <w:lang w:eastAsia="zh-CN"/>
        </w:rPr>
        <w:t>财政拨款收入</w:t>
      </w:r>
      <w:r>
        <w:rPr>
          <w:rFonts w:hint="eastAsia" w:ascii="仿宋" w:hAnsi="仿宋" w:eastAsia="仿宋" w:cs="仿宋"/>
          <w:color w:val="auto"/>
          <w:sz w:val="24"/>
        </w:rPr>
        <w:t>支出决算表</w:t>
      </w:r>
    </w:p>
    <w:p>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十四、国有资本经营预算财政拨款支出决算表</w:t>
      </w:r>
    </w:p>
    <w:p>
      <w:pPr>
        <w:keepNext w:val="0"/>
        <w:keepLines w:val="0"/>
        <w:pageBreakBefore w:val="0"/>
        <w:widowControl/>
        <w:suppressLineNumbers w:val="0"/>
        <w:kinsoku/>
        <w:wordWrap/>
        <w:overflowPunct/>
        <w:topLinePunct w:val="0"/>
        <w:autoSpaceDE/>
        <w:autoSpaceDN/>
        <w:bidi w:val="0"/>
        <w:spacing w:line="440" w:lineRule="exact"/>
        <w:ind w:firstLine="482" w:firstLineChars="200"/>
        <w:jc w:val="left"/>
        <w:textAlignment w:val="auto"/>
        <w:rPr>
          <w:rFonts w:hint="eastAsia" w:ascii="仿宋" w:hAnsi="仿宋" w:eastAsia="仿宋" w:cs="仿宋"/>
          <w:bCs/>
          <w:kern w:val="44"/>
          <w:sz w:val="24"/>
        </w:rPr>
      </w:pPr>
      <w:bookmarkStart w:id="12" w:name="_Toc15377196"/>
      <w:bookmarkStart w:id="13" w:name="_Toc15396599"/>
      <w:r>
        <w:rPr>
          <w:rFonts w:hint="eastAsia" w:ascii="仿宋" w:hAnsi="仿宋" w:eastAsia="仿宋" w:cs="仿宋"/>
          <w:b/>
          <w:sz w:val="24"/>
        </w:rPr>
        <w:br w:type="page"/>
      </w:r>
    </w:p>
    <w:p>
      <w:pPr>
        <w:pStyle w:val="3"/>
        <w:bidi w:val="0"/>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eastAsia="zh-CN"/>
        </w:rPr>
        <w:t>单位</w:t>
      </w:r>
      <w:r>
        <w:rPr>
          <w:rFonts w:hint="eastAsia" w:ascii="黑体" w:hAnsi="黑体" w:eastAsia="黑体" w:cs="黑体"/>
          <w:b w:val="0"/>
          <w:bCs w:val="0"/>
        </w:rPr>
        <w:t>概况</w:t>
      </w:r>
      <w:bookmarkEnd w:id="12"/>
      <w:bookmarkEnd w:id="13"/>
    </w:p>
    <w:p>
      <w:pPr>
        <w:pStyle w:val="2"/>
        <w:pageBreakBefore w:val="0"/>
        <w:widowControl w:val="0"/>
        <w:kinsoku/>
        <w:wordWrap/>
        <w:overflowPunct/>
        <w:topLinePunct w:val="0"/>
        <w:autoSpaceDE/>
        <w:autoSpaceDN/>
        <w:bidi w:val="0"/>
        <w:adjustRightInd w:val="0"/>
        <w:snapToGrid w:val="0"/>
        <w:spacing w:before="93" w:line="600" w:lineRule="exact"/>
        <w:ind w:left="0" w:leftChars="0" w:firstLine="672" w:firstLineChars="210"/>
        <w:textAlignment w:val="auto"/>
        <w:outlineLvl w:val="2"/>
        <w:rPr>
          <w:rStyle w:val="27"/>
          <w:rFonts w:hint="eastAsia" w:ascii="黑体" w:hAnsi="黑体" w:eastAsia="黑体" w:cs="黑体"/>
          <w:b w:val="0"/>
          <w:bCs w:val="0"/>
          <w:lang w:val="en-US" w:eastAsia="zh-CN"/>
        </w:rPr>
      </w:pPr>
      <w:r>
        <w:rPr>
          <w:rStyle w:val="27"/>
          <w:rFonts w:hint="eastAsia" w:ascii="黑体" w:hAnsi="黑体" w:eastAsia="黑体" w:cs="黑体"/>
          <w:b w:val="0"/>
          <w:bCs w:val="0"/>
          <w:lang w:val="en-US" w:eastAsia="zh-CN"/>
        </w:rPr>
        <w:t>一、职能简介</w:t>
      </w:r>
    </w:p>
    <w:p>
      <w:pPr>
        <w:pStyle w:val="2"/>
        <w:pageBreakBefore w:val="0"/>
        <w:widowControl w:val="0"/>
        <w:kinsoku/>
        <w:wordWrap/>
        <w:overflowPunct/>
        <w:topLinePunct w:val="0"/>
        <w:autoSpaceDE/>
        <w:autoSpaceDN/>
        <w:bidi w:val="0"/>
        <w:adjustRightInd w:val="0"/>
        <w:snapToGrid w:val="0"/>
        <w:spacing w:before="93" w:line="600" w:lineRule="exact"/>
        <w:ind w:left="0" w:leftChars="0" w:firstLine="672" w:firstLineChars="21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highlight w:val="none"/>
          <w:lang w:eastAsia="zh-CN"/>
        </w:rPr>
        <w:t>四川省注册会计师事务中心（以下简称</w:t>
      </w:r>
      <w:r>
        <w:rPr>
          <w:rFonts w:hint="eastAsia" w:ascii="仿宋" w:hAnsi="仿宋" w:eastAsia="仿宋" w:cs="仿宋"/>
          <w:bCs/>
          <w:color w:val="auto"/>
          <w:sz w:val="32"/>
          <w:szCs w:val="32"/>
          <w:highlight w:val="none"/>
        </w:rPr>
        <w:t>注会中心</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rPr>
        <w:t>的职能是承担全省会计师</w:t>
      </w:r>
      <w:r>
        <w:rPr>
          <w:rFonts w:hint="eastAsia" w:ascii="仿宋" w:hAnsi="仿宋" w:eastAsia="仿宋" w:cs="仿宋"/>
          <w:bCs/>
          <w:color w:val="auto"/>
          <w:sz w:val="32"/>
          <w:szCs w:val="32"/>
          <w:lang w:eastAsia="zh-CN"/>
        </w:rPr>
        <w:t>事务所</w:t>
      </w:r>
      <w:r>
        <w:rPr>
          <w:rFonts w:hint="eastAsia" w:ascii="仿宋" w:hAnsi="仿宋" w:eastAsia="仿宋" w:cs="仿宋"/>
          <w:bCs/>
          <w:color w:val="auto"/>
          <w:sz w:val="32"/>
          <w:szCs w:val="32"/>
        </w:rPr>
        <w:t>和注册会计师服务工作，承办省财政厅交办的其他相关工作。</w:t>
      </w:r>
    </w:p>
    <w:p>
      <w:pPr>
        <w:bidi w:val="0"/>
        <w:rPr>
          <w:rStyle w:val="27"/>
          <w:rFonts w:hint="eastAsia" w:ascii="黑体" w:hAnsi="黑体" w:eastAsia="黑体" w:cs="黑体"/>
          <w:lang w:val="en-US" w:eastAsia="zh-CN"/>
        </w:rPr>
      </w:pPr>
      <w:r>
        <w:rPr>
          <w:rFonts w:hint="eastAsia"/>
          <w:lang w:val="en-US" w:eastAsia="zh-CN"/>
        </w:rPr>
        <w:t xml:space="preserve">     </w:t>
      </w:r>
      <w:r>
        <w:rPr>
          <w:rStyle w:val="27"/>
          <w:rFonts w:hint="eastAsia"/>
          <w:b w:val="0"/>
          <w:bCs w:val="0"/>
          <w:lang w:val="en-US" w:eastAsia="zh-CN"/>
        </w:rPr>
        <w:t xml:space="preserve"> </w:t>
      </w:r>
      <w:r>
        <w:rPr>
          <w:rStyle w:val="27"/>
          <w:rFonts w:hint="eastAsia" w:ascii="黑体" w:hAnsi="黑体" w:eastAsia="黑体" w:cs="黑体"/>
          <w:b w:val="0"/>
          <w:bCs w:val="0"/>
          <w:lang w:val="en-US" w:eastAsia="zh-CN"/>
        </w:rPr>
        <w:t>二、2020年重点工作完成情况</w:t>
      </w:r>
    </w:p>
    <w:p>
      <w:pPr>
        <w:pStyle w:val="2"/>
        <w:adjustRightInd w:val="0"/>
        <w:snapToGrid w:val="0"/>
        <w:spacing w:before="93" w:line="600" w:lineRule="exact"/>
        <w:ind w:firstLine="640" w:firstLineChars="20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highlight w:val="none"/>
        </w:rPr>
        <w:t>2020年，</w:t>
      </w:r>
      <w:r>
        <w:rPr>
          <w:rFonts w:hint="eastAsia" w:ascii="仿宋" w:hAnsi="仿宋" w:eastAsia="仿宋" w:cs="仿宋"/>
          <w:bCs/>
          <w:color w:val="000000"/>
          <w:sz w:val="32"/>
          <w:szCs w:val="32"/>
          <w:highlight w:val="none"/>
          <w:lang w:eastAsia="zh-CN"/>
        </w:rPr>
        <w:t>注会中心</w:t>
      </w:r>
      <w:r>
        <w:rPr>
          <w:rFonts w:hint="eastAsia" w:ascii="仿宋" w:hAnsi="仿宋" w:eastAsia="仿宋" w:cs="仿宋"/>
          <w:bCs/>
          <w:color w:val="000000"/>
          <w:sz w:val="32"/>
          <w:szCs w:val="32"/>
        </w:rPr>
        <w:t>在四川省财政厅的正确领导、中国注册会计师协会的悉心指导以及四川省民政厅、社科联等相关部门的大力支持下，认真贯彻落实党的十九大及十九届四中、五中全会、省委十一届六次、七次、八次全会精神，紧紧围绕服务国家建设主题和诚信建设主线，主动适应经济社会发展新态势，在全力做好疫情防控常态化工作的同时，认真践行行业“质量管理提升年”活动，着力推进行业提质增效战略深入实施，较好地完成了全年工作任务，行业“十三五”发展规划顺利收官。</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一</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深入学习贯彻党的十九届五中全会精神，配合省行业党委大力提升行业党建质量；</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（二）同心协力抗击新冠疫情，确保疫情防控和行业发展两不误；</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（三）纪念注册会计师制度恢复重建四十周年，宣传展示行业建设成果和社会责任担当；</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（四）着力优化营商环境和诚信文化建设，全力促进行业提质增效；</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（五）坚持做好会员注册和行业监管工作，持续规范行业执业行为；</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（六）推进落实行业人才发展战略，筑牢行业发展基础</w:t>
      </w:r>
      <w:r>
        <w:rPr>
          <w:rFonts w:hint="eastAsia" w:ascii="仿宋" w:hAnsi="仿宋" w:eastAsia="仿宋" w:cs="仿宋"/>
          <w:bCs/>
          <w:color w:val="000000"/>
          <w:sz w:val="32"/>
          <w:szCs w:val="32"/>
          <w:lang w:eastAsia="zh-CN"/>
        </w:rPr>
        <w:t>；</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（七）围绕提升服务和管理水平，做好协会其他各项工作。</w:t>
      </w:r>
    </w:p>
    <w:p>
      <w:pPr>
        <w:pStyle w:val="4"/>
        <w:numPr>
          <w:ilvl w:val="0"/>
          <w:numId w:val="0"/>
        </w:numPr>
        <w:ind w:left="630" w:leftChars="300" w:firstLine="0" w:firstLineChars="0"/>
        <w:rPr>
          <w:rStyle w:val="27"/>
          <w:rFonts w:hint="eastAsia" w:ascii="黑体" w:hAnsi="黑体" w:eastAsia="黑体" w:cs="黑体"/>
          <w:b w:val="0"/>
          <w:bCs w:val="0"/>
          <w:lang w:val="en-US" w:eastAsia="zh-CN" w:bidi="ar-SA"/>
        </w:rPr>
      </w:pPr>
      <w:r>
        <w:rPr>
          <w:rStyle w:val="27"/>
          <w:rFonts w:hint="eastAsia" w:ascii="黑体" w:hAnsi="黑体" w:eastAsia="黑体" w:cs="黑体"/>
          <w:b w:val="0"/>
          <w:bCs w:val="0"/>
          <w:lang w:val="en-US" w:eastAsia="zh-CN" w:bidi="ar-SA"/>
        </w:rPr>
        <w:t>三、机构设置情况</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本单位是隶属于四川省财政厅的二级预算单位，本单位无下属单位。</w:t>
      </w: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p>
    <w:p>
      <w:pPr>
        <w:pStyle w:val="2"/>
        <w:adjustRightInd w:val="0"/>
        <w:snapToGrid w:val="0"/>
        <w:spacing w:before="93" w:line="600" w:lineRule="exact"/>
        <w:ind w:firstLine="672" w:firstLineChars="210"/>
        <w:outlineLvl w:val="2"/>
        <w:rPr>
          <w:rFonts w:hint="eastAsia" w:ascii="仿宋" w:hAnsi="仿宋" w:eastAsia="仿宋" w:cs="仿宋"/>
          <w:bCs/>
          <w:color w:val="000000"/>
          <w:sz w:val="32"/>
          <w:szCs w:val="32"/>
        </w:rPr>
      </w:pPr>
    </w:p>
    <w:p>
      <w:pPr>
        <w:pStyle w:val="2"/>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p>
    <w:p>
      <w:pPr>
        <w:pStyle w:val="2"/>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p>
    <w:p>
      <w:pPr>
        <w:pStyle w:val="2"/>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ind w:right="440"/>
        <w:jc w:val="right"/>
        <w:rPr>
          <w:rStyle w:val="26"/>
          <w:rFonts w:ascii="黑体" w:hAnsi="黑体" w:eastAsia="黑体"/>
          <w:b w:val="0"/>
          <w:bCs w:val="0"/>
        </w:rPr>
      </w:pPr>
      <w:bookmarkStart w:id="14" w:name="_Toc15377204"/>
      <w:bookmarkStart w:id="15"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w:t>
      </w:r>
      <w:r>
        <w:rPr>
          <w:rStyle w:val="26"/>
          <w:rFonts w:hint="eastAsia" w:ascii="黑体" w:hAnsi="黑体" w:eastAsia="黑体"/>
          <w:b w:val="0"/>
          <w:bCs w:val="0"/>
          <w:lang w:val="en-US" w:eastAsia="zh-CN"/>
        </w:rPr>
        <w:t>20</w:t>
      </w:r>
      <w:r>
        <w:rPr>
          <w:rStyle w:val="26"/>
          <w:rFonts w:hint="eastAsia" w:ascii="黑体" w:hAnsi="黑体" w:eastAsia="黑体"/>
          <w:b w:val="0"/>
          <w:bCs w:val="0"/>
        </w:rPr>
        <w:t>年度部门决算情况说明</w:t>
      </w:r>
      <w:bookmarkEnd w:id="14"/>
      <w:bookmarkEnd w:id="15"/>
    </w:p>
    <w:p>
      <w:pPr>
        <w:pStyle w:val="25"/>
        <w:numPr>
          <w:ilvl w:val="0"/>
          <w:numId w:val="1"/>
        </w:numPr>
        <w:spacing w:line="600" w:lineRule="exact"/>
        <w:ind w:firstLineChars="0"/>
        <w:outlineLvl w:val="1"/>
        <w:rPr>
          <w:rStyle w:val="27"/>
          <w:rFonts w:ascii="黑体" w:hAnsi="黑体" w:eastAsia="黑体"/>
          <w:b w:val="0"/>
        </w:rPr>
      </w:pPr>
      <w:bookmarkStart w:id="16" w:name="_Toc15396603"/>
      <w:bookmarkStart w:id="17"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16"/>
      <w:bookmarkEnd w:id="17"/>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1534.96</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336.61</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2020年注册会计师考试支出减少。</w:t>
      </w:r>
    </w:p>
    <w:p>
      <w:pPr>
        <w:spacing w:line="600" w:lineRule="exact"/>
        <w:ind w:firstLine="640" w:firstLineChars="200"/>
        <w:jc w:val="center"/>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614680</wp:posOffset>
            </wp:positionH>
            <wp:positionV relativeFrom="paragraph">
              <wp:posOffset>170180</wp:posOffset>
            </wp:positionV>
            <wp:extent cx="4241800" cy="2372360"/>
            <wp:effectExtent l="4445" t="4445" r="20955"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000000" w:themeColor="text1"/>
          <w:sz w:val="32"/>
          <w:szCs w:val="32"/>
          <w:lang w:val="en-US" w:eastAsia="zh-CN"/>
          <w14:textFill>
            <w14:solidFill>
              <w14:schemeClr w14:val="tx1"/>
            </w14:solidFill>
          </w14:textFill>
        </w:rPr>
        <w:t>(单位：万元）</w:t>
      </w:r>
    </w:p>
    <w:p>
      <w:pPr>
        <w:pStyle w:val="25"/>
        <w:numPr>
          <w:ilvl w:val="0"/>
          <w:numId w:val="1"/>
        </w:numPr>
        <w:spacing w:line="600" w:lineRule="exact"/>
        <w:ind w:firstLineChars="0"/>
        <w:outlineLvl w:val="1"/>
        <w:rPr>
          <w:rStyle w:val="27"/>
          <w:rFonts w:ascii="黑体" w:hAnsi="黑体" w:eastAsia="黑体"/>
          <w:b w:val="0"/>
        </w:rPr>
      </w:pPr>
      <w:bookmarkStart w:id="18" w:name="_Toc15377206"/>
      <w:bookmarkStart w:id="19"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18"/>
      <w:bookmarkEnd w:id="1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1534.96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1534.96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outlineLvl w:val="1"/>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sz w:val="32"/>
          <w:szCs w:val="32"/>
          <w:highlight w:val="none"/>
        </w:rPr>
        <w:drawing>
          <wp:anchor distT="0" distB="0" distL="114300" distR="114300" simplePos="0" relativeHeight="251659264" behindDoc="0" locked="0" layoutInCell="1" allowOverlap="1">
            <wp:simplePos x="0" y="0"/>
            <wp:positionH relativeFrom="column">
              <wp:posOffset>925195</wp:posOffset>
            </wp:positionH>
            <wp:positionV relativeFrom="paragraph">
              <wp:posOffset>118745</wp:posOffset>
            </wp:positionV>
            <wp:extent cx="3614420" cy="2277110"/>
            <wp:effectExtent l="4445" t="5080" r="19685" b="2286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highlight w:val="none"/>
          <w14:textFill>
            <w14:solidFill>
              <w14:schemeClr w14:val="tx1"/>
            </w14:solidFill>
          </w14:textFill>
        </w:rPr>
        <w:t>图2：收入决算结构图</w:t>
      </w:r>
    </w:p>
    <w:p>
      <w:pPr>
        <w:pStyle w:val="25"/>
        <w:numPr>
          <w:ilvl w:val="0"/>
          <w:numId w:val="1"/>
        </w:numPr>
        <w:spacing w:line="600" w:lineRule="exact"/>
        <w:ind w:firstLineChars="0"/>
        <w:outlineLvl w:val="1"/>
        <w:rPr>
          <w:rStyle w:val="27"/>
          <w:rFonts w:ascii="黑体" w:hAnsi="黑体" w:eastAsia="黑体"/>
          <w:b w:val="0"/>
        </w:rPr>
      </w:pPr>
      <w:bookmarkStart w:id="20" w:name="_Toc15396605"/>
      <w:bookmarkStart w:id="21"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0"/>
      <w:bookmarkEnd w:id="2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1534.96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143.07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1391.89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90.68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shd w:val="pct10" w:color="auto" w:fill="FFFFFF"/>
          <w:lang w:eastAsia="zh-CN"/>
        </w:rPr>
      </w:pPr>
    </w:p>
    <w:p>
      <w:pPr>
        <w:spacing w:line="600" w:lineRule="exact"/>
        <w:ind w:firstLine="640" w:firstLineChars="200"/>
        <w:jc w:val="center"/>
        <w:outlineLvl w:val="1"/>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shd w:val="pct10" w:color="auto" w:fill="FFFFFF"/>
          <w:lang w:eastAsia="zh-CN"/>
        </w:rPr>
        <w:drawing>
          <wp:anchor distT="0" distB="0" distL="114300" distR="114300" simplePos="0" relativeHeight="251660288" behindDoc="0" locked="0" layoutInCell="1" allowOverlap="1">
            <wp:simplePos x="0" y="0"/>
            <wp:positionH relativeFrom="column">
              <wp:posOffset>1052195</wp:posOffset>
            </wp:positionH>
            <wp:positionV relativeFrom="paragraph">
              <wp:posOffset>91440</wp:posOffset>
            </wp:positionV>
            <wp:extent cx="3432810" cy="2458720"/>
            <wp:effectExtent l="4445" t="4445" r="10795" b="1333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outlineLvl w:val="1"/>
        <w:rPr>
          <w:rStyle w:val="27"/>
          <w:rFonts w:ascii="黑体" w:hAnsi="黑体" w:eastAsia="黑体"/>
          <w:b w:val="0"/>
        </w:rPr>
      </w:pPr>
      <w:bookmarkStart w:id="22" w:name="_Toc15396606"/>
      <w:bookmarkStart w:id="23"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22"/>
      <w:bookmarkEnd w:id="23"/>
    </w:p>
    <w:p>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年度财政拨款收、支总计</w:t>
      </w:r>
      <w:r>
        <w:rPr>
          <w:rFonts w:hint="eastAsia" w:ascii="仿宋" w:hAnsi="仿宋" w:eastAsia="仿宋"/>
          <w:color w:val="000000"/>
          <w:sz w:val="32"/>
          <w:szCs w:val="32"/>
          <w:lang w:val="en-US" w:eastAsia="zh-CN"/>
        </w:rPr>
        <w:t>1534.96</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val="en-US" w:eastAsia="zh-CN"/>
        </w:rPr>
        <w:t>336.61</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2020年注册会计师考务经费支出减少导致。</w:t>
      </w:r>
    </w:p>
    <w:p>
      <w:pPr>
        <w:spacing w:line="600" w:lineRule="exact"/>
        <w:ind w:firstLine="0" w:firstLineChars="0"/>
        <w:jc w:val="center"/>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sz w:val="32"/>
          <w:szCs w:val="32"/>
          <w:highlight w:val="none"/>
          <w:lang w:eastAsia="zh-CN"/>
        </w:rPr>
        <w:drawing>
          <wp:anchor distT="0" distB="0" distL="114300" distR="114300" simplePos="0" relativeHeight="251661312" behindDoc="0" locked="0" layoutInCell="1" allowOverlap="1">
            <wp:simplePos x="0" y="0"/>
            <wp:positionH relativeFrom="column">
              <wp:posOffset>452120</wp:posOffset>
            </wp:positionH>
            <wp:positionV relativeFrom="paragraph">
              <wp:posOffset>23495</wp:posOffset>
            </wp:positionV>
            <wp:extent cx="4480560" cy="3058795"/>
            <wp:effectExtent l="4445" t="5080" r="10795" b="222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highlight w:val="none"/>
          <w14:textFill>
            <w14:solidFill>
              <w14:schemeClr w14:val="tx1"/>
            </w14:solidFill>
          </w14:textFill>
        </w:rPr>
        <w:t>图4：财政拨款收、支决算总计变动情况</w:t>
      </w:r>
      <w:r>
        <w:rPr>
          <w:rFonts w:hint="eastAsia" w:ascii="仿宋" w:hAnsi="仿宋" w:eastAsia="仿宋"/>
          <w:color w:val="000000" w:themeColor="text1"/>
          <w:sz w:val="32"/>
          <w:szCs w:val="32"/>
          <w:lang w:val="en-US" w:eastAsia="zh-CN"/>
          <w14:textFill>
            <w14:solidFill>
              <w14:schemeClr w14:val="tx1"/>
            </w14:solidFill>
          </w14:textFill>
        </w:rPr>
        <w:t>(单位：万元）</w:t>
      </w:r>
    </w:p>
    <w:p>
      <w:pPr>
        <w:spacing w:line="600" w:lineRule="exact"/>
        <w:ind w:firstLine="640" w:firstLineChars="200"/>
        <w:outlineLvl w:val="1"/>
        <w:rPr>
          <w:rStyle w:val="27"/>
          <w:rFonts w:ascii="黑体" w:hAnsi="黑体" w:eastAsia="黑体"/>
          <w:b w:val="0"/>
        </w:rPr>
      </w:pPr>
      <w:bookmarkStart w:id="24" w:name="_Toc15396607"/>
      <w:bookmarkStart w:id="2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24"/>
      <w:bookmarkEnd w:id="25"/>
    </w:p>
    <w:p>
      <w:pPr>
        <w:spacing w:line="600" w:lineRule="exact"/>
        <w:ind w:firstLine="643" w:firstLineChars="200"/>
        <w:outlineLvl w:val="2"/>
        <w:rPr>
          <w:rFonts w:ascii="仿宋" w:hAnsi="仿宋" w:eastAsia="仿宋"/>
          <w:b/>
          <w:color w:val="000000"/>
          <w:sz w:val="32"/>
          <w:szCs w:val="32"/>
        </w:rPr>
      </w:pPr>
      <w:bookmarkStart w:id="26" w:name="_Toc15377210"/>
      <w:r>
        <w:rPr>
          <w:rFonts w:hint="eastAsia" w:ascii="仿宋" w:hAnsi="仿宋" w:eastAsia="仿宋"/>
          <w:b/>
          <w:color w:val="000000"/>
          <w:sz w:val="32"/>
          <w:szCs w:val="32"/>
        </w:rPr>
        <w:t>（一）一般公共预算财政拨款支出决算总体情况</w:t>
      </w:r>
      <w:bookmarkEnd w:id="26"/>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1534.96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336.61</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2020年注册会计师考务经费支出减少导致</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0" w:firstLineChars="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71755</wp:posOffset>
            </wp:positionH>
            <wp:positionV relativeFrom="paragraph">
              <wp:posOffset>99695</wp:posOffset>
            </wp:positionV>
            <wp:extent cx="5023485" cy="2544445"/>
            <wp:effectExtent l="4445" t="4445" r="20320" b="2286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14:textFill>
            <w14:solidFill>
              <w14:schemeClr w14:val="tx1"/>
            </w14:solidFill>
          </w14:textFill>
        </w:rPr>
        <w:t>图5：一般公共预算财政拨款支出决算变动情况</w:t>
      </w:r>
      <w:r>
        <w:rPr>
          <w:rFonts w:hint="eastAsia" w:ascii="仿宋" w:hAnsi="仿宋" w:eastAsia="仿宋"/>
          <w:color w:val="000000" w:themeColor="text1"/>
          <w:sz w:val="32"/>
          <w:szCs w:val="32"/>
          <w:lang w:val="en-US" w:eastAsia="zh-CN"/>
          <w14:textFill>
            <w14:solidFill>
              <w14:schemeClr w14:val="tx1"/>
            </w14:solidFill>
          </w14:textFill>
        </w:rPr>
        <w:t>(单位：万元）</w:t>
      </w:r>
    </w:p>
    <w:p>
      <w:pPr>
        <w:spacing w:line="600" w:lineRule="exact"/>
        <w:ind w:firstLine="643" w:firstLineChars="200"/>
        <w:outlineLvl w:val="2"/>
        <w:rPr>
          <w:rFonts w:ascii="仿宋" w:hAnsi="仿宋" w:eastAsia="仿宋"/>
          <w:b/>
          <w:color w:val="000000"/>
          <w:sz w:val="32"/>
          <w:szCs w:val="32"/>
        </w:rPr>
      </w:pPr>
      <w:bookmarkStart w:id="27" w:name="_Toc15377211"/>
      <w:r>
        <w:rPr>
          <w:rFonts w:hint="eastAsia" w:ascii="仿宋" w:hAnsi="仿宋" w:eastAsia="仿宋"/>
          <w:b/>
          <w:color w:val="000000"/>
          <w:sz w:val="32"/>
          <w:szCs w:val="32"/>
        </w:rPr>
        <w:t>（二）一般公共预算财政拨款支出决算结构情况</w:t>
      </w:r>
      <w:bookmarkEnd w:id="27"/>
    </w:p>
    <w:p>
      <w:pPr>
        <w:spacing w:line="600" w:lineRule="exact"/>
        <w:ind w:firstLine="640"/>
        <w:rPr>
          <w:rFonts w:hint="eastAsia"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1534.96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1481.32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96.50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41.00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2.67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5.64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7.00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0.46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1292" w:firstLineChars="404"/>
        <w:rPr>
          <w:rFonts w:hint="eastAsia" w:ascii="仿宋" w:hAnsi="仿宋" w:eastAsia="仿宋"/>
          <w:color w:val="000000"/>
          <w:sz w:val="32"/>
          <w:szCs w:val="32"/>
          <w:highlight w:val="none"/>
        </w:rPr>
      </w:pPr>
      <w:r>
        <w:rPr>
          <w:rFonts w:hint="eastAsia" w:ascii="仿宋" w:hAnsi="仿宋" w:eastAsia="仿宋"/>
          <w:color w:val="000000"/>
          <w:sz w:val="32"/>
          <w:szCs w:val="32"/>
          <w:highlight w:val="none"/>
          <w:shd w:val="pct10" w:color="auto" w:fill="FFFFFF"/>
          <w:lang w:eastAsia="zh-CN"/>
        </w:rPr>
        <w:drawing>
          <wp:anchor distT="0" distB="0" distL="114300" distR="114300" simplePos="0" relativeHeight="251663360" behindDoc="0" locked="0" layoutInCell="1" allowOverlap="1">
            <wp:simplePos x="0" y="0"/>
            <wp:positionH relativeFrom="column">
              <wp:posOffset>423545</wp:posOffset>
            </wp:positionH>
            <wp:positionV relativeFrom="paragraph">
              <wp:posOffset>81280</wp:posOffset>
            </wp:positionV>
            <wp:extent cx="4707255" cy="2914650"/>
            <wp:effectExtent l="6350" t="6350" r="10795" b="1270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highlight w:val="none"/>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28" w:name="_Toc15377212"/>
      <w:r>
        <w:rPr>
          <w:rFonts w:hint="eastAsia" w:ascii="仿宋" w:hAnsi="仿宋" w:eastAsia="仿宋"/>
          <w:b/>
          <w:color w:val="000000"/>
          <w:sz w:val="32"/>
          <w:szCs w:val="32"/>
        </w:rPr>
        <w:t>（三）一般公共预算财政拨款支出决算具体情况</w:t>
      </w:r>
      <w:bookmarkEnd w:id="28"/>
    </w:p>
    <w:p>
      <w:pPr>
        <w:spacing w:line="600" w:lineRule="exact"/>
        <w:ind w:firstLine="643" w:firstLineChars="200"/>
        <w:outlineLvl w:val="2"/>
        <w:rPr>
          <w:rFonts w:ascii="仿宋" w:hAnsi="仿宋" w:eastAsia="仿宋"/>
          <w:color w:val="FF0000"/>
          <w:sz w:val="32"/>
          <w:szCs w:val="32"/>
        </w:rPr>
      </w:pPr>
      <w:bookmarkStart w:id="29" w:name="_Toc15377444"/>
      <w:bookmarkStart w:id="30" w:name="_Toc15378460"/>
      <w:bookmarkStart w:id="31" w:name="_Toc15377213"/>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1534.96万元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84.88</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29"/>
      <w:bookmarkEnd w:id="30"/>
      <w:bookmarkEnd w:id="31"/>
    </w:p>
    <w:p>
      <w:pPr>
        <w:numPr>
          <w:ilvl w:val="0"/>
          <w:numId w:val="2"/>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cs="仿宋"/>
          <w:b/>
          <w:bCs w:val="0"/>
          <w:sz w:val="32"/>
          <w:szCs w:val="32"/>
          <w:highlight w:val="none"/>
        </w:rPr>
        <w:t>一般公共服务（类）财政事务（款）</w:t>
      </w:r>
      <w:r>
        <w:rPr>
          <w:rStyle w:val="16"/>
          <w:rFonts w:hint="eastAsia" w:ascii="仿宋" w:hAnsi="仿宋" w:eastAsia="仿宋" w:cs="仿宋"/>
          <w:b/>
          <w:bCs w:val="0"/>
          <w:sz w:val="32"/>
          <w:szCs w:val="32"/>
          <w:highlight w:val="none"/>
          <w:lang w:eastAsia="zh-CN"/>
        </w:rPr>
        <w:t>一般行政管理事务</w:t>
      </w:r>
      <w:r>
        <w:rPr>
          <w:rStyle w:val="16"/>
          <w:rFonts w:hint="eastAsia" w:ascii="仿宋" w:hAnsi="仿宋" w:eastAsia="仿宋" w:cs="仿宋"/>
          <w:b/>
          <w:bCs w:val="0"/>
          <w:sz w:val="32"/>
          <w:szCs w:val="32"/>
          <w:highlight w:val="none"/>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21.78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99.98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numPr>
          <w:ilvl w:val="0"/>
          <w:numId w:val="2"/>
        </w:numPr>
        <w:spacing w:line="600" w:lineRule="exact"/>
        <w:ind w:firstLine="643" w:firstLineChars="200"/>
        <w:rPr>
          <w:rFonts w:ascii="仿宋" w:hAnsi="仿宋" w:eastAsia="仿宋"/>
          <w:b/>
          <w:color w:val="000000"/>
          <w:sz w:val="32"/>
          <w:szCs w:val="32"/>
        </w:rPr>
      </w:pPr>
      <w:r>
        <w:rPr>
          <w:rStyle w:val="16"/>
          <w:rFonts w:hint="eastAsia" w:ascii="仿宋" w:hAnsi="仿宋" w:eastAsia="仿宋" w:cs="仿宋"/>
          <w:b/>
          <w:bCs w:val="0"/>
          <w:sz w:val="32"/>
          <w:szCs w:val="32"/>
          <w:highlight w:val="none"/>
        </w:rPr>
        <w:t>一般公共服务（类）财政事务（款）事业运行（项）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89.43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99.85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color w:val="000000"/>
          <w:sz w:val="32"/>
          <w:szCs w:val="32"/>
          <w:highlight w:val="yellow"/>
          <w:lang w:eastAsia="zh-CN"/>
        </w:rPr>
      </w:pPr>
      <w:r>
        <w:rPr>
          <w:rStyle w:val="16"/>
          <w:rFonts w:ascii="仿宋" w:hAnsi="仿宋" w:eastAsia="仿宋"/>
          <w:bCs/>
          <w:color w:val="000000"/>
          <w:sz w:val="32"/>
          <w:szCs w:val="32"/>
        </w:rPr>
        <w:t>3.</w:t>
      </w:r>
      <w:r>
        <w:rPr>
          <w:rStyle w:val="16"/>
          <w:rFonts w:hint="eastAsia" w:ascii="仿宋" w:hAnsi="仿宋" w:eastAsia="仿宋" w:cs="仿宋"/>
          <w:b/>
          <w:bCs w:val="0"/>
          <w:sz w:val="32"/>
          <w:szCs w:val="32"/>
          <w:highlight w:val="none"/>
        </w:rPr>
        <w:t>一般公共服务（类）财政事务（款）</w:t>
      </w:r>
      <w:r>
        <w:rPr>
          <w:rStyle w:val="16"/>
          <w:rFonts w:hint="eastAsia" w:ascii="仿宋" w:hAnsi="仿宋" w:eastAsia="仿宋" w:cs="仿宋"/>
          <w:b/>
          <w:bCs w:val="0"/>
          <w:sz w:val="32"/>
          <w:szCs w:val="32"/>
          <w:highlight w:val="none"/>
          <w:lang w:eastAsia="zh-CN"/>
        </w:rPr>
        <w:t>其他财政事务支出</w:t>
      </w:r>
      <w:r>
        <w:rPr>
          <w:rStyle w:val="16"/>
          <w:rFonts w:hint="eastAsia" w:ascii="仿宋" w:hAnsi="仿宋" w:eastAsia="仿宋" w:cs="仿宋"/>
          <w:b/>
          <w:bCs w:val="0"/>
          <w:sz w:val="32"/>
          <w:szCs w:val="32"/>
          <w:highlight w:val="none"/>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1370.11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83.37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3" w:firstLineChars="200"/>
        <w:rPr>
          <w:rStyle w:val="16"/>
          <w:rFonts w:ascii="仿宋" w:hAnsi="仿宋" w:eastAsia="仿宋"/>
          <w:bCs/>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社会保障和就业（类）</w:t>
      </w:r>
      <w:r>
        <w:rPr>
          <w:rStyle w:val="16"/>
          <w:rFonts w:hint="eastAsia" w:ascii="仿宋" w:hAnsi="仿宋" w:eastAsia="仿宋" w:cs="仿宋"/>
          <w:sz w:val="32"/>
          <w:szCs w:val="32"/>
          <w:highlight w:val="none"/>
          <w:u w:val="none"/>
        </w:rPr>
        <w:t>行政事业单位养老支出（款）机关事业单位基本养老保险缴费支出（项）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30.55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5.</w:t>
      </w:r>
      <w:r>
        <w:rPr>
          <w:rStyle w:val="16"/>
          <w:rFonts w:hint="eastAsia" w:ascii="仿宋" w:hAnsi="仿宋" w:eastAsia="仿宋" w:cs="仿宋"/>
          <w:sz w:val="32"/>
          <w:szCs w:val="32"/>
          <w:highlight w:val="none"/>
          <w:u w:val="none"/>
          <w:lang w:val="en-US" w:eastAsia="zh-CN"/>
        </w:rPr>
        <w:t>社会保障和就业（类）行政事业单位养老支出（款）机关事业单位职业年金缴费支出（项）</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10.45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sz w:val="32"/>
          <w:szCs w:val="32"/>
        </w:rPr>
        <w:t>（类）</w:t>
      </w:r>
      <w:r>
        <w:rPr>
          <w:rStyle w:val="16"/>
          <w:rFonts w:hint="eastAsia" w:ascii="仿宋" w:hAnsi="仿宋" w:eastAsia="仿宋" w:cs="仿宋"/>
          <w:sz w:val="32"/>
          <w:szCs w:val="32"/>
          <w:highlight w:val="none"/>
          <w:u w:val="none"/>
          <w:lang w:val="en-US" w:eastAsia="zh-CN"/>
        </w:rPr>
        <w:t>行政事业单位医疗（款）事业单位医疗（项）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5.64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7.</w:t>
      </w:r>
      <w:r>
        <w:rPr>
          <w:rStyle w:val="16"/>
          <w:rFonts w:hint="eastAsia" w:ascii="仿宋" w:hAnsi="仿宋" w:eastAsia="仿宋" w:cs="仿宋"/>
          <w:sz w:val="32"/>
          <w:szCs w:val="32"/>
          <w:highlight w:val="none"/>
          <w:u w:val="none"/>
          <w:lang w:val="en-US" w:eastAsia="zh-CN"/>
        </w:rPr>
        <w:t>住房保障</w:t>
      </w:r>
      <w:r>
        <w:rPr>
          <w:rStyle w:val="16"/>
          <w:rFonts w:hint="eastAsia" w:ascii="仿宋" w:hAnsi="仿宋" w:eastAsia="仿宋" w:cs="仿宋"/>
          <w:sz w:val="32"/>
          <w:szCs w:val="32"/>
          <w:highlight w:val="none"/>
          <w:u w:val="none"/>
        </w:rPr>
        <w:t>（类）</w:t>
      </w:r>
      <w:r>
        <w:rPr>
          <w:rStyle w:val="16"/>
          <w:rFonts w:hint="eastAsia" w:ascii="仿宋" w:hAnsi="仿宋" w:eastAsia="仿宋" w:cs="仿宋"/>
          <w:sz w:val="32"/>
          <w:szCs w:val="32"/>
          <w:highlight w:val="none"/>
          <w:u w:val="none"/>
          <w:lang w:val="en-US" w:eastAsia="zh-CN"/>
        </w:rPr>
        <w:t>住房改革支出</w:t>
      </w:r>
      <w:r>
        <w:rPr>
          <w:rStyle w:val="16"/>
          <w:rFonts w:hint="eastAsia" w:ascii="仿宋" w:hAnsi="仿宋" w:eastAsia="仿宋" w:cs="仿宋"/>
          <w:sz w:val="32"/>
          <w:szCs w:val="32"/>
          <w:highlight w:val="none"/>
          <w:u w:val="none"/>
        </w:rPr>
        <w:t>（款）</w:t>
      </w:r>
      <w:r>
        <w:rPr>
          <w:rStyle w:val="16"/>
          <w:rFonts w:hint="eastAsia" w:ascii="仿宋" w:hAnsi="仿宋" w:eastAsia="仿宋" w:cs="仿宋"/>
          <w:sz w:val="32"/>
          <w:szCs w:val="32"/>
          <w:highlight w:val="none"/>
          <w:u w:val="none"/>
          <w:lang w:eastAsia="zh-CN"/>
        </w:rPr>
        <w:t>住房公积金</w:t>
      </w:r>
      <w:r>
        <w:rPr>
          <w:rStyle w:val="16"/>
          <w:rFonts w:hint="eastAsia" w:ascii="仿宋" w:hAnsi="仿宋" w:eastAsia="仿宋" w:cs="仿宋"/>
          <w:sz w:val="32"/>
          <w:szCs w:val="32"/>
          <w:highlight w:val="none"/>
          <w:u w:val="none"/>
        </w:rPr>
        <w:t>（项）</w:t>
      </w:r>
      <w:r>
        <w:rPr>
          <w:rStyle w:val="16"/>
          <w:rFonts w:hint="eastAsia" w:ascii="仿宋" w:hAnsi="仿宋" w:eastAsia="仿宋" w:cs="仿宋"/>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0" w:firstLineChars="200"/>
        <w:outlineLvl w:val="9"/>
        <w:rPr>
          <w:rStyle w:val="27"/>
        </w:rPr>
      </w:pPr>
      <w:bookmarkStart w:id="32" w:name="_Toc15396608"/>
      <w:bookmarkStart w:id="3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2"/>
      <w:bookmarkEnd w:id="33"/>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143.07</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130.28</w:t>
      </w:r>
      <w:r>
        <w:rPr>
          <w:rFonts w:hint="eastAsia" w:ascii="仿宋" w:hAnsi="仿宋" w:eastAsia="仿宋"/>
          <w:color w:val="000000"/>
          <w:sz w:val="32"/>
          <w:szCs w:val="32"/>
        </w:rPr>
        <w:t>万元，主要包括：基本工资、机关事业单位基本养老保险缴费、职业年金缴费、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其他社会保障缴费、住房公积金。</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12.79</w:t>
      </w:r>
      <w:r>
        <w:rPr>
          <w:rFonts w:hint="eastAsia" w:ascii="仿宋" w:hAnsi="仿宋" w:eastAsia="仿宋"/>
          <w:color w:val="000000"/>
          <w:sz w:val="32"/>
          <w:szCs w:val="32"/>
        </w:rPr>
        <w:t>万元，主要包括：办公费、水费、电费、邮电费、工会经费、福利费、其他商品和服务支出。</w:t>
      </w:r>
    </w:p>
    <w:p>
      <w:pPr>
        <w:spacing w:line="600" w:lineRule="exact"/>
        <w:ind w:firstLine="640"/>
        <w:outlineLvl w:val="1"/>
        <w:rPr>
          <w:rStyle w:val="27"/>
          <w:rFonts w:ascii="黑体" w:hAnsi="黑体" w:eastAsia="黑体"/>
          <w:b w:val="0"/>
        </w:rPr>
      </w:pPr>
      <w:bookmarkStart w:id="34" w:name="_Toc15396609"/>
      <w:bookmarkStart w:id="35"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4"/>
      <w:bookmarkEnd w:id="35"/>
    </w:p>
    <w:p>
      <w:pPr>
        <w:spacing w:line="600" w:lineRule="exact"/>
        <w:ind w:firstLine="640"/>
        <w:outlineLvl w:val="2"/>
        <w:rPr>
          <w:rFonts w:ascii="仿宋" w:hAnsi="仿宋" w:eastAsia="仿宋"/>
          <w:b/>
          <w:color w:val="000000"/>
          <w:sz w:val="32"/>
          <w:szCs w:val="32"/>
        </w:rPr>
      </w:pPr>
      <w:bookmarkStart w:id="36" w:name="_Toc15377216"/>
      <w:r>
        <w:rPr>
          <w:rFonts w:hint="eastAsia" w:ascii="仿宋" w:hAnsi="仿宋" w:eastAsia="仿宋"/>
          <w:b/>
          <w:color w:val="000000"/>
          <w:sz w:val="32"/>
          <w:szCs w:val="32"/>
        </w:rPr>
        <w:t>（一）“三公”经费财政拨款支出决算总体情况说明</w:t>
      </w:r>
      <w:bookmarkEnd w:id="3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注会中心无</w:t>
      </w:r>
      <w:r>
        <w:rPr>
          <w:rFonts w:hint="eastAsia" w:ascii="仿宋" w:hAnsi="仿宋" w:eastAsia="仿宋"/>
          <w:color w:val="000000"/>
          <w:sz w:val="32"/>
          <w:szCs w:val="32"/>
        </w:rPr>
        <w:t>“三公”经费财政拨款支出。</w:t>
      </w:r>
    </w:p>
    <w:p>
      <w:pPr>
        <w:spacing w:line="600" w:lineRule="exact"/>
        <w:ind w:firstLine="640"/>
        <w:outlineLvl w:val="1"/>
        <w:rPr>
          <w:rStyle w:val="27"/>
          <w:rFonts w:ascii="黑体" w:hAnsi="黑体" w:eastAsia="黑体"/>
        </w:rPr>
      </w:pPr>
      <w:bookmarkStart w:id="37" w:name="_Toc15396610"/>
      <w:bookmarkStart w:id="38"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37"/>
      <w:bookmarkEnd w:id="38"/>
    </w:p>
    <w:p>
      <w:pPr>
        <w:spacing w:line="600" w:lineRule="exact"/>
        <w:ind w:firstLine="640"/>
        <w:rPr>
          <w:rFonts w:ascii="仿宋_GB2312" w:eastAsia="仿宋_GB2312"/>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注会中心无</w:t>
      </w:r>
      <w:r>
        <w:rPr>
          <w:rFonts w:hint="eastAsia" w:ascii="仿宋" w:hAnsi="仿宋" w:eastAsia="仿宋" w:cs="仿宋"/>
          <w:color w:val="000000"/>
          <w:sz w:val="32"/>
          <w:szCs w:val="32"/>
        </w:rPr>
        <w:t>政府性基金预算拨款支出。</w:t>
      </w:r>
    </w:p>
    <w:p>
      <w:pPr>
        <w:numPr>
          <w:ilvl w:val="0"/>
          <w:numId w:val="3"/>
        </w:numPr>
        <w:spacing w:line="600" w:lineRule="exact"/>
        <w:ind w:firstLine="640"/>
        <w:outlineLvl w:val="1"/>
        <w:rPr>
          <w:rStyle w:val="27"/>
          <w:rFonts w:ascii="黑体" w:hAnsi="黑体" w:eastAsia="黑体"/>
          <w:b w:val="0"/>
        </w:rPr>
      </w:pPr>
      <w:bookmarkStart w:id="39" w:name="_Toc15377219"/>
      <w:bookmarkStart w:id="40" w:name="_Toc15396611"/>
      <w:r>
        <w:rPr>
          <w:rStyle w:val="27"/>
          <w:rFonts w:hint="eastAsia" w:ascii="黑体" w:hAnsi="黑体" w:eastAsia="黑体"/>
          <w:b w:val="0"/>
        </w:rPr>
        <w:t>国有资本经营预算支出决算情况说明</w:t>
      </w:r>
      <w:bookmarkEnd w:id="39"/>
      <w:bookmarkEnd w:id="40"/>
    </w:p>
    <w:p>
      <w:pPr>
        <w:spacing w:line="600" w:lineRule="exact"/>
        <w:ind w:firstLine="640"/>
        <w:jc w:val="left"/>
        <w:rPr>
          <w:rFonts w:hint="eastAsia" w:ascii="仿宋" w:hAnsi="仿宋" w:eastAsia="仿宋" w:cs="仿宋"/>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注会中心无</w:t>
      </w:r>
      <w:r>
        <w:rPr>
          <w:rFonts w:hint="eastAsia" w:ascii="仿宋" w:hAnsi="仿宋" w:eastAsia="仿宋" w:cs="仿宋"/>
          <w:color w:val="000000"/>
          <w:sz w:val="32"/>
          <w:szCs w:val="32"/>
        </w:rPr>
        <w:t>国有资本经营预算拨款支出</w:t>
      </w:r>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rPr>
        <w:t>。</w:t>
      </w:r>
    </w:p>
    <w:p>
      <w:pPr>
        <w:numPr>
          <w:ilvl w:val="0"/>
          <w:numId w:val="3"/>
        </w:numPr>
        <w:spacing w:line="600" w:lineRule="exact"/>
        <w:ind w:firstLine="640"/>
        <w:outlineLvl w:val="1"/>
        <w:rPr>
          <w:rStyle w:val="27"/>
          <w:rFonts w:hint="eastAsia" w:ascii="黑体" w:hAnsi="黑体" w:eastAsia="黑体"/>
          <w:b w:val="0"/>
        </w:rPr>
      </w:pPr>
      <w:bookmarkStart w:id="41" w:name="_Toc15396612"/>
      <w:bookmarkStart w:id="42" w:name="_Toc15377221"/>
      <w:r>
        <w:rPr>
          <w:rStyle w:val="27"/>
          <w:rFonts w:hint="eastAsia" w:ascii="黑体" w:hAnsi="黑体" w:eastAsia="黑体"/>
          <w:b w:val="0"/>
        </w:rPr>
        <w:t>其他重要事项的情况说明</w:t>
      </w:r>
      <w:bookmarkEnd w:id="41"/>
      <w:bookmarkEnd w:id="42"/>
    </w:p>
    <w:p>
      <w:pPr>
        <w:numPr>
          <w:ilvl w:val="0"/>
          <w:numId w:val="4"/>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43" w:name="_Toc15377222"/>
      <w:r>
        <w:rPr>
          <w:rFonts w:hint="eastAsia" w:ascii="仿宋" w:hAnsi="仿宋" w:eastAsia="仿宋"/>
          <w:b/>
          <w:color w:val="000000"/>
          <w:sz w:val="32"/>
          <w:szCs w:val="32"/>
        </w:rPr>
        <w:t>机关运行经费支出情况</w:t>
      </w:r>
    </w:p>
    <w:p>
      <w:pPr>
        <w:pStyle w:val="2"/>
        <w:numPr>
          <w:ilvl w:val="0"/>
          <w:numId w:val="0"/>
        </w:numPr>
        <w:ind w:firstLine="640" w:firstLineChars="200"/>
        <w:rPr>
          <w:rFonts w:hint="eastAsia" w:eastAsia="仿宋_GB2312"/>
          <w:lang w:val="en-US" w:eastAsia="zh-CN"/>
        </w:rPr>
      </w:pPr>
      <w:r>
        <w:rPr>
          <w:rFonts w:hint="eastAsia"/>
          <w:color w:val="000000"/>
          <w:sz w:val="32"/>
          <w:szCs w:val="32"/>
          <w:lang w:eastAsia="zh-CN"/>
        </w:rPr>
        <w:t>注会中心无机关</w:t>
      </w:r>
      <w:r>
        <w:rPr>
          <w:rFonts w:hint="eastAsia" w:ascii="仿宋_GB2312" w:eastAsia="仿宋_GB2312"/>
          <w:color w:val="000000"/>
          <w:sz w:val="32"/>
          <w:szCs w:val="32"/>
        </w:rPr>
        <w:t>运行经费支出</w:t>
      </w:r>
      <w:r>
        <w:rPr>
          <w:rFonts w:hint="eastAsia"/>
          <w:color w:val="000000"/>
          <w:sz w:val="32"/>
          <w:szCs w:val="32"/>
          <w:lang w:val="en-US"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eastAsia="zh-CN"/>
        </w:rPr>
        <w:t>二</w:t>
      </w:r>
      <w:r>
        <w:rPr>
          <w:rFonts w:hint="eastAsia" w:ascii="仿宋" w:hAnsi="仿宋" w:eastAsia="仿宋"/>
          <w:b/>
          <w:color w:val="000000"/>
          <w:sz w:val="32"/>
          <w:szCs w:val="32"/>
        </w:rPr>
        <w:t>）</w:t>
      </w:r>
      <w:bookmarkEnd w:id="43"/>
      <w:bookmarkStart w:id="44" w:name="_Toc15377223"/>
      <w:r>
        <w:rPr>
          <w:rFonts w:hint="eastAsia" w:ascii="仿宋" w:hAnsi="仿宋" w:eastAsia="仿宋"/>
          <w:b/>
          <w:color w:val="000000"/>
          <w:sz w:val="32"/>
          <w:szCs w:val="32"/>
        </w:rPr>
        <w:t>政府采购支出情况</w:t>
      </w:r>
      <w:bookmarkEnd w:id="44"/>
    </w:p>
    <w:p>
      <w:pPr>
        <w:spacing w:line="60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注会中心</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1090.94</w:t>
      </w:r>
      <w:r>
        <w:rPr>
          <w:rFonts w:hint="eastAsia" w:ascii="仿宋" w:hAnsi="仿宋" w:eastAsia="仿宋" w:cs="仿宋"/>
          <w:color w:val="000000"/>
          <w:sz w:val="32"/>
          <w:szCs w:val="32"/>
        </w:rPr>
        <w:t>万元，其中：政府采购服务支出</w:t>
      </w:r>
      <w:r>
        <w:rPr>
          <w:rFonts w:hint="eastAsia" w:ascii="仿宋" w:hAnsi="仿宋" w:eastAsia="仿宋" w:cs="仿宋"/>
          <w:color w:val="000000"/>
          <w:sz w:val="32"/>
          <w:szCs w:val="32"/>
          <w:lang w:val="en-US" w:eastAsia="zh-CN"/>
        </w:rPr>
        <w:t>1090.94</w:t>
      </w:r>
      <w:r>
        <w:rPr>
          <w:rFonts w:hint="eastAsia" w:ascii="仿宋" w:hAnsi="仿宋" w:eastAsia="仿宋" w:cs="仿宋"/>
          <w:color w:val="000000"/>
          <w:sz w:val="32"/>
          <w:szCs w:val="32"/>
        </w:rPr>
        <w:t>万元。主要用于</w:t>
      </w:r>
      <w:r>
        <w:rPr>
          <w:rFonts w:hint="eastAsia" w:ascii="仿宋" w:hAnsi="仿宋" w:eastAsia="仿宋" w:cs="仿宋"/>
          <w:color w:val="000000"/>
          <w:sz w:val="32"/>
          <w:szCs w:val="32"/>
          <w:lang w:eastAsia="zh-CN"/>
        </w:rPr>
        <w:t>注册会计师高端人才培养</w:t>
      </w:r>
      <w:r>
        <w:rPr>
          <w:rFonts w:hint="eastAsia" w:ascii="仿宋" w:hAnsi="仿宋" w:eastAsia="仿宋" w:cs="仿宋"/>
          <w:color w:val="000000"/>
          <w:sz w:val="32"/>
          <w:szCs w:val="32"/>
          <w:lang w:val="en-US" w:eastAsia="zh-CN"/>
        </w:rPr>
        <w:t>40万元，注册会计师考务经费1050.94万元</w:t>
      </w:r>
      <w:r>
        <w:rPr>
          <w:rFonts w:hint="eastAsia" w:ascii="仿宋" w:hAnsi="仿宋" w:eastAsia="仿宋" w:cs="仿宋"/>
          <w:color w:val="000000"/>
          <w:sz w:val="32"/>
          <w:szCs w:val="32"/>
        </w:rPr>
        <w:t>。</w:t>
      </w:r>
      <w:r>
        <w:rPr>
          <w:rFonts w:hint="eastAsia" w:ascii="仿宋_GB2312" w:eastAsia="仿宋_GB2312"/>
          <w:color w:val="000000"/>
          <w:sz w:val="32"/>
          <w:szCs w:val="32"/>
          <w:highlight w:val="none"/>
        </w:rPr>
        <w:t>授予中小企业合同金额</w:t>
      </w:r>
      <w:r>
        <w:rPr>
          <w:rFonts w:hint="eastAsia" w:ascii="仿宋_GB2312" w:eastAsia="仿宋_GB2312"/>
          <w:color w:val="000000"/>
          <w:sz w:val="32"/>
          <w:szCs w:val="32"/>
          <w:highlight w:val="none"/>
          <w:lang w:val="en-US" w:eastAsia="zh-CN"/>
        </w:rPr>
        <w:t>1050.94</w:t>
      </w:r>
      <w:r>
        <w:rPr>
          <w:rFonts w:hint="eastAsia" w:ascii="仿宋_GB2312" w:eastAsia="仿宋_GB2312"/>
          <w:color w:val="000000"/>
          <w:sz w:val="32"/>
          <w:szCs w:val="32"/>
          <w:highlight w:val="none"/>
        </w:rPr>
        <w:t>万元，</w:t>
      </w:r>
      <w:r>
        <w:rPr>
          <w:rFonts w:hint="eastAsia" w:ascii="仿宋_GB2312" w:eastAsia="仿宋_GB2312"/>
          <w:color w:val="000000"/>
          <w:sz w:val="32"/>
          <w:szCs w:val="32"/>
        </w:rPr>
        <w:t>占政府采购支出总额的</w:t>
      </w:r>
      <w:r>
        <w:rPr>
          <w:rFonts w:hint="eastAsia" w:ascii="仿宋_GB2312" w:eastAsia="仿宋_GB2312"/>
          <w:color w:val="000000"/>
          <w:sz w:val="32"/>
          <w:szCs w:val="32"/>
          <w:lang w:val="en-US" w:eastAsia="zh-CN"/>
        </w:rPr>
        <w:t>96.33</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5" w:name="_Toc15377224"/>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三</w:t>
      </w:r>
      <w:r>
        <w:rPr>
          <w:rFonts w:hint="eastAsia" w:ascii="仿宋" w:hAnsi="仿宋" w:eastAsia="仿宋"/>
          <w:b/>
          <w:color w:val="000000"/>
          <w:sz w:val="32"/>
          <w:szCs w:val="32"/>
        </w:rPr>
        <w:t>）国有资产占有使用情况</w:t>
      </w:r>
      <w:bookmarkEnd w:id="45"/>
    </w:p>
    <w:p>
      <w:pPr>
        <w:autoSpaceDE w:val="0"/>
        <w:autoSpaceDN w:val="0"/>
        <w:adjustRightInd w:val="0"/>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截至20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注会中心</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lang w:eastAsia="zh-CN"/>
        </w:rPr>
      </w:pPr>
      <w:r>
        <w:rPr>
          <w:rFonts w:hint="eastAsia" w:ascii="仿宋" w:hAnsi="仿宋" w:eastAsia="仿宋"/>
          <w:b/>
          <w:color w:val="auto"/>
          <w:sz w:val="32"/>
          <w:szCs w:val="32"/>
        </w:rPr>
        <w:t>（四）预算绩效管理情况</w:t>
      </w:r>
    </w:p>
    <w:p>
      <w:pPr>
        <w:spacing w:line="580" w:lineRule="exact"/>
        <w:ind w:firstLine="420" w:firstLineChars="200"/>
        <w:rPr>
          <w:rFonts w:hint="eastAsia" w:ascii="仿宋_GB2312" w:hAnsi="仿宋_GB2312" w:eastAsia="仿宋_GB2312" w:cs="仿宋_GB2312"/>
          <w:color w:val="auto"/>
          <w:sz w:val="32"/>
          <w:szCs w:val="32"/>
        </w:rPr>
      </w:pPr>
      <w:r>
        <w:rPr>
          <w:rFonts w:hint="eastAsia"/>
          <w:lang w:val="en-US" w:eastAsia="zh-CN"/>
        </w:rPr>
        <w:t xml:space="preserve">    </w:t>
      </w:r>
      <w:r>
        <w:rPr>
          <w:rFonts w:hint="eastAsia" w:ascii="仿宋" w:hAnsi="仿宋" w:eastAsia="仿宋" w:cs="仿宋"/>
          <w:color w:val="auto"/>
          <w:sz w:val="32"/>
          <w:szCs w:val="32"/>
        </w:rPr>
        <w:t>根据预算绩效管理要求，</w:t>
      </w:r>
      <w:r>
        <w:rPr>
          <w:rFonts w:hint="eastAsia" w:ascii="仿宋" w:hAnsi="仿宋" w:eastAsia="仿宋" w:cs="仿宋"/>
          <w:color w:val="auto"/>
          <w:sz w:val="32"/>
          <w:szCs w:val="32"/>
          <w:lang w:eastAsia="zh-CN"/>
        </w:rPr>
        <w:t>注会中心</w:t>
      </w:r>
      <w:r>
        <w:rPr>
          <w:rFonts w:hint="eastAsia" w:ascii="仿宋_GB2312" w:hAnsi="仿宋_GB2312" w:eastAsia="仿宋_GB2312" w:cs="仿宋_GB2312"/>
          <w:color w:val="auto"/>
          <w:sz w:val="32"/>
          <w:szCs w:val="32"/>
        </w:rPr>
        <w:t>在年初预算编制阶段，组织对</w:t>
      </w:r>
      <w:r>
        <w:rPr>
          <w:rFonts w:hint="eastAsia" w:ascii="仿宋_GB2312" w:hAnsi="仿宋_GB2312" w:eastAsia="仿宋_GB2312" w:cs="仿宋_GB2312"/>
          <w:color w:val="auto"/>
          <w:sz w:val="32"/>
          <w:szCs w:val="32"/>
          <w:lang w:eastAsia="zh-CN"/>
        </w:rPr>
        <w:t>“注册会计师考务经费”</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项目编制了绩效目标，预算执行过程中，选取</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项目开展绩效监控。</w:t>
      </w:r>
    </w:p>
    <w:p>
      <w:pPr>
        <w:pStyle w:val="2"/>
        <w:rPr>
          <w:rFonts w:ascii="仿宋_GB2312" w:hAnsi="仿宋_GB2312" w:eastAsia="仿宋_GB2312" w:cs="仿宋_GB2312"/>
          <w:color w:val="auto"/>
          <w:sz w:val="32"/>
          <w:szCs w:val="32"/>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注会中心</w:t>
      </w:r>
      <w:r>
        <w:rPr>
          <w:rFonts w:hint="eastAsia" w:ascii="仿宋_GB2312" w:hAnsi="仿宋_GB2312" w:eastAsia="仿宋_GB2312" w:cs="仿宋_GB2312"/>
          <w:color w:val="auto"/>
          <w:sz w:val="32"/>
          <w:szCs w:val="32"/>
        </w:rPr>
        <w:t>在20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年度部门决算中反映“</w:t>
      </w:r>
      <w:r>
        <w:rPr>
          <w:rFonts w:hint="eastAsia" w:ascii="仿宋_GB2312" w:hAnsi="仿宋_GB2312" w:eastAsia="仿宋_GB2312" w:cs="仿宋_GB2312"/>
          <w:color w:val="auto"/>
          <w:sz w:val="32"/>
          <w:szCs w:val="32"/>
          <w:lang w:eastAsia="zh-CN"/>
        </w:rPr>
        <w:t>注册会计师考务经费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项目绩效目标实际完成情况。</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注册会计师考务经费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1531.16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1264.37</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82.58</w:t>
      </w:r>
      <w:r>
        <w:rPr>
          <w:rFonts w:hint="eastAsia" w:ascii="仿宋_GB2312" w:hAnsi="仿宋_GB2312" w:eastAsia="仿宋_GB2312" w:cs="仿宋_GB2312"/>
          <w:color w:val="auto"/>
          <w:sz w:val="32"/>
          <w:szCs w:val="32"/>
        </w:rPr>
        <w:t>%。通过项目实施，保障了</w:t>
      </w:r>
      <w:r>
        <w:rPr>
          <w:rFonts w:hint="eastAsia" w:ascii="仿宋_GB2312" w:hAnsi="仿宋_GB2312" w:eastAsia="仿宋_GB2312" w:cs="仿宋_GB2312"/>
          <w:color w:val="auto"/>
          <w:sz w:val="32"/>
          <w:szCs w:val="32"/>
          <w:lang w:val="en-US" w:eastAsia="zh-CN"/>
        </w:rPr>
        <w:t>2020年度注册会计师考试顺利进行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扩大我省注册会计师队伍。</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000000"/>
          <w:kern w:val="0"/>
          <w:sz w:val="32"/>
          <w:szCs w:val="32"/>
          <w:lang w:val="en-US" w:eastAsia="zh-CN" w:bidi="ar"/>
        </w:rPr>
        <w:t>预算安排数较实际执行有偏差。下一步改进措施：进一步加强费用测算，提高预算编制准确度</w:t>
      </w:r>
      <w:r>
        <w:rPr>
          <w:rFonts w:hint="eastAsia" w:ascii="仿宋_GB2312" w:hAnsi="仿宋_GB2312" w:eastAsia="仿宋_GB2312" w:cs="仿宋_GB2312"/>
          <w:color w:val="auto"/>
          <w:sz w:val="32"/>
          <w:szCs w:val="32"/>
        </w:rPr>
        <w:t>。</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89"/>
        <w:gridCol w:w="1366"/>
        <w:gridCol w:w="1026"/>
        <w:gridCol w:w="2391"/>
        <w:gridCol w:w="2393"/>
        <w:gridCol w:w="2395"/>
      </w:tblGrid>
      <w:tr>
        <w:trPr>
          <w:trHeight w:val="1019"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lang w:eastAsia="zh-CN" w:bidi="ar"/>
              </w:rPr>
            </w:pPr>
            <w:r>
              <w:rPr>
                <w:rFonts w:hint="eastAsia" w:ascii="宋体" w:hAnsi="宋体" w:cs="宋体"/>
                <w:b/>
                <w:bCs/>
                <w:color w:val="auto"/>
                <w:kern w:val="0"/>
                <w:sz w:val="36"/>
                <w:szCs w:val="36"/>
                <w:lang w:bidi="ar"/>
              </w:rPr>
              <w:t>项目绩效目标完成情况表</w:t>
            </w:r>
          </w:p>
          <w:p>
            <w:pPr>
              <w:widowControl/>
              <w:jc w:val="center"/>
              <w:textAlignment w:val="center"/>
              <w:rPr>
                <w:rFonts w:ascii="宋体" w:hAnsi="宋体" w:cs="宋体"/>
                <w:color w:val="auto"/>
                <w:sz w:val="36"/>
                <w:szCs w:val="36"/>
              </w:rPr>
            </w:pPr>
            <w:r>
              <w:rPr>
                <w:rFonts w:hint="eastAsia" w:ascii="宋体" w:hAnsi="宋体" w:cs="宋体"/>
                <w:color w:val="auto"/>
                <w:kern w:val="0"/>
                <w:sz w:val="36"/>
                <w:szCs w:val="36"/>
                <w:lang w:bidi="ar"/>
              </w:rPr>
              <w:t>(20</w:t>
            </w:r>
            <w:r>
              <w:rPr>
                <w:rFonts w:hint="eastAsia" w:ascii="宋体" w:hAnsi="宋体" w:cs="宋体"/>
                <w:color w:val="auto"/>
                <w:kern w:val="0"/>
                <w:sz w:val="36"/>
                <w:szCs w:val="36"/>
                <w:lang w:val="en-US" w:eastAsia="zh-CN" w:bidi="ar"/>
              </w:rPr>
              <w:t>20</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2" w:hRule="atLeast"/>
          <w:jc w:val="center"/>
        </w:trPr>
        <w:tc>
          <w:tcPr>
            <w:tcW w:w="27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注册会计师考务经费</w:t>
            </w:r>
          </w:p>
        </w:tc>
      </w:tr>
      <w:tr>
        <w:tblPrEx>
          <w:tblCellMar>
            <w:top w:w="0" w:type="dxa"/>
            <w:left w:w="0" w:type="dxa"/>
            <w:bottom w:w="0" w:type="dxa"/>
            <w:right w:w="0" w:type="dxa"/>
          </w:tblCellMar>
        </w:tblPrEx>
        <w:trPr>
          <w:trHeight w:val="272" w:hRule="atLeast"/>
          <w:jc w:val="center"/>
        </w:trPr>
        <w:tc>
          <w:tcPr>
            <w:tcW w:w="27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四川省注册会计师事务中心</w:t>
            </w:r>
          </w:p>
        </w:tc>
      </w:tr>
      <w:tr>
        <w:tblPrEx>
          <w:tblCellMar>
            <w:top w:w="0" w:type="dxa"/>
            <w:left w:w="0" w:type="dxa"/>
            <w:bottom w:w="0" w:type="dxa"/>
            <w:right w:w="0" w:type="dxa"/>
          </w:tblCellMar>
        </w:tblPrEx>
        <w:trPr>
          <w:trHeight w:val="272"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1531.16</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1264.37</w:t>
            </w:r>
          </w:p>
        </w:tc>
      </w:tr>
      <w:tr>
        <w:tblPrEx>
          <w:tblCellMar>
            <w:top w:w="0" w:type="dxa"/>
            <w:left w:w="0" w:type="dxa"/>
            <w:bottom w:w="0" w:type="dxa"/>
            <w:right w:w="0" w:type="dxa"/>
          </w:tblCellMar>
        </w:tblPrEx>
        <w:trPr>
          <w:trHeight w:val="272"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1531.16</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1264.37</w:t>
            </w:r>
          </w:p>
        </w:tc>
      </w:tr>
      <w:tr>
        <w:tblPrEx>
          <w:tblCellMar>
            <w:top w:w="0" w:type="dxa"/>
            <w:left w:w="0" w:type="dxa"/>
            <w:bottom w:w="0" w:type="dxa"/>
            <w:right w:w="0" w:type="dxa"/>
          </w:tblCellMar>
        </w:tblPrEx>
        <w:trPr>
          <w:trHeight w:val="1490"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2"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1762"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7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bookmarkStart w:id="46" w:name="OLE_LINK1"/>
            <w:r>
              <w:rPr>
                <w:rFonts w:hint="eastAsia" w:ascii="宋体" w:hAnsi="宋体" w:cs="宋体"/>
                <w:color w:val="auto"/>
                <w:sz w:val="24"/>
              </w:rPr>
              <w:t>完成</w:t>
            </w:r>
            <w:r>
              <w:rPr>
                <w:rFonts w:hint="eastAsia" w:ascii="宋体" w:hAnsi="宋体" w:cs="宋体"/>
                <w:color w:val="auto"/>
                <w:sz w:val="24"/>
                <w:lang w:val="en-US" w:eastAsia="zh-CN"/>
              </w:rPr>
              <w:t>2020</w:t>
            </w:r>
            <w:r>
              <w:rPr>
                <w:rFonts w:hint="eastAsia" w:ascii="宋体" w:hAnsi="宋体" w:cs="宋体"/>
                <w:color w:val="auto"/>
                <w:sz w:val="24"/>
              </w:rPr>
              <w:t>年注册会计师全国统一考试四川省考区考务工作</w:t>
            </w:r>
            <w:bookmarkEnd w:id="46"/>
          </w:p>
        </w:tc>
        <w:tc>
          <w:tcPr>
            <w:tcW w:w="4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rPr>
              <w:t>202</w:t>
            </w:r>
            <w:r>
              <w:rPr>
                <w:rFonts w:hint="eastAsia" w:ascii="宋体" w:hAnsi="宋体" w:cs="宋体"/>
                <w:color w:val="auto"/>
                <w:sz w:val="24"/>
                <w:lang w:val="en-US" w:eastAsia="zh-CN"/>
              </w:rPr>
              <w:t>0</w:t>
            </w:r>
            <w:r>
              <w:rPr>
                <w:rFonts w:hint="eastAsia" w:ascii="宋体" w:hAnsi="宋体" w:cs="宋体"/>
                <w:color w:val="auto"/>
                <w:sz w:val="24"/>
              </w:rPr>
              <w:t>年注册会计师全国统一考试四川省考区考务工作</w:t>
            </w:r>
            <w:r>
              <w:rPr>
                <w:rFonts w:hint="eastAsia" w:ascii="宋体" w:hAnsi="宋体" w:cs="宋体"/>
                <w:color w:val="auto"/>
                <w:sz w:val="24"/>
                <w:lang w:eastAsia="zh-CN"/>
              </w:rPr>
              <w:t>全部按期完成</w:t>
            </w:r>
          </w:p>
        </w:tc>
      </w:tr>
      <w:tr>
        <w:tblPrEx>
          <w:tblCellMar>
            <w:top w:w="0" w:type="dxa"/>
            <w:left w:w="0" w:type="dxa"/>
            <w:bottom w:w="0" w:type="dxa"/>
            <w:right w:w="0" w:type="dxa"/>
          </w:tblCellMar>
        </w:tblPrEx>
        <w:trPr>
          <w:trHeight w:val="524" w:hRule="atLeast"/>
          <w:jc w:val="center"/>
        </w:trPr>
        <w:tc>
          <w:tcPr>
            <w:tcW w:w="3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524"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数量指标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注册会计师考试报考人数</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highlight w:val="none"/>
                <w:lang w:val="en-US" w:eastAsia="zh-CN"/>
              </w:rPr>
              <w:t>8万人</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9.3万人</w:t>
            </w:r>
          </w:p>
        </w:tc>
      </w:tr>
      <w:tr>
        <w:tblPrEx>
          <w:tblCellMar>
            <w:top w:w="0" w:type="dxa"/>
            <w:left w:w="0" w:type="dxa"/>
            <w:bottom w:w="0" w:type="dxa"/>
            <w:right w:w="0" w:type="dxa"/>
          </w:tblCellMar>
        </w:tblPrEx>
        <w:trPr>
          <w:trHeight w:val="626"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质量指标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保证</w:t>
            </w:r>
            <w:r>
              <w:rPr>
                <w:rFonts w:hint="eastAsia" w:ascii="宋体" w:hAnsi="宋体" w:cs="宋体"/>
                <w:color w:val="auto"/>
                <w:sz w:val="24"/>
                <w:lang w:val="en-US" w:eastAsia="zh-CN"/>
              </w:rPr>
              <w:t>2020年度</w:t>
            </w:r>
            <w:r>
              <w:rPr>
                <w:rFonts w:hint="eastAsia" w:ascii="宋体" w:hAnsi="宋体" w:cs="宋体"/>
                <w:color w:val="auto"/>
                <w:sz w:val="24"/>
              </w:rPr>
              <w:t>注册会计师考试顺利进行</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全部完成</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全部完成</w:t>
            </w:r>
            <w:r>
              <w:rPr>
                <w:rFonts w:hint="eastAsia" w:ascii="宋体" w:hAnsi="宋体" w:cs="宋体"/>
                <w:color w:val="auto"/>
                <w:sz w:val="24"/>
                <w:lang w:val="en-US" w:eastAsia="zh-CN"/>
              </w:rPr>
              <w:t xml:space="preserve"> </w:t>
            </w:r>
          </w:p>
        </w:tc>
      </w:tr>
      <w:tr>
        <w:tblPrEx>
          <w:tblCellMar>
            <w:top w:w="0" w:type="dxa"/>
            <w:left w:w="0" w:type="dxa"/>
            <w:bottom w:w="0" w:type="dxa"/>
            <w:right w:w="0" w:type="dxa"/>
          </w:tblCellMar>
        </w:tblPrEx>
        <w:trPr>
          <w:trHeight w:val="524"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时效指标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完成全部考务工作</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完成财政部考办计划</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完成财政部考办计划</w:t>
            </w:r>
          </w:p>
        </w:tc>
      </w:tr>
      <w:tr>
        <w:tblPrEx>
          <w:tblCellMar>
            <w:top w:w="0" w:type="dxa"/>
            <w:left w:w="0" w:type="dxa"/>
            <w:bottom w:w="0" w:type="dxa"/>
            <w:right w:w="0" w:type="dxa"/>
          </w:tblCellMar>
        </w:tblPrEx>
        <w:trPr>
          <w:trHeight w:val="524"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时效指标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完成考务经费支付工作</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按计划全部支付</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按期拨付</w:t>
            </w:r>
          </w:p>
        </w:tc>
      </w:tr>
      <w:tr>
        <w:tblPrEx>
          <w:tblCellMar>
            <w:top w:w="0" w:type="dxa"/>
            <w:left w:w="0" w:type="dxa"/>
            <w:bottom w:w="0" w:type="dxa"/>
            <w:right w:w="0" w:type="dxa"/>
          </w:tblCellMar>
        </w:tblPrEx>
        <w:trPr>
          <w:trHeight w:val="3040"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成本指标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完成</w:t>
            </w:r>
            <w:r>
              <w:rPr>
                <w:rFonts w:hint="eastAsia" w:ascii="宋体" w:hAnsi="宋体" w:cs="宋体"/>
                <w:color w:val="auto"/>
                <w:sz w:val="24"/>
                <w:lang w:val="en-US" w:eastAsia="zh-CN"/>
              </w:rPr>
              <w:t>2020年度考务经费的拨付</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指标1：根据实际报名科次进行支出：1.按10元/科上缴中国注册会计师协会；2.按照42元/科和33元/科的全国统一标准，分别向中注协指定的机考公司支付专业和综合阶段考试机考服务费；3.按7元/科划拨市州考办；4.按1元/科留存省考办安排全省考务工作。</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全部拨付</w:t>
            </w:r>
          </w:p>
        </w:tc>
      </w:tr>
      <w:tr>
        <w:tblPrEx>
          <w:tblCellMar>
            <w:top w:w="0" w:type="dxa"/>
            <w:left w:w="0" w:type="dxa"/>
            <w:bottom w:w="0" w:type="dxa"/>
            <w:right w:w="0" w:type="dxa"/>
          </w:tblCellMar>
        </w:tblPrEx>
        <w:trPr>
          <w:trHeight w:val="776"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社会效益指标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行使《注册会计师全国统一考试办法》第二条规定的组织管理职能</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全部完成</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全部完成</w:t>
            </w:r>
          </w:p>
        </w:tc>
      </w:tr>
      <w:tr>
        <w:tblPrEx>
          <w:tblCellMar>
            <w:top w:w="0" w:type="dxa"/>
            <w:left w:w="0" w:type="dxa"/>
            <w:bottom w:w="0" w:type="dxa"/>
            <w:right w:w="0" w:type="dxa"/>
          </w:tblCellMar>
        </w:tblPrEx>
        <w:trPr>
          <w:trHeight w:val="524"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社会效益指标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扩大我省注册会计师队伍</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2020</w:t>
            </w:r>
            <w:r>
              <w:rPr>
                <w:rFonts w:hint="eastAsia" w:ascii="宋体" w:hAnsi="宋体" w:cs="宋体"/>
                <w:color w:val="auto"/>
                <w:sz w:val="24"/>
                <w:lang w:eastAsia="zh-CN"/>
              </w:rPr>
              <w:t>年有全科合格</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2020年</w:t>
            </w:r>
            <w:r>
              <w:rPr>
                <w:rFonts w:hint="eastAsia" w:ascii="宋体" w:hAnsi="宋体" w:cs="宋体"/>
                <w:color w:val="auto"/>
                <w:sz w:val="24"/>
                <w:lang w:eastAsia="zh-CN"/>
              </w:rPr>
              <w:t>全科合格</w:t>
            </w:r>
            <w:r>
              <w:rPr>
                <w:rFonts w:hint="eastAsia" w:ascii="宋体" w:hAnsi="宋体" w:cs="宋体"/>
                <w:color w:val="auto"/>
                <w:sz w:val="24"/>
                <w:lang w:val="en-US" w:eastAsia="zh-CN"/>
              </w:rPr>
              <w:t>1401人</w:t>
            </w:r>
          </w:p>
        </w:tc>
      </w:tr>
      <w:tr>
        <w:tblPrEx>
          <w:tblCellMar>
            <w:top w:w="0" w:type="dxa"/>
            <w:left w:w="0" w:type="dxa"/>
            <w:bottom w:w="0" w:type="dxa"/>
            <w:right w:w="0" w:type="dxa"/>
          </w:tblCellMar>
        </w:tblPrEx>
        <w:trPr>
          <w:trHeight w:val="626"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服务对象满意度</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&gt;90%</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&gt;99%</w:t>
            </w:r>
          </w:p>
        </w:tc>
      </w:tr>
    </w:tbl>
    <w:p>
      <w:pPr>
        <w:pStyle w:val="2"/>
      </w:pPr>
    </w:p>
    <w:p>
      <w:pPr>
        <w:pStyle w:val="2"/>
      </w:pPr>
    </w:p>
    <w:p>
      <w:pPr>
        <w:pStyle w:val="2"/>
      </w:pPr>
    </w:p>
    <w:p>
      <w:pPr>
        <w:numPr>
          <w:ilvl w:val="0"/>
          <w:numId w:val="5"/>
        </w:numPr>
        <w:spacing w:line="600" w:lineRule="exact"/>
        <w:ind w:firstLine="660" w:firstLineChars="150"/>
        <w:jc w:val="center"/>
        <w:outlineLvl w:val="0"/>
        <w:rPr>
          <w:rStyle w:val="26"/>
          <w:rFonts w:ascii="黑体" w:hAnsi="黑体" w:eastAsia="黑体"/>
          <w:b w:val="0"/>
        </w:rPr>
      </w:pPr>
      <w:bookmarkStart w:id="47" w:name="_Toc15396613"/>
      <w:bookmarkStart w:id="48"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47"/>
      <w:bookmarkEnd w:id="48"/>
    </w:p>
    <w:p>
      <w:pPr>
        <w:spacing w:line="600" w:lineRule="exact"/>
        <w:jc w:val="left"/>
        <w:rPr>
          <w:rFonts w:ascii="宋体"/>
          <w:b/>
          <w:color w:val="000000"/>
          <w:sz w:val="44"/>
          <w:szCs w:val="44"/>
        </w:rPr>
      </w:pPr>
    </w:p>
    <w:p>
      <w:pPr>
        <w:pStyle w:val="24"/>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1.财政拨款收入：指</w:t>
      </w:r>
      <w:r>
        <w:rPr>
          <w:rFonts w:hint="eastAsia" w:ascii="仿宋" w:hAnsi="仿宋" w:eastAsia="仿宋"/>
          <w:sz w:val="32"/>
          <w:szCs w:val="32"/>
          <w:lang w:eastAsia="zh-CN"/>
        </w:rPr>
        <w:t>注会中心</w:t>
      </w:r>
      <w:r>
        <w:rPr>
          <w:rFonts w:hint="eastAsia" w:ascii="仿宋" w:hAnsi="仿宋" w:eastAsia="仿宋"/>
          <w:sz w:val="32"/>
          <w:szCs w:val="32"/>
        </w:rPr>
        <w:t>从同级财政部门取得的财政预算资金。</w:t>
      </w:r>
    </w:p>
    <w:p>
      <w:pPr>
        <w:spacing w:line="58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rPr>
        <w:t>2.</w:t>
      </w:r>
      <w:r>
        <w:rPr>
          <w:rFonts w:hint="eastAsia" w:ascii="仿宋" w:hAnsi="仿宋" w:eastAsia="仿宋" w:cs="仿宋"/>
          <w:color w:val="333333"/>
          <w:sz w:val="32"/>
          <w:szCs w:val="32"/>
          <w:highlight w:val="none"/>
          <w:shd w:val="clear" w:color="auto" w:fill="FFFFFF"/>
        </w:rPr>
        <w:t>一般公共服务（类）财政事务（款）</w:t>
      </w:r>
      <w:r>
        <w:rPr>
          <w:rFonts w:hint="eastAsia" w:ascii="仿宋" w:hAnsi="仿宋" w:eastAsia="仿宋" w:cs="仿宋"/>
          <w:color w:val="333333"/>
          <w:sz w:val="32"/>
          <w:szCs w:val="32"/>
          <w:highlight w:val="none"/>
          <w:shd w:val="clear" w:color="auto" w:fill="FFFFFF"/>
          <w:lang w:eastAsia="zh-CN"/>
        </w:rPr>
        <w:t>一般行政管理事务</w:t>
      </w:r>
      <w:r>
        <w:rPr>
          <w:rFonts w:hint="eastAsia" w:ascii="仿宋" w:hAnsi="仿宋" w:eastAsia="仿宋" w:cs="仿宋"/>
          <w:color w:val="333333"/>
          <w:sz w:val="32"/>
          <w:szCs w:val="32"/>
          <w:highlight w:val="none"/>
          <w:shd w:val="clear" w:color="auto" w:fill="FFFFFF"/>
        </w:rPr>
        <w:t>（项）：指</w:t>
      </w:r>
      <w:r>
        <w:rPr>
          <w:rFonts w:hint="eastAsia" w:ascii="仿宋" w:hAnsi="仿宋" w:eastAsia="仿宋" w:cs="仿宋"/>
          <w:color w:val="333333"/>
          <w:sz w:val="32"/>
          <w:szCs w:val="32"/>
          <w:highlight w:val="none"/>
          <w:shd w:val="clear" w:color="auto" w:fill="FFFFFF"/>
          <w:lang w:eastAsia="zh-CN"/>
        </w:rPr>
        <w:t>注会中心</w:t>
      </w:r>
      <w:r>
        <w:rPr>
          <w:rFonts w:hint="eastAsia" w:ascii="仿宋" w:hAnsi="仿宋" w:eastAsia="仿宋" w:cs="仿宋"/>
          <w:color w:val="333333"/>
          <w:sz w:val="32"/>
          <w:szCs w:val="32"/>
          <w:highlight w:val="none"/>
          <w:shd w:val="clear" w:color="auto" w:fill="FFFFFF"/>
        </w:rPr>
        <w:t>开展其他财政事务方面专门性工作任务的项目支出，</w:t>
      </w:r>
      <w:r>
        <w:rPr>
          <w:rFonts w:hint="eastAsia" w:ascii="仿宋" w:hAnsi="仿宋" w:eastAsia="仿宋" w:cs="仿宋"/>
          <w:color w:val="333333"/>
          <w:sz w:val="32"/>
          <w:szCs w:val="32"/>
          <w:highlight w:val="none"/>
          <w:shd w:val="clear" w:color="auto" w:fill="FFFFFF"/>
          <w:lang w:eastAsia="zh-CN"/>
        </w:rPr>
        <w:t>即</w:t>
      </w:r>
      <w:r>
        <w:rPr>
          <w:rFonts w:hint="eastAsia" w:ascii="仿宋" w:hAnsi="仿宋" w:eastAsia="仿宋" w:cs="仿宋"/>
          <w:color w:val="333333"/>
          <w:sz w:val="32"/>
          <w:szCs w:val="32"/>
          <w:highlight w:val="none"/>
          <w:shd w:val="clear" w:color="auto" w:fill="FFFFFF"/>
          <w:lang w:val="en-US" w:eastAsia="zh-CN"/>
        </w:rPr>
        <w:t>注册会计师考试考务工作的相关支出。</w:t>
      </w:r>
    </w:p>
    <w:p>
      <w:pPr>
        <w:pStyle w:val="24"/>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sz w:val="32"/>
          <w:szCs w:val="32"/>
          <w:highlight w:val="none"/>
          <w:u w:val="none"/>
        </w:rPr>
        <w:t>一般公共服务（类）财政事务（款）事业运行（项）：指</w:t>
      </w:r>
      <w:r>
        <w:rPr>
          <w:rFonts w:hint="eastAsia" w:ascii="仿宋" w:hAnsi="仿宋"/>
          <w:sz w:val="32"/>
          <w:szCs w:val="32"/>
          <w:highlight w:val="none"/>
          <w:u w:val="none"/>
          <w:lang w:eastAsia="zh-CN"/>
        </w:rPr>
        <w:t>注会中心</w:t>
      </w:r>
      <w:r>
        <w:rPr>
          <w:rFonts w:hint="eastAsia" w:ascii="仿宋" w:hAnsi="仿宋"/>
          <w:sz w:val="32"/>
          <w:szCs w:val="32"/>
          <w:highlight w:val="none"/>
          <w:u w:val="none"/>
        </w:rPr>
        <w:t>用于保障机构正常运行、开展日常工作的基本支出。</w:t>
      </w:r>
    </w:p>
    <w:p>
      <w:pPr>
        <w:pStyle w:val="24"/>
        <w:spacing w:line="56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hint="eastAsia" w:ascii="仿宋" w:hAnsi="仿宋" w:cs="仿宋"/>
          <w:color w:val="333333"/>
          <w:sz w:val="32"/>
          <w:szCs w:val="32"/>
          <w:highlight w:val="none"/>
          <w:shd w:val="clear" w:color="auto" w:fill="FFFFFF"/>
        </w:rPr>
        <w:t>一般公共服务（类）财政事务（款）其他财政事务支出（项）：指</w:t>
      </w:r>
      <w:r>
        <w:rPr>
          <w:rFonts w:hint="eastAsia" w:ascii="仿宋" w:hAnsi="仿宋" w:cs="仿宋"/>
          <w:color w:val="333333"/>
          <w:sz w:val="32"/>
          <w:szCs w:val="32"/>
          <w:highlight w:val="none"/>
          <w:shd w:val="clear" w:color="auto" w:fill="FFFFFF"/>
          <w:lang w:eastAsia="zh-CN"/>
        </w:rPr>
        <w:t>注会中心</w:t>
      </w:r>
      <w:r>
        <w:rPr>
          <w:rFonts w:hint="eastAsia" w:ascii="仿宋" w:hAnsi="仿宋" w:cs="仿宋"/>
          <w:color w:val="333333"/>
          <w:sz w:val="32"/>
          <w:szCs w:val="32"/>
          <w:highlight w:val="none"/>
          <w:shd w:val="clear" w:color="auto" w:fill="FFFFFF"/>
        </w:rPr>
        <w:t>开展其他财政事务方面专门性工作任务的项目支出，如</w:t>
      </w:r>
      <w:r>
        <w:rPr>
          <w:rFonts w:hint="eastAsia" w:ascii="仿宋" w:hAnsi="仿宋" w:cs="仿宋"/>
          <w:color w:val="333333"/>
          <w:sz w:val="32"/>
          <w:szCs w:val="32"/>
          <w:highlight w:val="none"/>
          <w:shd w:val="clear" w:color="auto" w:fill="FFFFFF"/>
          <w:lang w:val="en-US" w:eastAsia="zh-CN"/>
        </w:rPr>
        <w:t>注册会计师考试考务工作、会计师事务所执业质量检查工作、党团建设定向补助及宣传费、行业基层党组织党建工作、注册会计师高端人才培养工作、注册会计师高端人才选拔工作</w:t>
      </w:r>
      <w:r>
        <w:rPr>
          <w:rFonts w:hint="eastAsia" w:ascii="仿宋" w:hAnsi="仿宋" w:cs="仿宋"/>
          <w:color w:val="333333"/>
          <w:sz w:val="32"/>
          <w:szCs w:val="32"/>
          <w:highlight w:val="none"/>
          <w:shd w:val="clear" w:color="auto" w:fill="FFFFFF"/>
        </w:rPr>
        <w:t>的相关支出。</w:t>
      </w:r>
    </w:p>
    <w:p>
      <w:pPr>
        <w:pStyle w:val="24"/>
        <w:spacing w:line="560" w:lineRule="exact"/>
        <w:ind w:firstLine="640" w:firstLineChars="200"/>
        <w:rPr>
          <w:rFonts w:hint="eastAsia" w:ascii="仿宋" w:hAnsi="仿宋" w:eastAsia="仿宋"/>
          <w:sz w:val="32"/>
          <w:szCs w:val="32"/>
        </w:rPr>
      </w:pPr>
      <w:r>
        <w:rPr>
          <w:rFonts w:hint="eastAsia" w:ascii="仿宋" w:hAnsi="仿宋" w:eastAsia="仿宋"/>
          <w:sz w:val="32"/>
          <w:szCs w:val="32"/>
        </w:rPr>
        <w:t>5.</w:t>
      </w:r>
      <w:r>
        <w:rPr>
          <w:rFonts w:hint="eastAsia" w:ascii="仿宋" w:hAnsi="仿宋"/>
          <w:sz w:val="32"/>
          <w:szCs w:val="32"/>
          <w:highlight w:val="none"/>
          <w:u w:val="none"/>
        </w:rPr>
        <w:t>社会保障和就业（类）行政事业单位养老支出（款）机关事业单位基本养老保险缴费支出（项）：指</w:t>
      </w:r>
      <w:r>
        <w:rPr>
          <w:rFonts w:hint="eastAsia" w:ascii="仿宋" w:hAnsi="仿宋"/>
          <w:sz w:val="32"/>
          <w:szCs w:val="32"/>
          <w:highlight w:val="none"/>
          <w:u w:val="none"/>
          <w:lang w:eastAsia="zh-CN"/>
        </w:rPr>
        <w:t>注会中心</w:t>
      </w:r>
      <w:r>
        <w:rPr>
          <w:rFonts w:hint="eastAsia" w:ascii="仿宋" w:hAnsi="仿宋"/>
          <w:sz w:val="32"/>
          <w:szCs w:val="32"/>
          <w:highlight w:val="none"/>
          <w:u w:val="none"/>
        </w:rPr>
        <w:t>实施养老保险制度由单位缴纳的养老保险费的支出</w:t>
      </w:r>
      <w:r>
        <w:rPr>
          <w:rFonts w:hint="eastAsia" w:ascii="仿宋" w:hAnsi="仿宋" w:eastAsia="仿宋"/>
          <w:sz w:val="32"/>
          <w:szCs w:val="32"/>
          <w:lang w:eastAsia="zh-CN"/>
        </w:rPr>
        <w:t>。</w:t>
      </w:r>
    </w:p>
    <w:p>
      <w:pPr>
        <w:pStyle w:val="24"/>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6.</w:t>
      </w:r>
      <w:r>
        <w:rPr>
          <w:rFonts w:hint="eastAsia" w:ascii="仿宋" w:hAnsi="仿宋"/>
          <w:sz w:val="32"/>
          <w:szCs w:val="32"/>
          <w:highlight w:val="none"/>
          <w:u w:val="none"/>
        </w:rPr>
        <w:t>社会保障和就业（类）行政事业单位养老支出（款）机关事业单位职业年金缴费支出（项）：指</w:t>
      </w:r>
      <w:r>
        <w:rPr>
          <w:rFonts w:hint="eastAsia" w:ascii="仿宋" w:hAnsi="仿宋"/>
          <w:sz w:val="32"/>
          <w:szCs w:val="32"/>
          <w:highlight w:val="none"/>
          <w:u w:val="none"/>
          <w:lang w:eastAsia="zh-CN"/>
        </w:rPr>
        <w:t>注会中心</w:t>
      </w:r>
      <w:r>
        <w:rPr>
          <w:rFonts w:hint="eastAsia" w:ascii="仿宋" w:hAnsi="仿宋"/>
          <w:sz w:val="32"/>
          <w:szCs w:val="32"/>
          <w:highlight w:val="none"/>
          <w:u w:val="none"/>
        </w:rPr>
        <w:t>实施养老保险制度由单位缴纳的职业年金的支出</w:t>
      </w:r>
      <w:r>
        <w:rPr>
          <w:rFonts w:hint="eastAsia" w:ascii="仿宋" w:hAnsi="仿宋" w:eastAsia="仿宋"/>
          <w:sz w:val="32"/>
          <w:szCs w:val="32"/>
          <w:lang w:eastAsia="zh-CN"/>
        </w:rPr>
        <w:t>。</w:t>
      </w:r>
    </w:p>
    <w:p>
      <w:pPr>
        <w:pStyle w:val="24"/>
        <w:spacing w:line="560" w:lineRule="exact"/>
        <w:ind w:firstLine="640" w:firstLineChars="200"/>
        <w:rPr>
          <w:rFonts w:hint="eastAsia" w:ascii="仿宋" w:hAnsi="仿宋" w:eastAsia="仿宋"/>
          <w:sz w:val="32"/>
          <w:szCs w:val="32"/>
          <w:lang w:eastAsia="zh-CN"/>
        </w:rPr>
      </w:pPr>
      <w:r>
        <w:rPr>
          <w:rFonts w:hint="eastAsia" w:ascii="仿宋_GB2312" w:eastAsia="仿宋_GB2312"/>
          <w:sz w:val="32"/>
          <w:szCs w:val="32"/>
          <w:highlight w:val="none"/>
          <w:lang w:val="en-US" w:eastAsia="zh-CN"/>
        </w:rPr>
        <w:t>7.</w:t>
      </w:r>
      <w:r>
        <w:rPr>
          <w:rFonts w:hint="eastAsia" w:ascii="仿宋" w:hAnsi="仿宋"/>
          <w:sz w:val="32"/>
          <w:szCs w:val="32"/>
          <w:highlight w:val="none"/>
          <w:u w:val="none"/>
        </w:rPr>
        <w:t>卫生健康（类）行政事业单位医疗（款）事业单位医疗（项）：指</w:t>
      </w:r>
      <w:r>
        <w:rPr>
          <w:rFonts w:hint="eastAsia" w:ascii="仿宋" w:hAnsi="仿宋"/>
          <w:sz w:val="32"/>
          <w:szCs w:val="32"/>
          <w:highlight w:val="none"/>
          <w:u w:val="none"/>
          <w:lang w:eastAsia="zh-CN"/>
        </w:rPr>
        <w:t>注会中心</w:t>
      </w:r>
      <w:r>
        <w:rPr>
          <w:rFonts w:hint="eastAsia" w:ascii="仿宋" w:hAnsi="仿宋"/>
          <w:sz w:val="32"/>
          <w:szCs w:val="32"/>
          <w:highlight w:val="none"/>
          <w:u w:val="none"/>
        </w:rPr>
        <w:t>用于单位应缴纳基本医疗保险支出</w:t>
      </w:r>
      <w:r>
        <w:rPr>
          <w:rFonts w:hint="eastAsia" w:ascii="仿宋" w:hAnsi="仿宋" w:eastAsia="仿宋"/>
          <w:sz w:val="32"/>
          <w:szCs w:val="32"/>
          <w:lang w:eastAsia="zh-CN"/>
        </w:rPr>
        <w:t>。</w:t>
      </w:r>
    </w:p>
    <w:p>
      <w:pPr>
        <w:pStyle w:val="24"/>
        <w:spacing w:line="560" w:lineRule="exact"/>
        <w:ind w:firstLine="640" w:firstLineChars="200"/>
        <w:rPr>
          <w:rFonts w:hint="eastAsia" w:ascii="仿宋" w:hAnsi="仿宋" w:eastAsia="仿宋"/>
          <w:sz w:val="32"/>
          <w:szCs w:val="32"/>
        </w:rPr>
      </w:pPr>
      <w:r>
        <w:rPr>
          <w:rFonts w:hint="eastAsia" w:hAnsi="仿宋"/>
          <w:sz w:val="32"/>
          <w:szCs w:val="32"/>
          <w:lang w:val="en-US" w:eastAsia="zh-CN"/>
        </w:rPr>
        <w:t>8</w:t>
      </w:r>
      <w:r>
        <w:rPr>
          <w:rFonts w:hint="eastAsia" w:ascii="仿宋" w:hAnsi="仿宋" w:eastAsia="仿宋"/>
          <w:sz w:val="32"/>
          <w:szCs w:val="32"/>
        </w:rPr>
        <w:t>.</w:t>
      </w:r>
      <w:r>
        <w:rPr>
          <w:rFonts w:hint="eastAsia" w:ascii="仿宋" w:hAnsi="仿宋"/>
          <w:sz w:val="32"/>
          <w:szCs w:val="32"/>
          <w:highlight w:val="none"/>
          <w:u w:val="none"/>
        </w:rPr>
        <w:t>住房保障（类）住房改革支出（款）住房公积金（项）：指按照《住房公积金管理条例》的规定，由</w:t>
      </w:r>
      <w:r>
        <w:rPr>
          <w:rFonts w:hint="eastAsia" w:ascii="仿宋" w:hAnsi="仿宋"/>
          <w:sz w:val="32"/>
          <w:szCs w:val="32"/>
          <w:highlight w:val="none"/>
          <w:u w:val="none"/>
          <w:lang w:eastAsia="zh-CN"/>
        </w:rPr>
        <w:t>注会中心</w:t>
      </w:r>
      <w:r>
        <w:rPr>
          <w:rFonts w:hint="eastAsia" w:ascii="仿宋" w:hAnsi="仿宋"/>
          <w:sz w:val="32"/>
          <w:szCs w:val="32"/>
          <w:highlight w:val="none"/>
          <w:u w:val="none"/>
        </w:rPr>
        <w:t>及其在职职工缴存的长期住房储金</w:t>
      </w:r>
      <w:r>
        <w:rPr>
          <w:rFonts w:hint="eastAsia" w:ascii="仿宋" w:hAnsi="仿宋" w:eastAsia="仿宋"/>
          <w:sz w:val="32"/>
          <w:szCs w:val="32"/>
        </w:rPr>
        <w:t>。</w:t>
      </w:r>
    </w:p>
    <w:p>
      <w:pPr>
        <w:pStyle w:val="24"/>
        <w:spacing w:line="560" w:lineRule="exact"/>
        <w:ind w:firstLine="640" w:firstLineChars="200"/>
        <w:rPr>
          <w:rFonts w:hint="eastAsia" w:ascii="仿宋" w:hAnsi="仿宋" w:eastAsia="仿宋"/>
          <w:sz w:val="32"/>
          <w:szCs w:val="32"/>
        </w:rPr>
      </w:pPr>
      <w:r>
        <w:rPr>
          <w:rFonts w:hint="eastAsia" w:hAnsi="仿宋"/>
          <w:sz w:val="32"/>
          <w:szCs w:val="32"/>
          <w:lang w:val="en-US" w:eastAsia="zh-CN"/>
        </w:rPr>
        <w:t>9.</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.项目支出：指在基本支出之外为完成特定行政任务和事业发展目标所发生的支出。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sz w:val="32"/>
          <w:szCs w:val="32"/>
        </w:rPr>
        <w:t>“三公”经费：指</w:t>
      </w:r>
      <w:r>
        <w:rPr>
          <w:rFonts w:hint="eastAsia" w:ascii="仿宋" w:hAnsi="仿宋" w:eastAsia="仿宋" w:cs="仿宋"/>
          <w:sz w:val="32"/>
          <w:szCs w:val="32"/>
          <w:lang w:eastAsia="zh-CN"/>
        </w:rPr>
        <w:t>单位</w:t>
      </w:r>
      <w:r>
        <w:rPr>
          <w:rFonts w:hint="eastAsia" w:ascii="仿宋" w:hAnsi="仿宋" w:eastAsia="仿宋" w:cs="仿宋"/>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color w:val="000000"/>
          <w:sz w:val="32"/>
          <w:szCs w:val="32"/>
        </w:rPr>
        <w:t>。</w:t>
      </w:r>
    </w:p>
    <w:p>
      <w:pPr>
        <w:spacing w:line="240" w:lineRule="auto"/>
        <w:ind w:firstLine="640" w:firstLineChars="20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bookmarkStart w:id="49" w:name="_Toc15377226"/>
      <w:r>
        <w:rPr>
          <w:rFonts w:hint="eastAsia" w:ascii="仿宋_GB2312" w:eastAsia="仿宋_GB2312"/>
          <w:sz w:val="32"/>
          <w:szCs w:val="32"/>
          <w:highlight w:val="none"/>
        </w:rPr>
        <w:t>机关运行经费：为保障行政单位（含参照公务员法管理的事业单位）运行用于购买货物和服务的各项资金，包括办公</w:t>
      </w:r>
      <w:r>
        <w:rPr>
          <w:rFonts w:hint="eastAsia" w:ascii="仿宋_GB2312" w:eastAsia="仿宋_GB2312"/>
          <w:sz w:val="32"/>
          <w:szCs w:val="32"/>
          <w:highlight w:val="none"/>
          <w:lang w:eastAsia="zh-CN"/>
        </w:rPr>
        <w:t>及</w:t>
      </w:r>
      <w:r>
        <w:rPr>
          <w:rFonts w:hint="eastAsia" w:ascii="仿宋_GB2312" w:eastAsia="仿宋_GB2312"/>
          <w:sz w:val="32"/>
          <w:szCs w:val="32"/>
          <w:highlight w:val="none"/>
        </w:rPr>
        <w:t>印刷费、邮电费、差旅费、会议费、福利费、日常维修费、一般购置费、办公用房水电费以及其他费用</w:t>
      </w:r>
      <w:r>
        <w:rPr>
          <w:rFonts w:hint="eastAsia"/>
          <w:sz w:val="32"/>
          <w:szCs w:val="32"/>
          <w:highlight w:val="none"/>
          <w:lang w:eastAsia="zh-CN"/>
        </w:rPr>
        <w:t>。</w:t>
      </w:r>
    </w:p>
    <w:p>
      <w:pPr>
        <w:numPr>
          <w:ilvl w:val="0"/>
          <w:numId w:val="0"/>
        </w:numPr>
        <w:spacing w:line="240" w:lineRule="auto"/>
        <w:ind w:leftChars="150"/>
        <w:jc w:val="center"/>
        <w:outlineLvl w:val="9"/>
        <w:rPr>
          <w:rFonts w:hint="eastAsia" w:ascii="黑体" w:hAnsi="黑体" w:eastAsia="黑体"/>
          <w:b/>
          <w:bCs/>
          <w:color w:val="000000"/>
          <w:sz w:val="44"/>
          <w:szCs w:val="44"/>
          <w:highlight w:val="none"/>
        </w:rPr>
      </w:pPr>
      <w:bookmarkStart w:id="50" w:name="_Toc15396614"/>
      <w:bookmarkStart w:id="51" w:name="_Toc15396618"/>
    </w:p>
    <w:p>
      <w:pPr>
        <w:numPr>
          <w:ilvl w:val="0"/>
          <w:numId w:val="0"/>
        </w:numPr>
        <w:spacing w:line="240" w:lineRule="auto"/>
        <w:ind w:leftChars="150"/>
        <w:jc w:val="center"/>
        <w:outlineLvl w:val="9"/>
        <w:rPr>
          <w:rFonts w:hint="eastAsia" w:ascii="黑体" w:hAnsi="黑体" w:eastAsia="黑体"/>
          <w:b/>
          <w:bCs/>
          <w:color w:val="000000"/>
          <w:sz w:val="44"/>
          <w:szCs w:val="44"/>
          <w:highlight w:val="none"/>
        </w:rPr>
      </w:pPr>
    </w:p>
    <w:p>
      <w:pPr>
        <w:numPr>
          <w:ilvl w:val="0"/>
          <w:numId w:val="0"/>
        </w:numPr>
        <w:spacing w:line="240" w:lineRule="auto"/>
        <w:ind w:leftChars="150"/>
        <w:jc w:val="center"/>
        <w:outlineLvl w:val="9"/>
        <w:rPr>
          <w:rFonts w:hint="eastAsia" w:ascii="黑体" w:hAnsi="黑体" w:eastAsia="黑体"/>
          <w:b/>
          <w:bCs/>
          <w:color w:val="000000"/>
          <w:sz w:val="44"/>
          <w:szCs w:val="44"/>
          <w:highlight w:val="none"/>
        </w:rPr>
      </w:pPr>
    </w:p>
    <w:p>
      <w:pPr>
        <w:numPr>
          <w:ilvl w:val="0"/>
          <w:numId w:val="0"/>
        </w:numPr>
        <w:spacing w:line="240" w:lineRule="auto"/>
        <w:ind w:leftChars="150"/>
        <w:jc w:val="center"/>
        <w:outlineLvl w:val="9"/>
        <w:rPr>
          <w:rStyle w:val="26"/>
          <w:rFonts w:hint="eastAsia" w:ascii="黑体" w:hAnsi="黑体" w:eastAsia="黑体" w:cs="黑体"/>
          <w:b/>
          <w:highlight w:val="none"/>
        </w:rPr>
      </w:pPr>
      <w:r>
        <w:rPr>
          <w:rFonts w:hint="eastAsia" w:ascii="黑体" w:hAnsi="黑体" w:eastAsia="黑体"/>
          <w:b/>
          <w:bCs/>
          <w:color w:val="000000"/>
          <w:sz w:val="44"/>
          <w:szCs w:val="44"/>
          <w:highlight w:val="none"/>
        </w:rPr>
        <w:t>第</w:t>
      </w:r>
      <w:r>
        <w:rPr>
          <w:rStyle w:val="26"/>
          <w:rFonts w:hint="eastAsia" w:ascii="黑体" w:hAnsi="黑体" w:eastAsia="黑体"/>
          <w:b/>
          <w:bCs/>
          <w:sz w:val="44"/>
          <w:szCs w:val="44"/>
          <w:highlight w:val="none"/>
        </w:rPr>
        <w:t xml:space="preserve">四部分 </w:t>
      </w:r>
      <w:bookmarkEnd w:id="50"/>
      <w:r>
        <w:rPr>
          <w:rStyle w:val="26"/>
          <w:rFonts w:hint="eastAsia" w:ascii="黑体" w:hAnsi="黑体" w:eastAsia="黑体" w:cs="黑体"/>
          <w:b/>
          <w:highlight w:val="none"/>
          <w:lang w:val="en-US" w:eastAsia="zh-CN"/>
        </w:rPr>
        <w:t xml:space="preserve"> </w:t>
      </w:r>
      <w:r>
        <w:rPr>
          <w:rStyle w:val="26"/>
          <w:rFonts w:hint="eastAsia" w:ascii="黑体" w:hAnsi="黑体" w:eastAsia="黑体" w:cs="黑体"/>
          <w:b/>
          <w:highlight w:val="none"/>
        </w:rPr>
        <w:t>附表</w:t>
      </w:r>
      <w:bookmarkEnd w:id="49"/>
      <w:bookmarkEnd w:id="51"/>
      <w:bookmarkStart w:id="52" w:name="_Toc15396619"/>
    </w:p>
    <w:p>
      <w:pPr>
        <w:pStyle w:val="2"/>
        <w:bidi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一、收入支出决算总表</w:t>
      </w:r>
      <w:bookmarkEnd w:id="52"/>
    </w:p>
    <w:p>
      <w:pPr>
        <w:pStyle w:val="2"/>
        <w:bidi w:val="0"/>
        <w:rPr>
          <w:rFonts w:hint="eastAsia" w:ascii="仿宋" w:hAnsi="仿宋" w:eastAsia="仿宋" w:cs="仿宋"/>
          <w:kern w:val="2"/>
          <w:sz w:val="32"/>
          <w:szCs w:val="32"/>
          <w:lang w:val="en-US" w:eastAsia="zh-CN" w:bidi="ar-SA"/>
        </w:rPr>
      </w:pPr>
      <w:bookmarkStart w:id="53" w:name="_Toc15396620"/>
      <w:r>
        <w:rPr>
          <w:rFonts w:hint="eastAsia" w:ascii="仿宋" w:hAnsi="仿宋" w:eastAsia="仿宋" w:cs="仿宋"/>
          <w:kern w:val="2"/>
          <w:sz w:val="32"/>
          <w:szCs w:val="32"/>
          <w:lang w:val="en-US" w:eastAsia="zh-CN" w:bidi="ar-SA"/>
        </w:rPr>
        <w:t>二、收入决算表</w:t>
      </w:r>
      <w:bookmarkEnd w:id="53"/>
    </w:p>
    <w:p>
      <w:pPr>
        <w:pStyle w:val="2"/>
        <w:bidi w:val="0"/>
        <w:rPr>
          <w:rFonts w:hint="eastAsia" w:ascii="仿宋" w:hAnsi="仿宋" w:eastAsia="仿宋" w:cs="仿宋"/>
          <w:kern w:val="2"/>
          <w:sz w:val="32"/>
          <w:szCs w:val="32"/>
          <w:lang w:val="en-US" w:eastAsia="zh-CN" w:bidi="ar-SA"/>
        </w:rPr>
      </w:pPr>
      <w:bookmarkStart w:id="54" w:name="_Toc15396621"/>
      <w:r>
        <w:rPr>
          <w:rFonts w:hint="eastAsia" w:ascii="仿宋" w:hAnsi="仿宋" w:eastAsia="仿宋" w:cs="仿宋"/>
          <w:kern w:val="2"/>
          <w:sz w:val="32"/>
          <w:szCs w:val="32"/>
          <w:lang w:val="en-US" w:eastAsia="zh-CN" w:bidi="ar-SA"/>
        </w:rPr>
        <w:t>三、支出决算表</w:t>
      </w:r>
      <w:bookmarkEnd w:id="54"/>
    </w:p>
    <w:p>
      <w:pPr>
        <w:pStyle w:val="2"/>
        <w:bidi w:val="0"/>
        <w:rPr>
          <w:rFonts w:hint="eastAsia" w:ascii="仿宋" w:hAnsi="仿宋" w:eastAsia="仿宋" w:cs="仿宋"/>
          <w:kern w:val="2"/>
          <w:sz w:val="32"/>
          <w:szCs w:val="32"/>
          <w:lang w:val="en-US" w:eastAsia="zh-CN" w:bidi="ar-SA"/>
        </w:rPr>
      </w:pPr>
      <w:bookmarkStart w:id="55" w:name="_Toc15396622"/>
      <w:r>
        <w:rPr>
          <w:rFonts w:hint="eastAsia" w:ascii="仿宋" w:hAnsi="仿宋" w:eastAsia="仿宋" w:cs="仿宋"/>
          <w:kern w:val="2"/>
          <w:sz w:val="32"/>
          <w:szCs w:val="32"/>
          <w:lang w:val="en-US" w:eastAsia="zh-CN" w:bidi="ar-SA"/>
        </w:rPr>
        <w:t>四、财政拨款收入支出决算总表</w:t>
      </w:r>
      <w:bookmarkEnd w:id="55"/>
    </w:p>
    <w:p>
      <w:pPr>
        <w:pStyle w:val="2"/>
        <w:bidi w:val="0"/>
        <w:rPr>
          <w:rFonts w:hint="eastAsia" w:ascii="仿宋" w:hAnsi="仿宋" w:eastAsia="仿宋" w:cs="仿宋"/>
          <w:kern w:val="2"/>
          <w:sz w:val="32"/>
          <w:szCs w:val="32"/>
          <w:lang w:val="en-US" w:eastAsia="zh-CN" w:bidi="ar-SA"/>
        </w:rPr>
      </w:pPr>
      <w:bookmarkStart w:id="56" w:name="_Toc15396623"/>
      <w:r>
        <w:rPr>
          <w:rFonts w:hint="eastAsia" w:ascii="仿宋" w:hAnsi="仿宋" w:eastAsia="仿宋" w:cs="仿宋"/>
          <w:kern w:val="2"/>
          <w:sz w:val="32"/>
          <w:szCs w:val="32"/>
          <w:lang w:val="en-US" w:eastAsia="zh-CN" w:bidi="ar-SA"/>
        </w:rPr>
        <w:t>五、财政拨款支出决算明细表</w:t>
      </w:r>
      <w:bookmarkEnd w:id="56"/>
      <w:bookmarkStart w:id="57" w:name="_Toc15396624"/>
    </w:p>
    <w:p>
      <w:pPr>
        <w:pStyle w:val="2"/>
        <w:bidi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六、一般公共预算财政拨款支出决算表</w:t>
      </w:r>
      <w:bookmarkEnd w:id="57"/>
    </w:p>
    <w:p>
      <w:pPr>
        <w:pStyle w:val="2"/>
        <w:bidi w:val="0"/>
        <w:rPr>
          <w:rFonts w:hint="eastAsia" w:ascii="仿宋" w:hAnsi="仿宋" w:eastAsia="仿宋" w:cs="仿宋"/>
          <w:kern w:val="2"/>
          <w:sz w:val="32"/>
          <w:szCs w:val="32"/>
          <w:lang w:val="en-US" w:eastAsia="zh-CN" w:bidi="ar-SA"/>
        </w:rPr>
      </w:pPr>
      <w:bookmarkStart w:id="58" w:name="_Toc15396625"/>
      <w:r>
        <w:rPr>
          <w:rFonts w:hint="eastAsia" w:ascii="仿宋" w:hAnsi="仿宋" w:eastAsia="仿宋" w:cs="仿宋"/>
          <w:kern w:val="2"/>
          <w:sz w:val="32"/>
          <w:szCs w:val="32"/>
          <w:lang w:val="en-US" w:eastAsia="zh-CN" w:bidi="ar-SA"/>
        </w:rPr>
        <w:t>七、一般公共预算财政拨款支出决算明细表</w:t>
      </w:r>
      <w:bookmarkEnd w:id="58"/>
    </w:p>
    <w:p>
      <w:pPr>
        <w:pStyle w:val="2"/>
        <w:bidi w:val="0"/>
        <w:rPr>
          <w:rFonts w:hint="eastAsia" w:ascii="仿宋" w:hAnsi="仿宋" w:eastAsia="仿宋" w:cs="仿宋"/>
          <w:kern w:val="2"/>
          <w:sz w:val="32"/>
          <w:szCs w:val="32"/>
          <w:lang w:val="en-US" w:eastAsia="zh-CN" w:bidi="ar-SA"/>
        </w:rPr>
      </w:pPr>
      <w:bookmarkStart w:id="59" w:name="_Toc15396626"/>
      <w:r>
        <w:rPr>
          <w:rFonts w:hint="eastAsia" w:ascii="仿宋" w:hAnsi="仿宋" w:eastAsia="仿宋" w:cs="仿宋"/>
          <w:kern w:val="2"/>
          <w:sz w:val="32"/>
          <w:szCs w:val="32"/>
          <w:lang w:val="en-US" w:eastAsia="zh-CN" w:bidi="ar-SA"/>
        </w:rPr>
        <w:t>八、一般公共预算财政拨款基本支出决算表</w:t>
      </w:r>
      <w:bookmarkEnd w:id="59"/>
    </w:p>
    <w:p>
      <w:pPr>
        <w:pStyle w:val="2"/>
        <w:bidi w:val="0"/>
        <w:rPr>
          <w:rFonts w:hint="eastAsia" w:ascii="仿宋" w:hAnsi="仿宋" w:eastAsia="仿宋" w:cs="仿宋"/>
          <w:kern w:val="2"/>
          <w:sz w:val="32"/>
          <w:szCs w:val="32"/>
          <w:lang w:val="en-US" w:eastAsia="zh-CN" w:bidi="ar-SA"/>
        </w:rPr>
      </w:pPr>
      <w:bookmarkStart w:id="60" w:name="_Toc15396627"/>
      <w:r>
        <w:rPr>
          <w:rFonts w:hint="eastAsia" w:ascii="仿宋" w:hAnsi="仿宋" w:eastAsia="仿宋" w:cs="仿宋"/>
          <w:kern w:val="2"/>
          <w:sz w:val="32"/>
          <w:szCs w:val="32"/>
          <w:lang w:val="en-US" w:eastAsia="zh-CN" w:bidi="ar-SA"/>
        </w:rPr>
        <w:t>九、一般公共预算财政拨款项目支出决算表</w:t>
      </w:r>
      <w:bookmarkEnd w:id="60"/>
    </w:p>
    <w:p>
      <w:pPr>
        <w:pStyle w:val="2"/>
        <w:bidi w:val="0"/>
        <w:rPr>
          <w:rFonts w:hint="eastAsia" w:ascii="仿宋" w:hAnsi="仿宋" w:eastAsia="仿宋" w:cs="仿宋"/>
          <w:kern w:val="2"/>
          <w:sz w:val="32"/>
          <w:szCs w:val="32"/>
          <w:lang w:val="en-US" w:eastAsia="zh-CN" w:bidi="ar-SA"/>
        </w:rPr>
      </w:pPr>
      <w:bookmarkStart w:id="61" w:name="_Toc15396628"/>
      <w:r>
        <w:rPr>
          <w:rFonts w:hint="eastAsia" w:ascii="仿宋" w:hAnsi="仿宋" w:eastAsia="仿宋" w:cs="仿宋"/>
          <w:kern w:val="2"/>
          <w:sz w:val="32"/>
          <w:szCs w:val="32"/>
          <w:lang w:val="en-US" w:eastAsia="zh-CN" w:bidi="ar-SA"/>
        </w:rPr>
        <w:t>十、一般公共预算财政拨款“三公”经费支出决算表</w:t>
      </w:r>
      <w:bookmarkEnd w:id="61"/>
    </w:p>
    <w:p>
      <w:pPr>
        <w:pStyle w:val="2"/>
        <w:bidi w:val="0"/>
        <w:rPr>
          <w:rFonts w:hint="eastAsia" w:ascii="仿宋" w:hAnsi="仿宋" w:eastAsia="仿宋" w:cs="仿宋"/>
          <w:kern w:val="2"/>
          <w:sz w:val="32"/>
          <w:szCs w:val="32"/>
          <w:lang w:val="en-US" w:eastAsia="zh-CN" w:bidi="ar-SA"/>
        </w:rPr>
      </w:pPr>
      <w:bookmarkStart w:id="62" w:name="_Toc15396629"/>
      <w:r>
        <w:rPr>
          <w:rFonts w:hint="eastAsia" w:ascii="仿宋" w:hAnsi="仿宋" w:eastAsia="仿宋" w:cs="仿宋"/>
          <w:kern w:val="2"/>
          <w:sz w:val="32"/>
          <w:szCs w:val="32"/>
          <w:lang w:val="en-US" w:eastAsia="zh-CN" w:bidi="ar-SA"/>
        </w:rPr>
        <w:t>十一、政府性基金预算财政拨款收入支出决算表</w:t>
      </w:r>
      <w:bookmarkEnd w:id="62"/>
    </w:p>
    <w:p>
      <w:pPr>
        <w:pStyle w:val="2"/>
        <w:bidi w:val="0"/>
        <w:rPr>
          <w:rFonts w:hint="eastAsia" w:ascii="仿宋" w:hAnsi="仿宋" w:eastAsia="仿宋" w:cs="仿宋"/>
          <w:kern w:val="2"/>
          <w:sz w:val="32"/>
          <w:szCs w:val="32"/>
          <w:lang w:val="en-US" w:eastAsia="zh-CN" w:bidi="ar-SA"/>
        </w:rPr>
      </w:pPr>
      <w:bookmarkStart w:id="63" w:name="_Toc15396630"/>
      <w:r>
        <w:rPr>
          <w:rFonts w:hint="eastAsia" w:ascii="仿宋" w:hAnsi="仿宋" w:eastAsia="仿宋" w:cs="仿宋"/>
          <w:kern w:val="2"/>
          <w:sz w:val="32"/>
          <w:szCs w:val="32"/>
          <w:lang w:val="en-US" w:eastAsia="zh-CN" w:bidi="ar-SA"/>
        </w:rPr>
        <w:t>十二、政府性基金预算财政拨款“三公”经费支出决算表</w:t>
      </w:r>
      <w:bookmarkEnd w:id="63"/>
    </w:p>
    <w:p>
      <w:pPr>
        <w:pStyle w:val="2"/>
        <w:bidi w:val="0"/>
        <w:rPr>
          <w:rFonts w:hint="eastAsia" w:ascii="仿宋" w:hAnsi="仿宋" w:eastAsia="仿宋" w:cs="仿宋"/>
          <w:kern w:val="2"/>
          <w:sz w:val="32"/>
          <w:szCs w:val="32"/>
          <w:lang w:val="en-US" w:eastAsia="zh-CN" w:bidi="ar-SA"/>
        </w:rPr>
      </w:pPr>
      <w:bookmarkStart w:id="64" w:name="_Toc15396631"/>
      <w:r>
        <w:rPr>
          <w:rFonts w:hint="eastAsia" w:ascii="仿宋" w:hAnsi="仿宋" w:eastAsia="仿宋" w:cs="仿宋"/>
          <w:kern w:val="2"/>
          <w:sz w:val="32"/>
          <w:szCs w:val="32"/>
          <w:lang w:val="en-US" w:eastAsia="zh-CN" w:bidi="ar-SA"/>
        </w:rPr>
        <w:t>十三、国有资本经营预算财政拨款收入支出决算表</w:t>
      </w:r>
      <w:bookmarkEnd w:id="64"/>
    </w:p>
    <w:p>
      <w:pPr>
        <w:pStyle w:val="2"/>
        <w:bidi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63579E-B0E8-4597-9BC4-7777C7ABE6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1CECF0-7F8A-486E-B856-CB84F5275499}"/>
  </w:font>
  <w:font w:name="Cambria">
    <w:panose1 w:val="02040503050406030204"/>
    <w:charset w:val="00"/>
    <w:family w:val="roman"/>
    <w:pitch w:val="default"/>
    <w:sig w:usb0="E00006FF" w:usb1="420024FF" w:usb2="02000000" w:usb3="00000000" w:csb0="2000019F" w:csb1="00000000"/>
    <w:embedRegular r:id="rId3" w:fontKey="{84821EE5-F453-4E86-B78A-18E76855F6DF}"/>
  </w:font>
  <w:font w:name="仿宋_GB2312">
    <w:altName w:val="仿宋"/>
    <w:panose1 w:val="02010609030101010101"/>
    <w:charset w:val="86"/>
    <w:family w:val="modern"/>
    <w:pitch w:val="default"/>
    <w:sig w:usb0="00000000" w:usb1="00000000" w:usb2="00000000" w:usb3="00000000" w:csb0="00040000" w:csb1="00000000"/>
    <w:embedRegular r:id="rId4" w:fontKey="{0B9F78B5-2D9F-4C69-8E34-53C1B0A0CB1F}"/>
  </w:font>
  <w:font w:name="仿宋">
    <w:panose1 w:val="02010609060101010101"/>
    <w:charset w:val="86"/>
    <w:family w:val="auto"/>
    <w:pitch w:val="default"/>
    <w:sig w:usb0="800002BF" w:usb1="38CF7CFA" w:usb2="00000016" w:usb3="00000000" w:csb0="00040001" w:csb1="00000000"/>
    <w:embedRegular r:id="rId5" w:fontKey="{75CD8452-BAAB-44BC-8C7F-3094AE85338A}"/>
  </w:font>
  <w:font w:name="方正小标宋简体">
    <w:panose1 w:val="02000000000000000000"/>
    <w:charset w:val="86"/>
    <w:family w:val="script"/>
    <w:pitch w:val="default"/>
    <w:sig w:usb0="00000001" w:usb1="08000000" w:usb2="00000000" w:usb3="00000000" w:csb0="00040000" w:csb1="00000000"/>
    <w:embedRegular r:id="rId6" w:fontKey="{7058621F-B81D-486F-9369-2730210460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C83544"/>
    <w:multiLevelType w:val="singleLevel"/>
    <w:tmpl w:val="2DC83544"/>
    <w:lvl w:ilvl="0" w:tentative="0">
      <w:start w:val="1"/>
      <w:numFmt w:val="chineseCounting"/>
      <w:suff w:val="nothing"/>
      <w:lvlText w:val="（%1）"/>
      <w:lvlJc w:val="left"/>
      <w:rPr>
        <w:rFonts w:hint="eastAsia"/>
      </w:rPr>
    </w:lvl>
  </w:abstractNum>
  <w:abstractNum w:abstractNumId="4">
    <w:nsid w:val="6AD14ACE"/>
    <w:multiLevelType w:val="singleLevel"/>
    <w:tmpl w:val="6AD14ACE"/>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jhlNDFkNTJhYzQxMzhmY2Y4ZmQ5M2UyOTFlM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683E"/>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7B30FF"/>
    <w:rsid w:val="03E872C3"/>
    <w:rsid w:val="042A7CCE"/>
    <w:rsid w:val="0A2032A3"/>
    <w:rsid w:val="0A9C295C"/>
    <w:rsid w:val="0C7B2F3A"/>
    <w:rsid w:val="0CBB3ECC"/>
    <w:rsid w:val="0FF527EB"/>
    <w:rsid w:val="10C055FF"/>
    <w:rsid w:val="114F2205"/>
    <w:rsid w:val="118107EC"/>
    <w:rsid w:val="11F052D6"/>
    <w:rsid w:val="13013AFE"/>
    <w:rsid w:val="16BB723D"/>
    <w:rsid w:val="1703785A"/>
    <w:rsid w:val="18015F3F"/>
    <w:rsid w:val="183767A4"/>
    <w:rsid w:val="19205B6E"/>
    <w:rsid w:val="19EF0204"/>
    <w:rsid w:val="1B443444"/>
    <w:rsid w:val="1BD41810"/>
    <w:rsid w:val="1BE8440E"/>
    <w:rsid w:val="1C342373"/>
    <w:rsid w:val="1D155CEE"/>
    <w:rsid w:val="1E6368B8"/>
    <w:rsid w:val="1F791B32"/>
    <w:rsid w:val="20C40AE1"/>
    <w:rsid w:val="20F57F95"/>
    <w:rsid w:val="210B0E65"/>
    <w:rsid w:val="215C4576"/>
    <w:rsid w:val="240371BF"/>
    <w:rsid w:val="24843328"/>
    <w:rsid w:val="24D71D78"/>
    <w:rsid w:val="26CA2986"/>
    <w:rsid w:val="273A5F21"/>
    <w:rsid w:val="28275C34"/>
    <w:rsid w:val="29FD04D3"/>
    <w:rsid w:val="2A9C74EA"/>
    <w:rsid w:val="2ABE7A3E"/>
    <w:rsid w:val="2D0C05A4"/>
    <w:rsid w:val="2DAB552C"/>
    <w:rsid w:val="305B4ADE"/>
    <w:rsid w:val="3100136A"/>
    <w:rsid w:val="319F7F4E"/>
    <w:rsid w:val="31FF73F1"/>
    <w:rsid w:val="32571099"/>
    <w:rsid w:val="33C42917"/>
    <w:rsid w:val="34A618E3"/>
    <w:rsid w:val="38510CF6"/>
    <w:rsid w:val="387F2B89"/>
    <w:rsid w:val="3A3F3A4E"/>
    <w:rsid w:val="3B1A240C"/>
    <w:rsid w:val="3B2007F4"/>
    <w:rsid w:val="3B3B6E4D"/>
    <w:rsid w:val="3E312E99"/>
    <w:rsid w:val="3F2B3B1C"/>
    <w:rsid w:val="402644ED"/>
    <w:rsid w:val="410E5EB6"/>
    <w:rsid w:val="414B687F"/>
    <w:rsid w:val="42BA0E65"/>
    <w:rsid w:val="42E727BA"/>
    <w:rsid w:val="44CE6DA2"/>
    <w:rsid w:val="48444DC9"/>
    <w:rsid w:val="49411012"/>
    <w:rsid w:val="496F39ED"/>
    <w:rsid w:val="49CA14D4"/>
    <w:rsid w:val="4BE068DB"/>
    <w:rsid w:val="4C3D5309"/>
    <w:rsid w:val="4ECE2238"/>
    <w:rsid w:val="502A0B41"/>
    <w:rsid w:val="52383342"/>
    <w:rsid w:val="542777F7"/>
    <w:rsid w:val="54F70508"/>
    <w:rsid w:val="576B3398"/>
    <w:rsid w:val="57AC4436"/>
    <w:rsid w:val="58F356D5"/>
    <w:rsid w:val="597879A7"/>
    <w:rsid w:val="59CE1D16"/>
    <w:rsid w:val="5B066FCF"/>
    <w:rsid w:val="5B886FD2"/>
    <w:rsid w:val="5FB4141A"/>
    <w:rsid w:val="630A38A1"/>
    <w:rsid w:val="63607EB9"/>
    <w:rsid w:val="638C36AB"/>
    <w:rsid w:val="63B62F87"/>
    <w:rsid w:val="63CB3871"/>
    <w:rsid w:val="65587C27"/>
    <w:rsid w:val="659D065C"/>
    <w:rsid w:val="65A13EB3"/>
    <w:rsid w:val="67CF19CF"/>
    <w:rsid w:val="67F101F7"/>
    <w:rsid w:val="68D86D24"/>
    <w:rsid w:val="6C4A05C8"/>
    <w:rsid w:val="6C6A68D0"/>
    <w:rsid w:val="6C9559F0"/>
    <w:rsid w:val="6D270138"/>
    <w:rsid w:val="6ED11A06"/>
    <w:rsid w:val="6F8D1388"/>
    <w:rsid w:val="72734D90"/>
    <w:rsid w:val="760A1024"/>
    <w:rsid w:val="768B0BE7"/>
    <w:rsid w:val="779571D0"/>
    <w:rsid w:val="79B30EF3"/>
    <w:rsid w:val="7A475B3D"/>
    <w:rsid w:val="7B40625B"/>
    <w:rsid w:val="7D851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8303198887344"/>
          <c:y val="0.13620990829792"/>
          <c:w val="0.927925"/>
          <c:h val="0.7165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Lbl>
              <c:idx val="0"/>
              <c:layout>
                <c:manualLayout>
                  <c:x val="0.00449101796407186"/>
                  <c:y val="0.0361349036402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1871.57</c:v>
                </c:pt>
                <c:pt idx="1">
                  <c:v>1534.96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ser>
        <c:ser>
          <c:idx val="2"/>
          <c:order val="2"/>
          <c:tx>
            <c:strRef>
              <c:f>Sheet1!#REF!</c:f>
              <c:strCache>
                <c:ptCount val="1"/>
                <c:pt idx="0">
                  <c:v/>
                </c:pt>
              </c:strCache>
            </c:strRef>
          </c:tx>
          <c:spPr>
            <a:solidFill>
              <a:schemeClr val="accent3"/>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ser>
        <c:dLbls>
          <c:showLegendKey val="0"/>
          <c:showVal val="0"/>
          <c:showCatName val="0"/>
          <c:showSerName val="0"/>
          <c:showPercent val="0"/>
          <c:showBubbleSize val="0"/>
        </c:dLbls>
        <c:gapWidth val="97"/>
        <c:overlap val="65"/>
        <c:axId val="371391897"/>
        <c:axId val="576944263"/>
      </c:barChart>
      <c:catAx>
        <c:axId val="371391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944263"/>
        <c:crosses val="autoZero"/>
        <c:auto val="1"/>
        <c:lblAlgn val="ctr"/>
        <c:lblOffset val="100"/>
        <c:noMultiLvlLbl val="0"/>
      </c:catAx>
      <c:valAx>
        <c:axId val="576944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3918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625"/>
          <c:y val="0.07"/>
          <c:w val="0.57025"/>
          <c:h val="0.760333333333333"/>
        </c:manualLayout>
      </c:layout>
      <c:pieChart>
        <c:varyColors val="1"/>
        <c:ser>
          <c:idx val="0"/>
          <c:order val="0"/>
          <c:tx>
            <c:strRef>
              <c:f>Sheet1!$B$1</c:f>
              <c:strCache>
                <c:ptCount val="1"/>
                <c:pt idx="0">
                  <c:v>2020年本年收入</c:v>
                </c:pt>
              </c:strCache>
            </c:strRef>
          </c:tx>
          <c:spPr>
            <a:solidFill>
              <a:schemeClr val="tx2">
                <a:lumMod val="60000"/>
                <a:lumOff val="40000"/>
              </a:schemeClr>
            </a:solidFill>
            <a:ln w="25400" cap="flat" cmpd="sng" algn="ctr">
              <a:noFill/>
              <a:prstDash val="solid"/>
            </a:ln>
            <a:sp3d>
              <a:extrusionClr>
                <a:srgbClr val="FFFFFF"/>
              </a:extrusionClr>
              <a:contourClr>
                <a:srgbClr val="FFFFFF"/>
              </a:contourClr>
            </a:sp3d>
          </c:spPr>
          <c:explosion val="0"/>
          <c:dPt>
            <c:idx val="0"/>
            <c:bubble3D val="0"/>
            <c:explosion val="20"/>
            <c:spPr>
              <a:solidFill>
                <a:schemeClr val="tx2">
                  <a:lumMod val="60000"/>
                  <a:lumOff val="40000"/>
                </a:schemeClr>
              </a:solidFill>
              <a:ln w="25400" cap="flat" cmpd="sng" algn="ctr">
                <a:noFill/>
                <a:prstDash val="solid"/>
              </a:ln>
              <a:effectLst/>
              <a:sp3d>
                <a:extrusionClr>
                  <a:srgbClr val="FFFFFF"/>
                </a:extrusionClr>
                <a:contourClr>
                  <a:srgbClr val="FFFFFF"/>
                </a:contourClr>
              </a:sp3d>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1534.96</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2020年本年支出</c:v>
                </c:pt>
              </c:strCache>
            </c:strRef>
          </c:tx>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Lbls>
            <c:dLbl>
              <c:idx val="0"/>
              <c:layout>
                <c:manualLayout>
                  <c:x val="0.0599703433141927"/>
                  <c:y val="0.0038739669421487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143.08</c:v>
                </c:pt>
                <c:pt idx="1">
                  <c:v>1391.89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3083900226757"/>
          <c:y val="0.18435030899142"/>
          <c:w val="0.927925"/>
          <c:h val="0.7165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Lbl>
              <c:idx val="0"/>
              <c:layout>
                <c:manualLayout>
                  <c:x val="0.00212585034013605"/>
                  <c:y val="0.02491177081170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1871.57</c:v>
                </c:pt>
                <c:pt idx="1">
                  <c:v>1534.96</c:v>
                </c:pt>
              </c:numCache>
            </c:numRef>
          </c:val>
        </c:ser>
        <c:dLbls>
          <c:showLegendKey val="0"/>
          <c:showVal val="0"/>
          <c:showCatName val="0"/>
          <c:showSerName val="0"/>
          <c:showPercent val="0"/>
          <c:showBubbleSize val="0"/>
        </c:dLbls>
        <c:gapWidth val="219"/>
        <c:overlap val="-27"/>
        <c:axId val="371391897"/>
        <c:axId val="576944263"/>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15:ser>
            </c15:filteredBarSeries>
          </c:ext>
        </c:extLst>
      </c:barChart>
      <c:catAx>
        <c:axId val="371391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944263"/>
        <c:crosses val="autoZero"/>
        <c:auto val="1"/>
        <c:lblAlgn val="ctr"/>
        <c:lblOffset val="100"/>
        <c:noMultiLvlLbl val="0"/>
      </c:catAx>
      <c:valAx>
        <c:axId val="576944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3918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1377236505789"/>
          <c:y val="0.133243448964312"/>
          <c:w val="0.927925"/>
          <c:h val="0.7165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Lbl>
              <c:idx val="0"/>
              <c:layout>
                <c:manualLayout>
                  <c:x val="0.006765899864682"/>
                  <c:y val="0.03369104067881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Sheet1!$A$2:$A$4</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Sheet1!$B$2:$B$4</c15:sqref>
                  </c15:fullRef>
                </c:ext>
              </c:extLst>
              <c:f>Sheet1!$B$2:$B$3</c:f>
              <c:numCache>
                <c:formatCode>General</c:formatCode>
                <c:ptCount val="2"/>
                <c:pt idx="0">
                  <c:v>1871.57</c:v>
                </c:pt>
                <c:pt idx="1">
                  <c:v>1534.96</c:v>
                </c:pt>
              </c:numCache>
            </c:numRef>
          </c:val>
        </c:ser>
        <c:dLbls>
          <c:showLegendKey val="0"/>
          <c:showVal val="0"/>
          <c:showCatName val="0"/>
          <c:showSerName val="0"/>
          <c:showPercent val="0"/>
          <c:showBubbleSize val="0"/>
        </c:dLbls>
        <c:gapWidth val="219"/>
        <c:overlap val="-27"/>
        <c:axId val="371391897"/>
        <c:axId val="576944263"/>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Sheet1!$A$2:$A$4</c15:sqref>
                        </c15:fullRef>
                        <c15:formulaRef>
                          <c15:sqref>Sheet1!$A$2:$A$3</c15:sqref>
                        </c15:formulaRef>
                      </c:ext>
                    </c:extLst>
                    <c:strCache>
                      <c:ptCount val="2"/>
                      <c:pt idx="0">
                        <c:v>2019年</c:v>
                      </c:pt>
                      <c:pt idx="1">
                        <c:v>2020年</c:v>
                      </c:pt>
                    </c:strCache>
                  </c:strRef>
                </c:cat>
                <c:val>
                  <c:numRef>
                    <c:extLst>
                      <c:ext uri="{02D57815-91ED-43cb-92C2-25804820EDAC}">
                        <c15:fullRef>
                          <c15:sqref>Sheet1!$C$2:$C$4</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Sheet1!$A$2:$A$4</c15:sqref>
                        </c15:fullRef>
                        <c15:formulaRef>
                          <c15:sqref>Sheet1!$A$2:$A$3</c15:sqref>
                        </c15:formulaRef>
                      </c:ext>
                    </c:extLst>
                    <c:strCache>
                      <c:ptCount val="2"/>
                      <c:pt idx="0">
                        <c:v>2019年</c:v>
                      </c:pt>
                      <c:pt idx="1">
                        <c:v>2020年</c:v>
                      </c:pt>
                    </c:strCache>
                  </c:strRef>
                </c:cat>
              </c15:ser>
            </c15:filteredBarSeries>
          </c:ext>
        </c:extLst>
      </c:barChart>
      <c:catAx>
        <c:axId val="371391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944263"/>
        <c:crosses val="autoZero"/>
        <c:auto val="1"/>
        <c:lblAlgn val="ctr"/>
        <c:lblOffset val="100"/>
        <c:noMultiLvlLbl val="0"/>
      </c:catAx>
      <c:valAx>
        <c:axId val="576944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3918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8298153034301"/>
          <c:y val="0.118518518518519"/>
          <c:w val="0.602242744063325"/>
          <c:h val="0.795642701525054"/>
        </c:manualLayout>
      </c:layout>
      <c:pieChart>
        <c:varyColors val="1"/>
        <c:ser>
          <c:idx val="0"/>
          <c:order val="0"/>
          <c:tx>
            <c:strRef>
              <c:f>Sheet1!$B$1</c:f>
              <c:strCache>
                <c:ptCount val="1"/>
                <c:pt idx="0">
                  <c:v>2020年本年支出</c:v>
                </c:pt>
              </c:strCache>
            </c:strRef>
          </c:tx>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chemeClr val="accent4"/>
              </a:solidFill>
              <a:ln w="19050">
                <a:noFill/>
              </a:ln>
              <a:effectLst/>
            </c:spPr>
          </c:dPt>
          <c:dLbls>
            <c:dLbl>
              <c:idx val="1"/>
              <c:layout>
                <c:manualLayout>
                  <c:x val="-0.0530427446720948"/>
                  <c:y val="-0.1099660948165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1177177685735"/>
                  <c:y val="-0.014066044553297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5433297658284"/>
                  <c:y val="0.16851737081716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社会保障和就业（类）</c:v>
                </c:pt>
                <c:pt idx="2">
                  <c:v>卫生健康支出（类）</c:v>
                </c:pt>
                <c:pt idx="3">
                  <c:v>住房保障支出（类）</c:v>
                </c:pt>
              </c:strCache>
            </c:strRef>
          </c:cat>
          <c:val>
            <c:numRef>
              <c:f>Sheet1!$B$2:$B$5</c:f>
              <c:numCache>
                <c:formatCode>General</c:formatCode>
                <c:ptCount val="4"/>
                <c:pt idx="0">
                  <c:v>1481</c:v>
                </c:pt>
                <c:pt idx="1">
                  <c:v>41</c:v>
                </c:pt>
                <c:pt idx="2">
                  <c:v>5.64</c:v>
                </c:pt>
                <c:pt idx="3">
                  <c:v>7</c:v>
                </c:pt>
              </c:numCache>
            </c:numRef>
          </c:val>
        </c:ser>
        <c:dLbls>
          <c:showLegendKey val="0"/>
          <c:showVal val="0"/>
          <c:showCatName val="0"/>
          <c:showSerName val="0"/>
          <c:showPercent val="0"/>
          <c:showBubbleSize val="0"/>
          <c:showLeaderLines val="1"/>
        </c:dLbls>
        <c:firstSliceAng val="61"/>
      </c:pieChart>
      <c:spPr>
        <a:noFill/>
        <a:ln>
          <a:noFill/>
        </a:ln>
        <a:effectLst/>
      </c:spPr>
    </c:plotArea>
    <c:plotVisOnly val="1"/>
    <c:dispBlanksAs val="gap"/>
    <c:showDLblsOverMax val="0"/>
  </c:chart>
  <c:spPr>
    <a:noFill/>
    <a:ln w="1270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4549</Words>
  <Characters>5611</Characters>
  <Lines>61</Lines>
  <Paragraphs>17</Paragraphs>
  <TotalTime>6</TotalTime>
  <ScaleCrop>false</ScaleCrop>
  <LinksUpToDate>false</LinksUpToDate>
  <CharactersWithSpaces>5659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dell</cp:lastModifiedBy>
  <cp:lastPrinted>2021-07-29T03:56:00Z</cp:lastPrinted>
  <dcterms:modified xsi:type="dcterms:W3CDTF">2022-11-11T08:58:18Z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271B3EE23A6D4C5E9C1330A534C760AD</vt:lpwstr>
  </property>
</Properties>
</file>