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000000"/>
          <w:sz w:val="30"/>
          <w:szCs w:val="30"/>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bidi w:val="0"/>
        <w:jc w:val="center"/>
        <w:rPr>
          <w:rFonts w:hint="eastAsia" w:ascii="方正小标宋简体" w:hAnsi="方正小标宋简体" w:eastAsia="方正小标宋简体" w:cs="方正小标宋简体"/>
          <w:sz w:val="72"/>
          <w:szCs w:val="72"/>
        </w:rPr>
      </w:pPr>
      <w:bookmarkStart w:id="1" w:name="_Toc15377193"/>
      <w:bookmarkStart w:id="2" w:name="_Toc15377425"/>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2020年度</w:t>
      </w:r>
      <w:bookmarkEnd w:id="1"/>
      <w:bookmarkEnd w:id="2"/>
      <w:bookmarkEnd w:id="3"/>
      <w:bookmarkEnd w:id="4"/>
      <w:bookmarkEnd w:id="5"/>
    </w:p>
    <w:p>
      <w:pPr>
        <w:bidi w:val="0"/>
        <w:jc w:val="center"/>
        <w:rPr>
          <w:rFonts w:hint="eastAsia" w:ascii="方正小标宋简体" w:hAnsi="方正小标宋简体" w:eastAsia="方正小标宋简体" w:cs="方正小标宋简体"/>
          <w:sz w:val="72"/>
          <w:szCs w:val="72"/>
          <w:lang w:val="en-US" w:eastAsia="zh-CN"/>
        </w:rPr>
      </w:pPr>
      <w:bookmarkStart w:id="6" w:name="_Toc15396476"/>
      <w:bookmarkStart w:id="7" w:name="_Toc15378442"/>
      <w:bookmarkStart w:id="8" w:name="_Toc15396598"/>
      <w:bookmarkStart w:id="9" w:name="_Toc15377194"/>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财政信息中心</w:t>
      </w:r>
    </w:p>
    <w:p>
      <w:pPr>
        <w:bidi w:val="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1"/>
        <w:rPr>
          <w:rFonts w:hint="eastAsia"/>
          <w:lang w:eastAsia="zh-CN"/>
        </w:rPr>
      </w:pPr>
      <w:r>
        <w:rPr>
          <w:rFonts w:hint="eastAsia"/>
        </w:rPr>
        <w:t>公开时间：2021年9月10日</w:t>
      </w:r>
      <w:bookmarkStart w:id="12" w:name="_Toc15396599"/>
      <w:bookmarkStart w:id="13" w:name="_Toc15377196"/>
    </w:p>
    <w:sdt>
      <w:sdtPr>
        <w:rPr>
          <w:rFonts w:ascii="宋体" w:hAnsi="宋体" w:eastAsia="宋体" w:cs="Times New Roman"/>
          <w:kern w:val="2"/>
          <w:sz w:val="21"/>
          <w:szCs w:val="24"/>
          <w:lang w:val="en-US" w:eastAsia="zh-CN" w:bidi="ar-SA"/>
        </w:rPr>
        <w:id w:val="147467650"/>
        <w15:color w:val="DBDBDB"/>
        <w:docPartObj>
          <w:docPartGallery w:val="Table of Contents"/>
          <w:docPartUnique/>
        </w:docPartObj>
      </w:sdtPr>
      <w:sdtEndPr>
        <w:rPr>
          <w:rFonts w:hint="eastAsia" w:ascii="仿宋_GB2312" w:hAnsi="仿宋_GB2312" w:eastAsia="仿宋_GB2312" w:cs="仿宋_GB2312"/>
          <w:b/>
          <w:kern w:val="0"/>
          <w:sz w:val="32"/>
          <w:szCs w:val="32"/>
          <w:highlight w:val="yellow"/>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b w:val="0"/>
              <w:sz w:val="32"/>
              <w:szCs w:val="32"/>
              <w:highlight w:val="yellow"/>
              <w:lang w:eastAsia="zh-CN"/>
            </w:rPr>
            <w:fldChar w:fldCharType="begin"/>
          </w:r>
          <w:r>
            <w:rPr>
              <w:rFonts w:hint="eastAsia" w:ascii="仿宋_GB2312" w:hAnsi="仿宋_GB2312" w:eastAsia="仿宋_GB2312" w:cs="仿宋_GB2312"/>
              <w:b w:val="0"/>
              <w:sz w:val="32"/>
              <w:szCs w:val="32"/>
              <w:highlight w:val="yellow"/>
              <w:lang w:eastAsia="zh-CN"/>
            </w:rPr>
            <w:instrText xml:space="preserve">TOC \o "1-2" \h \u </w:instrText>
          </w:r>
          <w:r>
            <w:rPr>
              <w:rFonts w:hint="eastAsia" w:ascii="仿宋_GB2312" w:hAnsi="仿宋_GB2312" w:eastAsia="仿宋_GB2312" w:cs="仿宋_GB2312"/>
              <w:b w:val="0"/>
              <w:sz w:val="32"/>
              <w:szCs w:val="32"/>
              <w:highlight w:val="yellow"/>
              <w:lang w:eastAsia="zh-CN"/>
            </w:rPr>
            <w:fldChar w:fldCharType="separate"/>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_Toc31080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_Toc25906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一、</w:t>
          </w:r>
          <w:r>
            <w:rPr>
              <w:rFonts w:hint="eastAsia" w:ascii="仿宋_GB2312" w:hAnsi="仿宋_GB2312" w:eastAsia="仿宋_GB2312" w:cs="仿宋_GB2312"/>
              <w:bCs w:val="0"/>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_Toc10246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val="en-US" w:eastAsia="zh-CN"/>
            </w:rPr>
            <w:t>二、</w:t>
          </w:r>
          <w:r>
            <w:rPr>
              <w:rFonts w:hint="eastAsia" w:ascii="仿宋_GB2312" w:hAnsi="仿宋_GB2312" w:eastAsia="仿宋_GB2312" w:cs="仿宋_GB2312"/>
              <w:bCs w:val="0"/>
              <w:sz w:val="32"/>
              <w:szCs w:val="32"/>
              <w:lang w:eastAsia="zh-CN"/>
            </w:rPr>
            <w:t>2020年重点工作完成情况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_Toc17382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
              <w:bCs/>
              <w:sz w:val="32"/>
              <w:szCs w:val="32"/>
            </w:rPr>
            <w:t>第二部分 2020年度</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_Toc7776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一、</w:t>
          </w:r>
          <w:r>
            <w:rPr>
              <w:rFonts w:hint="eastAsia" w:ascii="仿宋_GB2312" w:hAnsi="仿宋_GB2312" w:eastAsia="仿宋_GB2312" w:cs="仿宋_GB2312"/>
              <w:bCs w:val="0"/>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_Toc13079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二、</w:t>
          </w:r>
          <w:r>
            <w:rPr>
              <w:rFonts w:hint="eastAsia" w:ascii="仿宋_GB2312" w:hAnsi="仿宋_GB2312" w:eastAsia="仿宋_GB2312" w:cs="仿宋_GB2312"/>
              <w:bCs w:val="0"/>
              <w:sz w:val="32"/>
              <w:szCs w:val="32"/>
            </w:rPr>
            <w:t>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_Toc15665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三、</w:t>
          </w:r>
          <w:r>
            <w:rPr>
              <w:rFonts w:hint="eastAsia" w:ascii="仿宋_GB2312" w:hAnsi="仿宋_GB2312" w:eastAsia="仿宋_GB2312" w:cs="仿宋_GB2312"/>
              <w:bCs w:val="0"/>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_Toc26643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四、</w:t>
          </w:r>
          <w:r>
            <w:rPr>
              <w:rFonts w:hint="eastAsia" w:ascii="仿宋_GB2312" w:hAnsi="仿宋_GB2312" w:eastAsia="仿宋_GB2312" w:cs="仿宋_GB2312"/>
              <w:bCs w:val="0"/>
              <w:sz w:val="32"/>
              <w:szCs w:val="32"/>
            </w:rPr>
            <w:t>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_Toc26122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五、</w:t>
          </w:r>
          <w:r>
            <w:rPr>
              <w:rFonts w:hint="eastAsia" w:ascii="仿宋_GB2312" w:hAnsi="仿宋_GB2312" w:eastAsia="仿宋_GB2312" w:cs="仿宋_GB2312"/>
              <w:bCs w:val="0"/>
              <w:sz w:val="32"/>
              <w:szCs w:val="32"/>
            </w:rPr>
            <w:t>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_Toc8638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_Toc31115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七、</w:t>
          </w:r>
          <w:r>
            <w:rPr>
              <w:rFonts w:hint="eastAsia" w:ascii="仿宋_GB2312" w:hAnsi="仿宋_GB2312" w:eastAsia="仿宋_GB2312" w:cs="仿宋_GB2312"/>
              <w:bCs w:val="0"/>
              <w:sz w:val="32"/>
              <w:szCs w:val="32"/>
            </w:rPr>
            <w:t>“三公”经费财政拨款支出决算情况说明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_Toc3668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八、</w:t>
          </w:r>
          <w:r>
            <w:rPr>
              <w:rFonts w:hint="eastAsia" w:ascii="仿宋_GB2312" w:hAnsi="仿宋_GB2312" w:eastAsia="仿宋_GB2312" w:cs="仿宋_GB2312"/>
              <w:bCs w:val="0"/>
              <w:sz w:val="32"/>
              <w:szCs w:val="32"/>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_Toc1177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九、</w:t>
          </w:r>
          <w:r>
            <w:rPr>
              <w:rFonts w:hint="eastAsia" w:ascii="仿宋_GB2312" w:hAnsi="仿宋_GB2312" w:eastAsia="仿宋_GB2312" w:cs="仿宋_GB2312"/>
              <w:bCs w:val="0"/>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_Toc10335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十、</w:t>
          </w:r>
          <w:r>
            <w:rPr>
              <w:rFonts w:hint="eastAsia" w:ascii="仿宋_GB2312" w:hAnsi="仿宋_GB2312" w:eastAsia="仿宋_GB2312" w:cs="仿宋_GB2312"/>
              <w:bCs w:val="0"/>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_Toc31742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
              <w:bCs/>
              <w:sz w:val="32"/>
              <w:szCs w:val="32"/>
              <w:lang w:val="en-US" w:eastAsia="zh-CN"/>
            </w:rPr>
            <w:t xml:space="preserve">第三部分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_Toc3134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_Toc21066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keepNext w:val="0"/>
            <w:keepLines w:val="0"/>
            <w:pageBreakBefore w:val="0"/>
            <w:widowControl w:val="0"/>
            <w:kinsoku/>
            <w:wordWrap/>
            <w:overflowPunct/>
            <w:topLinePunct w:val="0"/>
            <w:autoSpaceDE/>
            <w:autoSpaceDN/>
            <w:bidi w:val="0"/>
            <w:adjustRightInd/>
            <w:snapToGrid/>
            <w:spacing w:beforeLines="0" w:after="0" w:line="600" w:lineRule="exact"/>
            <w:ind w:left="0" w:leftChars="0" w:right="0" w:rightChars="0" w:firstLine="0" w:firstLineChars="0"/>
            <w:jc w:val="both"/>
            <w:textAlignment w:val="auto"/>
            <w:rPr>
              <w:rFonts w:hint="eastAsia" w:ascii="仿宋_GB2312" w:hAnsi="仿宋_GB2312" w:eastAsia="仿宋_GB2312" w:cs="仿宋_GB2312"/>
              <w:b w:val="0"/>
              <w:sz w:val="32"/>
              <w:szCs w:val="32"/>
              <w:highlight w:val="yellow"/>
              <w:lang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_GB2312" w:eastAsia="仿宋_GB2312" w:cs="仿宋_GB2312"/>
              <w:sz w:val="32"/>
              <w:szCs w:val="32"/>
              <w:highlight w:val="yellow"/>
              <w:lang w:eastAsia="zh-CN"/>
            </w:rPr>
            <w:fldChar w:fldCharType="end"/>
          </w:r>
          <w:bookmarkStart w:id="91" w:name="_GoBack"/>
          <w:bookmarkEnd w:id="91"/>
        </w:p>
      </w:sdtContent>
    </w:sdt>
    <w:p>
      <w:pPr>
        <w:pStyle w:val="3"/>
        <w:bidi w:val="0"/>
        <w:jc w:val="center"/>
        <w:rPr>
          <w:rFonts w:ascii="黑体" w:eastAsia="黑体"/>
          <w:color w:val="000000"/>
          <w:sz w:val="32"/>
          <w:szCs w:val="32"/>
        </w:rPr>
      </w:pPr>
      <w:bookmarkStart w:id="14" w:name="_Toc31080"/>
      <w:r>
        <w:rPr>
          <w:rFonts w:hint="eastAsia" w:ascii="黑体" w:hAnsi="黑体" w:eastAsia="黑体" w:cs="黑体"/>
          <w:b w:val="0"/>
          <w:bCs w:val="0"/>
        </w:rPr>
        <w:t>第一部分 单位概况</w:t>
      </w:r>
      <w:bookmarkEnd w:id="12"/>
      <w:bookmarkEnd w:id="13"/>
      <w:bookmarkEnd w:id="14"/>
    </w:p>
    <w:p>
      <w:pPr>
        <w:pStyle w:val="4"/>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eastAsia" w:ascii="黑体" w:hAnsi="黑体" w:eastAsia="黑体" w:cs="黑体"/>
          <w:b w:val="0"/>
          <w:bCs w:val="0"/>
        </w:rPr>
      </w:pPr>
      <w:bookmarkStart w:id="15" w:name="_Toc25906"/>
      <w:bookmarkStart w:id="16" w:name="_Toc15396600"/>
      <w:bookmarkStart w:id="17" w:name="_Toc15377197"/>
      <w:r>
        <w:rPr>
          <w:rFonts w:hint="eastAsia" w:ascii="黑体" w:hAnsi="黑体" w:eastAsia="黑体" w:cs="黑体"/>
          <w:b w:val="0"/>
          <w:bCs w:val="0"/>
          <w:lang w:eastAsia="zh-CN"/>
        </w:rPr>
        <w:t>一、</w:t>
      </w:r>
      <w:r>
        <w:rPr>
          <w:rFonts w:hint="eastAsia" w:ascii="黑体" w:hAnsi="黑体" w:eastAsia="黑体" w:cs="黑体"/>
          <w:b w:val="0"/>
          <w:bCs w:val="0"/>
        </w:rPr>
        <w:t>职能简介</w:t>
      </w:r>
      <w:bookmarkEnd w:id="15"/>
      <w:bookmarkStart w:id="18" w:name="_Toc15378445"/>
      <w:bookmarkStart w:id="19" w:name="_Toc15377198"/>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四川省财政信息中心</w:t>
      </w:r>
      <w:r>
        <w:rPr>
          <w:rFonts w:hint="eastAsia" w:ascii="仿宋_GB2312" w:hAnsi="仿宋_GB2312" w:eastAsia="仿宋_GB2312" w:cs="仿宋_GB2312"/>
          <w:kern w:val="2"/>
          <w:sz w:val="32"/>
          <w:szCs w:val="32"/>
          <w:lang w:val="en-US" w:eastAsia="zh-CN" w:bidi="ar-SA"/>
        </w:rPr>
        <w:t>牵头落实财政信息化重大决策；拟订财政信息化建设规划；制订财政信息化建设管理制度、实施规范和技术标准；负责财政厅信息化基础设施建设和管理；负责财政信息系统建设、实施和推广应用；负责财政数据的优化和应用；负责财政信息化安全保障体系规划和建设；承担财政信息化建设统筹协调组织工作。</w:t>
      </w:r>
      <w:bookmarkEnd w:id="18"/>
      <w:bookmarkEnd w:id="19"/>
    </w:p>
    <w:p>
      <w:pPr>
        <w:pStyle w:val="4"/>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eastAsia" w:ascii="黑体" w:hAnsi="黑体" w:eastAsia="黑体" w:cs="黑体"/>
          <w:b w:val="0"/>
          <w:bCs w:val="0"/>
          <w:lang w:eastAsia="zh-CN"/>
        </w:rPr>
      </w:pPr>
      <w:bookmarkStart w:id="20" w:name="_Toc10246"/>
      <w:r>
        <w:rPr>
          <w:rFonts w:hint="eastAsia" w:ascii="黑体" w:hAnsi="黑体" w:eastAsia="黑体" w:cs="黑体"/>
          <w:b w:val="0"/>
          <w:bCs w:val="0"/>
          <w:lang w:val="en-US" w:eastAsia="zh-CN"/>
        </w:rPr>
        <w:t>二、</w:t>
      </w:r>
      <w:r>
        <w:rPr>
          <w:rFonts w:hint="eastAsia" w:ascii="黑体" w:hAnsi="黑体" w:eastAsia="黑体" w:cs="黑体"/>
          <w:b w:val="0"/>
          <w:bCs w:val="0"/>
          <w:lang w:eastAsia="zh-CN"/>
        </w:rPr>
        <w:t>2020年重点工作</w:t>
      </w:r>
      <w:bookmarkEnd w:id="16"/>
      <w:bookmarkEnd w:id="17"/>
      <w:r>
        <w:rPr>
          <w:rFonts w:hint="eastAsia" w:ascii="黑体" w:hAnsi="黑体" w:eastAsia="黑体" w:cs="黑体"/>
          <w:b w:val="0"/>
          <w:bCs w:val="0"/>
          <w:lang w:eastAsia="zh-CN"/>
        </w:rPr>
        <w:t>完成情况</w:t>
      </w:r>
      <w:bookmarkEnd w:id="20"/>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(一)加强日常运行保障，基础设施和信息系统运行稳定。</w:t>
      </w:r>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切实做好网络和机房基础环境运维保障。完成省本级线路优化和提速工作，进一步规范政务云网络接入控制。二是切实做好核心应用系统运维保障。完成四川省政府财政管理信息系统（大平台）、四川政府采购电子化平台（政采平台）、全省财政视频会议系统的日常运维工作。三是协助做好处室应用系统运维管理。协助各处室开展政务云资源管理和运维管理工作，确保在政务云上的各应用系统能够安全、有效地运行。四是切实做好安全防护系统运维保障。进一步加强网络边界安全管理，完成厅互联网网络拓扑改造，部署互联网出口端行为控制设备，部署金财网骨干出口威胁发现设备和深度威胁安全网关，完成全厅无线网络安装部署。五是做好桌面终端和软件正版化管理工作。基本完成全厅财政专网桌面终端管理软件安装部署，启用内外网隔离、安装访问等安全策略，基本实现了厅内用户财政专网准入控制，基本实现了厅内用户禁止内外网互联的技术管控。</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(二)贯彻落实上级要求，两个“一”项目建设有序推进。</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有序推进预算管理一体化系统建设。按照财政部统一部署，协同厅内处室有力有序推进系统建设。先后成立了厅预算管理一体化工作领导小组、厅预算管理一体化推进办公室，切实加强预算管理一体化工作的组织领导和协调推进。严格履行程序，完成了项目备案以及财政投资评审等前期准备工作。积极对接省大数据中心，初步达成了基于省政务云搭建独立的预算管理一体化云资源支撑环境。在财政部专项督导结束后，按照最新要求及时调整思路，依法中止原项目采购程序，组织开展跟从实施模式调研论证并加快推动预算申报、需求对接、政府采购等相关程序，确保按时保质完成财政部下达的工作任务。</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二是顺利完成“一卡通”审批支撑平台建设阶段性任务。按照省纪委要求，2020年6月牵头建成了全省惠民惠农财政补贴资金“一卡通”审批支撑平台，为支撑全省各级补贴项目</w:t>
      </w:r>
      <w:r>
        <w:rPr>
          <w:rFonts w:hint="eastAsia" w:hAnsi="仿宋_GB2312" w:cs="仿宋_GB2312"/>
          <w:color w:val="auto"/>
          <w:kern w:val="2"/>
          <w:sz w:val="32"/>
          <w:szCs w:val="32"/>
          <w:highlight w:val="none"/>
          <w:lang w:val="en-US" w:eastAsia="zh-CN" w:bidi="ar-SA"/>
        </w:rPr>
        <w:t>享受</w:t>
      </w:r>
      <w:r>
        <w:rPr>
          <w:rFonts w:hint="eastAsia" w:ascii="仿宋_GB2312" w:hAnsi="仿宋_GB2312" w:eastAsia="仿宋_GB2312" w:cs="仿宋_GB2312"/>
          <w:color w:val="auto"/>
          <w:kern w:val="2"/>
          <w:sz w:val="32"/>
          <w:szCs w:val="32"/>
          <w:highlight w:val="none"/>
          <w:lang w:val="en-US" w:eastAsia="zh-CN" w:bidi="ar-SA"/>
        </w:rPr>
        <w:t>资格</w:t>
      </w:r>
      <w:r>
        <w:rPr>
          <w:rFonts w:hint="eastAsia" w:ascii="仿宋_GB2312" w:hAnsi="仿宋_GB2312" w:eastAsia="仿宋_GB2312" w:cs="仿宋_GB2312"/>
          <w:kern w:val="2"/>
          <w:sz w:val="32"/>
          <w:szCs w:val="32"/>
          <w:lang w:val="en-US" w:eastAsia="zh-CN" w:bidi="ar-SA"/>
        </w:rPr>
        <w:t>“阳光审批”打下坚实基础。配合经建处开展稻谷目标补贴项目资格审批系统建设和应用试点，在内江全市范围内率先实现了该项目资格审批过程阳光化、规范化，结合试点推进情况搭建了四川省惠民惠农公共服务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(三)坚持目标和问题导向，谋划建立现代财政网络安全保障体系。</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一是有力处置</w:t>
      </w:r>
      <w:r>
        <w:rPr>
          <w:rFonts w:hint="eastAsia" w:hAnsi="仿宋_GB2312" w:cs="仿宋_GB2312"/>
          <w:kern w:val="2"/>
          <w:sz w:val="32"/>
          <w:szCs w:val="32"/>
          <w:lang w:val="en-US" w:eastAsia="zh-CN" w:bidi="ar-SA"/>
        </w:rPr>
        <w:t>市县财政网络</w:t>
      </w:r>
      <w:r>
        <w:rPr>
          <w:rFonts w:hint="eastAsia" w:ascii="仿宋_GB2312" w:hAnsi="仿宋_GB2312" w:eastAsia="仿宋_GB2312" w:cs="仿宋_GB2312"/>
          <w:kern w:val="2"/>
          <w:sz w:val="32"/>
          <w:szCs w:val="32"/>
          <w:lang w:val="en-US" w:eastAsia="zh-CN" w:bidi="ar-SA"/>
        </w:rPr>
        <w:t>病毒事件，第一时间切断病毒扩散传播渠道，第一时间作出全省财政统一工作安排，有序组织省级预算单位加强终端防护，有序组织市县财政逐步恢复正常生产秩序，及时向上级主管部门报送情况、寻求支持，积极配合公安部门开展溯源分析。二是开展市县网络安全实地检查，联合省委网信办对遂宁、广安、资阳、内江等地区12个市县财政部门进行了实地检查。三是谋划推动网络安全系统性建设，制定了《四川省财政厅网络安全整改措施》，面向厅内印发《四川省财政厅信息系统运维管理办法》，组织开展了网络安全专题讲座，向财政部申请获得了数据级异地容灾试点资源。四是认真组织开展护网攻防演练。积极探索“设备防控+服务保障”的网络安全防护新模式,在“四川省2020护网行动”取得了较好的成绩，为持续深化网络安全建设管理积累了宝贵经验。</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(四)服务财政中心工作，助力财政改革不断深化。</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一是国库集中支付电子化推广顺利。配合国库处推广国库集中支付电子化，2020年上半年完成了省级预算单位授权支付电子化推广应用，在764家省级预算单位完成了上线运行。</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二是助力特殊转移制度在我省快速落地。完成直达资金监控平台部署实施、推广应用等工作，为中央特殊转移支付制度在我省快速落地提供了有力的技术支撑。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配合推进政府采购业务改革和系统重构。配合采购处完成了政府采购专家库重建工作，实现了远程抽取及无纸化管理。配合采购处积极推进政府采购执行系统升级改造工作，进一步加强了政府采购各环节的流程控制和信息共享。</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(五)聚焦疫情防控，全力做好技术支撑。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第一时间完成省政府疫情防控应急指挥视频系统终端安装部署和接入工作，为我厅及时安全参会、快速响应落实省政府统一部署提供了技术保障。二是组织技术力量，在最短时间内研发出“厅疫情防控填报系统”，为厅党组第一时间掌握全厅情况、实施重点防控提供了有力的技术载体。三是完成了华为We-Link互联网视频会议系统的部署实施，确保了省、市、县三级财政共4000个用户可以使用系统会商。</w:t>
      </w:r>
    </w:p>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bidi w:val="0"/>
        <w:jc w:val="center"/>
        <w:rPr>
          <w:rFonts w:hint="eastAsia" w:ascii="黑体" w:hAnsi="黑体" w:eastAsia="黑体" w:cs="黑体"/>
          <w:b w:val="0"/>
          <w:bCs w:val="0"/>
        </w:rPr>
      </w:pPr>
      <w:bookmarkStart w:id="21" w:name="_Toc15396602"/>
      <w:bookmarkStart w:id="22" w:name="_Toc15377204"/>
      <w:bookmarkStart w:id="23" w:name="_Toc17382"/>
      <w:r>
        <w:rPr>
          <w:rFonts w:hint="eastAsia" w:ascii="黑体" w:hAnsi="黑体" w:eastAsia="黑体" w:cs="黑体"/>
          <w:b w:val="0"/>
          <w:bCs w:val="0"/>
        </w:rPr>
        <w:t>第二部分 2020年度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21"/>
      <w:bookmarkEnd w:id="22"/>
      <w:bookmarkEnd w:id="23"/>
    </w:p>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24" w:name="_Toc15396603"/>
      <w:bookmarkStart w:id="25" w:name="_Toc7776"/>
      <w:bookmarkStart w:id="26" w:name="_Toc15377205"/>
      <w:r>
        <w:rPr>
          <w:rFonts w:hint="eastAsia" w:ascii="黑体" w:hAnsi="黑体" w:eastAsia="黑体" w:cs="黑体"/>
          <w:b w:val="0"/>
          <w:bCs w:val="0"/>
          <w:lang w:eastAsia="zh-CN"/>
        </w:rPr>
        <w:t>一、</w:t>
      </w:r>
      <w:r>
        <w:rPr>
          <w:rFonts w:hint="eastAsia" w:ascii="黑体" w:hAnsi="黑体" w:eastAsia="黑体" w:cs="黑体"/>
          <w:b w:val="0"/>
          <w:bCs w:val="0"/>
        </w:rPr>
        <w:t>收入支出决算总体情况说明</w:t>
      </w:r>
      <w:bookmarkEnd w:id="24"/>
      <w:bookmarkEnd w:id="25"/>
      <w:bookmarkEnd w:id="26"/>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2020年度收、支总计3210.75万元。与2019年相比，收、支总计各增加436.63万元，增长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spacing w:line="600" w:lineRule="exact"/>
        <w:ind w:firstLine="643" w:firstLineChars="200"/>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图</w:t>
      </w:r>
      <w:r>
        <w:rPr>
          <w:rFonts w:ascii="仿宋" w:hAnsi="仿宋" w:eastAsia="仿宋"/>
          <w:b/>
          <w:bCs/>
          <w:color w:val="000000" w:themeColor="text1"/>
          <w:sz w:val="32"/>
          <w:szCs w:val="32"/>
          <w14:textFill>
            <w14:solidFill>
              <w14:schemeClr w14:val="tx1"/>
            </w14:solidFill>
          </w14:textFill>
        </w:rPr>
        <w:t>1</w:t>
      </w:r>
      <w:r>
        <w:rPr>
          <w:rFonts w:hint="eastAsia" w:ascii="仿宋" w:hAnsi="仿宋" w:eastAsia="仿宋"/>
          <w:b/>
          <w:bCs/>
          <w:color w:val="000000" w:themeColor="text1"/>
          <w:sz w:val="32"/>
          <w:szCs w:val="32"/>
          <w14:textFill>
            <w14:solidFill>
              <w14:schemeClr w14:val="tx1"/>
            </w14:solidFill>
          </w14:textFill>
        </w:rPr>
        <w:t>：收、支决算总计变动情况图</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单位：万元</w:t>
      </w:r>
      <w:r>
        <w:rPr>
          <w:rFonts w:hint="eastAsia" w:ascii="仿宋" w:hAnsi="仿宋" w:eastAsia="仿宋"/>
          <w:b/>
          <w:bCs/>
          <w:color w:val="000000" w:themeColor="text1"/>
          <w:sz w:val="32"/>
          <w:szCs w:val="32"/>
          <w:lang w:eastAsia="zh-CN"/>
          <w14:textFill>
            <w14:solidFill>
              <w14:schemeClr w14:val="tx1"/>
            </w14:solidFill>
          </w14:textFill>
        </w:rPr>
        <w:t>）</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0288" behindDoc="0" locked="0" layoutInCell="1" allowOverlap="1">
            <wp:simplePos x="0" y="0"/>
            <wp:positionH relativeFrom="column">
              <wp:posOffset>38100</wp:posOffset>
            </wp:positionH>
            <wp:positionV relativeFrom="paragraph">
              <wp:posOffset>250190</wp:posOffset>
            </wp:positionV>
            <wp:extent cx="5330825" cy="2600960"/>
            <wp:effectExtent l="0" t="0" r="3175" b="889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27" w:name="_Toc15396604"/>
      <w:bookmarkStart w:id="28" w:name="_Toc13079"/>
      <w:bookmarkStart w:id="29" w:name="_Toc15377206"/>
      <w:r>
        <w:rPr>
          <w:rFonts w:hint="eastAsia" w:ascii="黑体" w:hAnsi="黑体" w:eastAsia="黑体" w:cs="黑体"/>
          <w:b w:val="0"/>
          <w:bCs w:val="0"/>
          <w:lang w:eastAsia="zh-CN"/>
        </w:rPr>
        <w:t>二、</w:t>
      </w:r>
      <w:r>
        <w:rPr>
          <w:rFonts w:hint="eastAsia" w:ascii="黑体" w:hAnsi="黑体" w:eastAsia="黑体" w:cs="黑体"/>
          <w:b w:val="0"/>
          <w:bCs w:val="0"/>
        </w:rPr>
        <w:t>收入决算情况说明</w:t>
      </w:r>
      <w:bookmarkEnd w:id="27"/>
      <w:bookmarkEnd w:id="28"/>
      <w:bookmarkEnd w:id="29"/>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3210.75万元，其中：一般公共预算财政拨款收入3210.75万元，占100%；政府性基金预算财政拨款收入0万元，占0%；上级补助收入0万元，占0%；事业收入0万元，占0%；经营收入0万元，占0%；附属单位上缴收入0万元，占0%；其他收入0万元，占0%。</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图2：收入决算结构图</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单位：万元</w:t>
      </w:r>
      <w:r>
        <w:rPr>
          <w:rFonts w:hint="eastAsia" w:ascii="仿宋" w:hAnsi="仿宋" w:eastAsia="仿宋"/>
          <w:b/>
          <w:bCs/>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ascii="仿宋_GB2312" w:eastAsia="仿宋_GB2312"/>
          <w:color w:val="FF0000"/>
          <w:sz w:val="32"/>
          <w:szCs w:val="32"/>
          <w:highlight w:val="yellow"/>
        </w:rPr>
      </w:pPr>
      <w:r>
        <w:rPr>
          <w:rFonts w:ascii="仿宋_GB2312" w:eastAsia="仿宋_GB2312"/>
          <w:color w:val="FF0000"/>
          <w:sz w:val="32"/>
          <w:szCs w:val="32"/>
          <w:highlight w:val="yellow"/>
        </w:rPr>
        <w:drawing>
          <wp:anchor distT="0" distB="0" distL="114300" distR="114300" simplePos="0" relativeHeight="251661312" behindDoc="0" locked="0" layoutInCell="1" allowOverlap="1">
            <wp:simplePos x="0" y="0"/>
            <wp:positionH relativeFrom="column">
              <wp:posOffset>76200</wp:posOffset>
            </wp:positionH>
            <wp:positionV relativeFrom="paragraph">
              <wp:posOffset>58420</wp:posOffset>
            </wp:positionV>
            <wp:extent cx="4988560" cy="2819400"/>
            <wp:effectExtent l="0" t="0" r="254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0" w:name="_Toc15377207"/>
      <w:bookmarkStart w:id="31" w:name="_Toc15665"/>
      <w:bookmarkStart w:id="32" w:name="_Toc15396605"/>
      <w:r>
        <w:rPr>
          <w:rFonts w:hint="eastAsia" w:ascii="黑体" w:hAnsi="黑体" w:eastAsia="黑体" w:cs="黑体"/>
          <w:b w:val="0"/>
          <w:bCs w:val="0"/>
          <w:lang w:eastAsia="zh-CN"/>
        </w:rPr>
        <w:t>三、</w:t>
      </w:r>
      <w:r>
        <w:rPr>
          <w:rFonts w:hint="eastAsia" w:ascii="黑体" w:hAnsi="黑体" w:eastAsia="黑体" w:cs="黑体"/>
          <w:b w:val="0"/>
          <w:bCs w:val="0"/>
        </w:rPr>
        <w:t>支出决算情况说明</w:t>
      </w:r>
      <w:bookmarkEnd w:id="30"/>
      <w:bookmarkEnd w:id="31"/>
      <w:bookmarkEnd w:id="32"/>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2020年本年支出合计3210.75万元，其中：基本支出317.10万元，占9.88%；项目支出2893.65万元，占90.12%；上缴上级支出0万元，占0%；经营支出0万元，占0%；对附属单位补助支出0万元，占0%。</w:t>
      </w:r>
    </w:p>
    <w:p>
      <w:pPr>
        <w:spacing w:line="600" w:lineRule="exact"/>
        <w:jc w:val="center"/>
        <w:rPr>
          <w:rFonts w:hint="eastAsia" w:ascii="仿宋" w:hAnsi="仿宋" w:eastAsia="仿宋"/>
          <w:color w:val="000000" w:themeColor="text1"/>
          <w:sz w:val="32"/>
          <w:szCs w:val="32"/>
          <w:highlight w:val="yellow"/>
          <w14:textFill>
            <w14:solidFill>
              <w14:schemeClr w14:val="tx1"/>
            </w14:solidFill>
          </w14:textFill>
        </w:rPr>
      </w:pPr>
      <w:r>
        <w:rPr>
          <w:rFonts w:hint="eastAsia"/>
        </w:rPr>
        <w:drawing>
          <wp:anchor distT="0" distB="0" distL="114300" distR="114300" simplePos="0" relativeHeight="251664384" behindDoc="0" locked="0" layoutInCell="1" allowOverlap="1">
            <wp:simplePos x="0" y="0"/>
            <wp:positionH relativeFrom="column">
              <wp:posOffset>227330</wp:posOffset>
            </wp:positionH>
            <wp:positionV relativeFrom="paragraph">
              <wp:posOffset>503555</wp:posOffset>
            </wp:positionV>
            <wp:extent cx="5064125" cy="2735580"/>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bCs/>
          <w:color w:val="000000" w:themeColor="text1"/>
          <w:sz w:val="32"/>
          <w:szCs w:val="32"/>
          <w:highlight w:val="none"/>
          <w14:textFill>
            <w14:solidFill>
              <w14:schemeClr w14:val="tx1"/>
            </w14:solidFill>
          </w14:textFill>
        </w:rPr>
        <w:t>图3：支出决算结构图</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单位：万元</w:t>
      </w:r>
      <w:r>
        <w:rPr>
          <w:rFonts w:hint="eastAsia" w:ascii="仿宋" w:hAnsi="仿宋" w:eastAsia="仿宋"/>
          <w:b/>
          <w:bCs/>
          <w:color w:val="000000" w:themeColor="text1"/>
          <w:sz w:val="32"/>
          <w:szCs w:val="32"/>
          <w:highlight w:val="none"/>
          <w:lang w:eastAsia="zh-CN"/>
          <w14:textFill>
            <w14:solidFill>
              <w14:schemeClr w14:val="tx1"/>
            </w14:solidFill>
          </w14:textFill>
        </w:rPr>
        <w:t>）</w:t>
      </w:r>
    </w:p>
    <w:p>
      <w:pPr>
        <w:pStyle w:val="2"/>
        <w:rPr>
          <w:rFonts w:hint="eastAsia" w:ascii="仿宋" w:hAnsi="仿宋" w:eastAsia="仿宋"/>
          <w:color w:val="000000" w:themeColor="text1"/>
          <w:sz w:val="32"/>
          <w:szCs w:val="32"/>
          <w14:textFill>
            <w14:solidFill>
              <w14:schemeClr w14:val="tx1"/>
            </w14:solidFill>
          </w14:textFill>
        </w:rPr>
      </w:pP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3" w:name="_Toc15377208"/>
      <w:bookmarkStart w:id="34" w:name="_Toc15396606"/>
      <w:bookmarkStart w:id="35" w:name="_Toc26643"/>
      <w:r>
        <w:rPr>
          <w:rFonts w:hint="eastAsia" w:ascii="黑体" w:hAnsi="黑体" w:eastAsia="黑体" w:cs="黑体"/>
          <w:b w:val="0"/>
          <w:bCs w:val="0"/>
          <w:lang w:eastAsia="zh-CN"/>
        </w:rPr>
        <w:t>四、</w:t>
      </w:r>
      <w:r>
        <w:rPr>
          <w:rFonts w:hint="eastAsia" w:ascii="黑体" w:hAnsi="黑体" w:eastAsia="黑体" w:cs="黑体"/>
          <w:b w:val="0"/>
          <w:bCs w:val="0"/>
        </w:rPr>
        <w:t>财政拨款收入支出决算总体情况说明</w:t>
      </w:r>
      <w:bookmarkEnd w:id="33"/>
      <w:bookmarkEnd w:id="34"/>
      <w:bookmarkEnd w:id="35"/>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2020年财政拨款收、支总计3210.75万元。与2019年相比，财政拨款收、支总计各增加436.63万元，增长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pStyle w:val="6"/>
        <w:rPr>
          <w:rFonts w:hint="eastAsia"/>
        </w:rPr>
      </w:pPr>
    </w:p>
    <w:p>
      <w:pPr>
        <w:spacing w:line="600" w:lineRule="exact"/>
        <w:jc w:val="center"/>
        <w:rPr>
          <w:rFonts w:hint="eastAsia" w:ascii="仿宋_GB2312" w:hAnsi="仿宋_GB2312" w:eastAsia="仿宋_GB2312" w:cs="仿宋_GB2312"/>
          <w:b/>
          <w:bCs/>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val="0"/>
          <w:bCs w:val="0"/>
          <w:highlight w:val="none"/>
        </w:rPr>
        <w:drawing>
          <wp:anchor distT="0" distB="0" distL="114300" distR="114300" simplePos="0" relativeHeight="251661312" behindDoc="0" locked="0" layoutInCell="1" allowOverlap="1">
            <wp:simplePos x="0" y="0"/>
            <wp:positionH relativeFrom="column">
              <wp:posOffset>95250</wp:posOffset>
            </wp:positionH>
            <wp:positionV relativeFrom="paragraph">
              <wp:posOffset>802005</wp:posOffset>
            </wp:positionV>
            <wp:extent cx="5132070" cy="2733675"/>
            <wp:effectExtent l="0" t="0" r="1143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图4：财政拨款收、支决算总计变动情况</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单位：万元</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pPr>
        <w:pStyle w:val="6"/>
        <w:rPr>
          <w:rFonts w:hint="eastAsia"/>
        </w:rPr>
      </w:pP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6" w:name="_Toc26122"/>
      <w:bookmarkStart w:id="37" w:name="_Toc15377209"/>
      <w:bookmarkStart w:id="38" w:name="_Toc15396607"/>
      <w:r>
        <w:rPr>
          <w:rFonts w:hint="eastAsia" w:ascii="黑体" w:hAnsi="黑体" w:eastAsia="黑体" w:cs="黑体"/>
          <w:b w:val="0"/>
          <w:bCs w:val="0"/>
          <w:lang w:eastAsia="zh-CN"/>
        </w:rPr>
        <w:t>五、</w:t>
      </w:r>
      <w:r>
        <w:rPr>
          <w:rFonts w:hint="eastAsia" w:ascii="黑体" w:hAnsi="黑体" w:eastAsia="黑体" w:cs="黑体"/>
          <w:b w:val="0"/>
          <w:bCs w:val="0"/>
        </w:rPr>
        <w:t>一般公共预算财政拨款支出决算情况说明</w:t>
      </w:r>
      <w:bookmarkEnd w:id="36"/>
      <w:bookmarkEnd w:id="37"/>
      <w:bookmarkEnd w:id="38"/>
    </w:p>
    <w:p>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sz w:val="32"/>
          <w:szCs w:val="32"/>
        </w:rPr>
      </w:pPr>
      <w:bookmarkStart w:id="39" w:name="_Toc15377210"/>
      <w:r>
        <w:rPr>
          <w:rFonts w:hint="eastAsia" w:ascii="仿宋_GB2312" w:hAnsi="仿宋_GB2312" w:eastAsia="仿宋_GB2312" w:cs="仿宋_GB2312"/>
          <w:b/>
          <w:sz w:val="32"/>
          <w:szCs w:val="32"/>
        </w:rPr>
        <w:t>（一）一般公共预算财政拨款支出决算总体情况</w:t>
      </w:r>
      <w:bookmarkEnd w:id="39"/>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2020年一般公共预算财政拨款支出3210.75万元，占本年支出合计的100%。与2019年相比，一般公共预算财政拨款增加436.63万元，增长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pStyle w:val="2"/>
        <w:jc w:val="both"/>
        <w:rPr>
          <w:rFonts w:hint="eastAsia" w:eastAsia="仿宋"/>
          <w:b/>
          <w:bCs/>
          <w:sz w:val="30"/>
          <w:szCs w:val="30"/>
          <w:highlight w:val="yellow"/>
          <w:lang w:eastAsia="zh-CN"/>
        </w:rPr>
      </w:pPr>
      <w:r>
        <w:rPr>
          <w:rFonts w:hint="eastAsia" w:ascii="仿宋" w:hAnsi="仿宋" w:eastAsia="仿宋"/>
          <w:b/>
          <w:bCs/>
          <w:color w:val="000000" w:themeColor="text1"/>
          <w:sz w:val="30"/>
          <w:szCs w:val="30"/>
          <w:highlight w:val="none"/>
          <w14:textFill>
            <w14:solidFill>
              <w14:schemeClr w14:val="tx1"/>
            </w14:solidFill>
          </w14:textFill>
        </w:rPr>
        <w:t>图5：一般公共预算财政拨款支出决算变动情况</w:t>
      </w:r>
      <w:r>
        <w:rPr>
          <w:rFonts w:hint="eastAsia" w:ascii="仿宋" w:hAnsi="仿宋" w:eastAsia="仿宋"/>
          <w:b/>
          <w:bCs/>
          <w:color w:val="000000" w:themeColor="text1"/>
          <w:sz w:val="30"/>
          <w:szCs w:val="30"/>
          <w:highlight w:val="none"/>
          <w:lang w:eastAsia="zh-CN"/>
          <w14:textFill>
            <w14:solidFill>
              <w14:schemeClr w14:val="tx1"/>
            </w14:solidFill>
          </w14:textFill>
        </w:rPr>
        <w:t>（</w:t>
      </w:r>
      <w:r>
        <w:rPr>
          <w:rFonts w:hint="eastAsia" w:ascii="仿宋" w:hAnsi="仿宋" w:eastAsia="仿宋"/>
          <w:b/>
          <w:bCs/>
          <w:color w:val="000000" w:themeColor="text1"/>
          <w:sz w:val="30"/>
          <w:szCs w:val="30"/>
          <w:highlight w:val="none"/>
          <w:lang w:val="en-US" w:eastAsia="zh-CN"/>
          <w14:textFill>
            <w14:solidFill>
              <w14:schemeClr w14:val="tx1"/>
            </w14:solidFill>
          </w14:textFill>
        </w:rPr>
        <w:t>单位：万元</w:t>
      </w:r>
      <w:r>
        <w:rPr>
          <w:rFonts w:hint="eastAsia" w:ascii="仿宋" w:hAnsi="仿宋" w:eastAsia="仿宋"/>
          <w:b/>
          <w:bCs/>
          <w:color w:val="000000" w:themeColor="text1"/>
          <w:sz w:val="30"/>
          <w:szCs w:val="30"/>
          <w:highlight w:val="none"/>
          <w:lang w:eastAsia="zh-CN"/>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9525</wp:posOffset>
            </wp:positionH>
            <wp:positionV relativeFrom="paragraph">
              <wp:posOffset>380365</wp:posOffset>
            </wp:positionV>
            <wp:extent cx="5274310" cy="2377440"/>
            <wp:effectExtent l="0" t="0" r="2540" b="381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0" w:name="_Toc15377211"/>
      <w:r>
        <w:rPr>
          <w:rFonts w:hint="eastAsia" w:ascii="仿宋_GB2312" w:hAnsi="仿宋_GB2312" w:eastAsia="仿宋_GB2312" w:cs="仿宋_GB2312"/>
          <w:b/>
          <w:color w:val="000000"/>
          <w:sz w:val="32"/>
          <w:szCs w:val="32"/>
        </w:rPr>
        <w:t>（二）一般公共预算财政拨款支出决算结构情况</w:t>
      </w:r>
      <w:bookmarkEnd w:id="40"/>
    </w:p>
    <w:p>
      <w:pPr>
        <w:spacing w:line="600" w:lineRule="exact"/>
        <w:ind w:firstLine="640"/>
        <w:rPr>
          <w:rFonts w:hint="eastAsia"/>
        </w:rPr>
      </w:pPr>
      <w:r>
        <w:rPr>
          <w:rFonts w:hint="eastAsia" w:ascii="仿宋_GB2312" w:hAnsi="仿宋_GB2312" w:eastAsia="仿宋_GB2312" w:cs="仿宋_GB2312"/>
          <w:color w:val="000000"/>
          <w:sz w:val="32"/>
          <w:szCs w:val="32"/>
        </w:rPr>
        <w:t>2020年一般公共预算财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政拨款支出3210.75万元，主要用于以下方面: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支出3110.45万元，占96.88%；</w:t>
      </w:r>
      <w:r>
        <w:rPr>
          <w:rFonts w:hint="eastAsia" w:ascii="仿宋_GB2312" w:hAnsi="仿宋_GB2312" w:eastAsia="仿宋_GB2312" w:cs="仿宋_GB2312"/>
          <w:b/>
          <w:color w:val="000000" w:themeColor="text1"/>
          <w:sz w:val="32"/>
          <w:szCs w:val="32"/>
          <w14:textFill>
            <w14:solidFill>
              <w14:schemeClr w14:val="tx1"/>
            </w14:solidFill>
          </w14:textFill>
        </w:rPr>
        <w:t>教育支出（类）</w:t>
      </w:r>
      <w:r>
        <w:rPr>
          <w:rFonts w:hint="eastAsia" w:ascii="仿宋_GB2312" w:hAnsi="仿宋_GB2312" w:eastAsia="仿宋_GB2312" w:cs="仿宋_GB2312"/>
          <w:color w:val="000000" w:themeColor="text1"/>
          <w:sz w:val="32"/>
          <w:szCs w:val="32"/>
          <w14:textFill>
            <w14:solidFill>
              <w14:schemeClr w14:val="tx1"/>
            </w14:solidFill>
          </w14:textFill>
        </w:rPr>
        <w:t>0万元，占0%；</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支出0万元，占0%；</w:t>
      </w:r>
      <w:r>
        <w:rPr>
          <w:rFonts w:hint="eastAsia" w:ascii="仿宋_GB2312" w:hAnsi="仿宋_GB2312" w:eastAsia="仿宋_GB2312" w:cs="仿宋_GB2312"/>
          <w:b/>
          <w:bCs/>
          <w:color w:val="000000" w:themeColor="text1"/>
          <w:sz w:val="32"/>
          <w:szCs w:val="32"/>
          <w14:textFill>
            <w14:solidFill>
              <w14:schemeClr w14:val="tx1"/>
            </w14:solidFill>
          </w14:textFill>
        </w:rPr>
        <w:t>文化旅游体育与传媒（类）支出0万元，占0%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支出34.62万元，占1.08%；</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19.35万元，占0.6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46.33万元，占1.44%。</w:t>
      </w:r>
    </w:p>
    <w:p>
      <w:pPr>
        <w:pStyle w:val="2"/>
        <w:ind w:firstLine="320" w:firstLineChars="100"/>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191135</wp:posOffset>
            </wp:positionH>
            <wp:positionV relativeFrom="paragraph">
              <wp:posOffset>549910</wp:posOffset>
            </wp:positionV>
            <wp:extent cx="4921250" cy="2133600"/>
            <wp:effectExtent l="0" t="0" r="50800" b="38100"/>
            <wp:wrapTight wrapText="bothSides">
              <wp:wrapPolygon>
                <wp:start x="0" y="0"/>
                <wp:lineTo x="0" y="21407"/>
                <wp:lineTo x="21489" y="21407"/>
                <wp:lineTo x="21489"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b/>
          <w:bCs/>
          <w:color w:val="000000"/>
          <w:sz w:val="32"/>
          <w:szCs w:val="32"/>
          <w:highlight w:val="none"/>
        </w:rPr>
        <w:t>图6：一般公共预算财政拨款支出决算结构</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单位：万元</w:t>
      </w:r>
      <w:r>
        <w:rPr>
          <w:rFonts w:hint="eastAsia" w:ascii="仿宋_GB2312" w:hAnsi="仿宋_GB2312" w:eastAsia="仿宋_GB2312" w:cs="仿宋_GB2312"/>
          <w:b/>
          <w:bCs/>
          <w:color w:val="000000"/>
          <w:sz w:val="32"/>
          <w:szCs w:val="32"/>
          <w:highlight w:val="none"/>
          <w:lang w:eastAsia="zh-CN"/>
        </w:rPr>
        <w:t>）</w:t>
      </w:r>
    </w:p>
    <w:p>
      <w:pPr>
        <w:spacing w:line="600" w:lineRule="exact"/>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1" w:name="_Toc15377212"/>
      <w:r>
        <w:rPr>
          <w:rFonts w:hint="eastAsia" w:ascii="仿宋_GB2312" w:hAnsi="仿宋_GB2312" w:eastAsia="仿宋_GB2312" w:cs="仿宋_GB2312"/>
          <w:b/>
          <w:color w:val="000000"/>
          <w:sz w:val="32"/>
          <w:szCs w:val="32"/>
        </w:rPr>
        <w:t>（三）一般公共预算财政拨款支出决算具体情况</w:t>
      </w:r>
      <w:bookmarkEnd w:id="41"/>
    </w:p>
    <w:p>
      <w:pPr>
        <w:spacing w:line="600" w:lineRule="exact"/>
        <w:ind w:firstLine="643" w:firstLineChars="200"/>
        <w:rPr>
          <w:rFonts w:hint="eastAsia" w:ascii="仿宋_GB2312" w:hAnsi="仿宋_GB2312" w:eastAsia="仿宋_GB2312" w:cs="仿宋_GB2312"/>
          <w:b/>
          <w:bCs/>
          <w:sz w:val="32"/>
          <w:szCs w:val="32"/>
        </w:rPr>
      </w:pPr>
      <w:bookmarkStart w:id="42" w:name="_Toc15377444"/>
      <w:bookmarkStart w:id="43" w:name="_Toc15377213"/>
      <w:bookmarkStart w:id="44" w:name="_Toc15378460"/>
      <w:r>
        <w:rPr>
          <w:rFonts w:hint="eastAsia" w:ascii="仿宋_GB2312" w:hAnsi="仿宋_GB2312" w:eastAsia="仿宋_GB2312" w:cs="仿宋_GB2312"/>
          <w:b/>
          <w:bCs/>
          <w:sz w:val="32"/>
          <w:szCs w:val="32"/>
        </w:rPr>
        <w:t>2020年一般公共预算支出决算数为3210.75，完成预算</w:t>
      </w:r>
      <w:r>
        <w:rPr>
          <w:rFonts w:hint="eastAsia" w:ascii="仿宋_GB2312" w:hAnsi="仿宋_GB2312" w:eastAsia="仿宋_GB2312" w:cs="仿宋_GB2312"/>
          <w:b/>
          <w:bCs/>
          <w:sz w:val="32"/>
          <w:szCs w:val="32"/>
          <w:lang w:val="en-US" w:eastAsia="zh-CN"/>
        </w:rPr>
        <w:t>51.83</w:t>
      </w:r>
      <w:r>
        <w:rPr>
          <w:rFonts w:hint="eastAsia" w:ascii="仿宋_GB2312" w:hAnsi="仿宋_GB2312" w:eastAsia="仿宋_GB2312" w:cs="仿宋_GB2312"/>
          <w:b/>
          <w:bCs/>
          <w:sz w:val="32"/>
          <w:szCs w:val="32"/>
        </w:rPr>
        <w:t>%。其中：</w:t>
      </w:r>
      <w:bookmarkEnd w:id="42"/>
      <w:bookmarkEnd w:id="43"/>
      <w:bookmarkEnd w:id="44"/>
    </w:p>
    <w:p>
      <w:pPr>
        <w:pageBreakBefore w:val="0"/>
        <w:numPr>
          <w:ilvl w:val="0"/>
          <w:numId w:val="0"/>
        </w:numPr>
        <w:kinsoku/>
        <w:wordWrap/>
        <w:overflowPunct/>
        <w:topLinePunct w:val="0"/>
        <w:bidi w:val="0"/>
        <w:spacing w:line="560" w:lineRule="exact"/>
        <w:ind w:right="0"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Style w:val="15"/>
          <w:rFonts w:hint="eastAsia" w:ascii="仿宋_GB2312" w:hAnsi="仿宋_GB2312" w:eastAsia="仿宋_GB2312" w:cs="仿宋_GB2312"/>
          <w:bCs/>
          <w:color w:val="000000"/>
          <w:sz w:val="32"/>
          <w:szCs w:val="32"/>
        </w:rPr>
        <w:t>1.一般公共服务（类）财政事务（款）机关服务（项）:</w:t>
      </w:r>
      <w:r>
        <w:rPr>
          <w:rStyle w:val="15"/>
          <w:rFonts w:hint="eastAsia" w:ascii="仿宋_GB2312" w:hAnsi="仿宋_GB2312" w:eastAsia="仿宋_GB2312" w:cs="仿宋_GB2312"/>
          <w:b w:val="0"/>
          <w:bCs/>
          <w:color w:val="000000"/>
          <w:sz w:val="32"/>
          <w:szCs w:val="32"/>
        </w:rPr>
        <w:t xml:space="preserve"> 支出决算为216.80万元，完成预算</w:t>
      </w:r>
      <w:r>
        <w:rPr>
          <w:rStyle w:val="15"/>
          <w:rFonts w:hint="eastAsia" w:ascii="仿宋_GB2312" w:hAnsi="仿宋_GB2312" w:eastAsia="仿宋_GB2312" w:cs="仿宋_GB2312"/>
          <w:b w:val="0"/>
          <w:bCs/>
          <w:color w:val="000000"/>
          <w:sz w:val="32"/>
          <w:szCs w:val="32"/>
          <w:lang w:val="en-US" w:eastAsia="zh-CN"/>
        </w:rPr>
        <w:t>84.36</w:t>
      </w:r>
      <w:r>
        <w:rPr>
          <w:rStyle w:val="1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kern w:val="0"/>
          <w:sz w:val="32"/>
          <w:szCs w:val="32"/>
          <w:lang w:val="en-US" w:eastAsia="zh-CN" w:bidi="ar-SA"/>
        </w:rPr>
        <w:t>决算数小于预算数的主要原因是继续积极贯彻落实中央八项规定及省委省政府十项规定，要求加强事业单位日常经费管理。</w:t>
      </w:r>
    </w:p>
    <w:p>
      <w:pPr>
        <w:spacing w:line="600" w:lineRule="exact"/>
        <w:ind w:firstLine="643" w:firstLineChars="200"/>
        <w:rPr>
          <w:rFonts w:hint="eastAsia" w:ascii="仿宋_GB2312" w:hAnsi="仿宋_GB2312" w:eastAsia="仿宋_GB2312" w:cs="仿宋_GB2312"/>
          <w:b/>
          <w:color w:val="auto"/>
          <w:sz w:val="32"/>
          <w:szCs w:val="32"/>
          <w:highlight w:val="yellow"/>
          <w:lang w:val="en-US" w:eastAsia="zh-CN"/>
        </w:rPr>
      </w:pPr>
      <w:r>
        <w:rPr>
          <w:rStyle w:val="15"/>
          <w:rFonts w:hint="eastAsia" w:ascii="仿宋_GB2312" w:hAnsi="仿宋_GB2312" w:eastAsia="仿宋_GB2312" w:cs="仿宋_GB2312"/>
          <w:bCs/>
          <w:color w:val="000000"/>
          <w:sz w:val="32"/>
          <w:szCs w:val="32"/>
        </w:rPr>
        <w:t>2.一般公共服务（类）财政事务（款）信息化建设（项）:</w:t>
      </w:r>
      <w:r>
        <w:rPr>
          <w:rStyle w:val="15"/>
          <w:rFonts w:hint="eastAsia" w:ascii="仿宋_GB2312" w:hAnsi="仿宋_GB2312" w:eastAsia="仿宋_GB2312" w:cs="仿宋_GB2312"/>
          <w:b w:val="0"/>
          <w:bCs/>
          <w:color w:val="000000"/>
          <w:sz w:val="32"/>
          <w:szCs w:val="32"/>
        </w:rPr>
        <w:t xml:space="preserve"> 支出决算为2893.65万元，完成预算</w:t>
      </w:r>
      <w:r>
        <w:rPr>
          <w:rStyle w:val="15"/>
          <w:rFonts w:hint="eastAsia" w:ascii="仿宋_GB2312" w:hAnsi="仿宋_GB2312" w:eastAsia="仿宋_GB2312" w:cs="仿宋_GB2312"/>
          <w:b w:val="0"/>
          <w:bCs/>
          <w:color w:val="000000"/>
          <w:sz w:val="32"/>
          <w:szCs w:val="32"/>
          <w:lang w:val="en-US" w:eastAsia="zh-CN"/>
        </w:rPr>
        <w:t>49.57</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部分信息化项目存在一定建设周期，按合同2020年度未达到支付全款条件。</w:t>
      </w:r>
    </w:p>
    <w:p>
      <w:pPr>
        <w:spacing w:line="600" w:lineRule="exact"/>
        <w:ind w:firstLine="643" w:firstLineChars="200"/>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3.社会保障和就业（类）行政事业单位养老支出（款）事业单位离退休（项）:</w:t>
      </w:r>
      <w:r>
        <w:rPr>
          <w:rStyle w:val="15"/>
          <w:rFonts w:hint="eastAsia" w:ascii="仿宋_GB2312" w:hAnsi="仿宋_GB2312" w:eastAsia="仿宋_GB2312" w:cs="仿宋_GB2312"/>
          <w:b w:val="0"/>
          <w:bCs/>
          <w:color w:val="000000"/>
          <w:sz w:val="32"/>
          <w:szCs w:val="32"/>
        </w:rPr>
        <w:t xml:space="preserve"> 支出决算为4.4万元，完成预算</w:t>
      </w:r>
      <w:r>
        <w:rPr>
          <w:rStyle w:val="15"/>
          <w:rFonts w:hint="eastAsia" w:ascii="仿宋_GB2312" w:hAnsi="仿宋_GB2312" w:eastAsia="仿宋_GB2312" w:cs="仿宋_GB2312"/>
          <w:b w:val="0"/>
          <w:bCs/>
          <w:color w:val="000000"/>
          <w:sz w:val="32"/>
          <w:szCs w:val="32"/>
          <w:lang w:val="en-US" w:eastAsia="zh-CN"/>
        </w:rPr>
        <w:t>97.78</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4.社会保障和就业（类）行政事业单位养老支出（款）机关事业单位基本养老保险缴费支出（项）:</w:t>
      </w:r>
      <w:r>
        <w:rPr>
          <w:rStyle w:val="15"/>
          <w:rFonts w:hint="eastAsia" w:ascii="仿宋_GB2312" w:hAnsi="仿宋_GB2312" w:eastAsia="仿宋_GB2312" w:cs="仿宋_GB2312"/>
          <w:b w:val="0"/>
          <w:bCs/>
          <w:color w:val="000000"/>
          <w:sz w:val="32"/>
          <w:szCs w:val="32"/>
        </w:rPr>
        <w:t xml:space="preserve"> 支出决算为20.15万元，完成预算100%。</w:t>
      </w:r>
    </w:p>
    <w:p>
      <w:pPr>
        <w:spacing w:line="600" w:lineRule="exact"/>
        <w:ind w:firstLine="643" w:firstLineChars="200"/>
        <w:rPr>
          <w:rStyle w:val="15"/>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5.社会保障和就业（类）行政事业单位养老支出（款）机关事业单位职业年金缴费支出（项）:</w:t>
      </w:r>
      <w:r>
        <w:rPr>
          <w:rStyle w:val="15"/>
          <w:rFonts w:hint="eastAsia" w:ascii="仿宋_GB2312" w:hAnsi="仿宋_GB2312" w:eastAsia="仿宋_GB2312" w:cs="仿宋_GB2312"/>
          <w:b w:val="0"/>
          <w:bCs/>
          <w:color w:val="000000"/>
          <w:sz w:val="32"/>
          <w:szCs w:val="32"/>
        </w:rPr>
        <w:t xml:space="preserve"> 支出决算为10.07万元，完成预算100%。</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6.</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5"/>
          <w:rFonts w:hint="eastAsia" w:ascii="仿宋_GB2312" w:hAnsi="仿宋_GB2312" w:eastAsia="仿宋_GB2312" w:cs="仿宋_GB2312"/>
          <w:bCs/>
          <w:color w:val="000000"/>
          <w:sz w:val="32"/>
          <w:szCs w:val="32"/>
        </w:rPr>
        <w:t>（类）行政事业单位医疗（款）事业单位医疗（项）:</w:t>
      </w:r>
      <w:r>
        <w:rPr>
          <w:rStyle w:val="15"/>
          <w:rFonts w:hint="eastAsia" w:ascii="仿宋_GB2312" w:hAnsi="仿宋_GB2312" w:eastAsia="仿宋_GB2312" w:cs="仿宋_GB2312"/>
          <w:b w:val="0"/>
          <w:bCs/>
          <w:color w:val="000000"/>
          <w:sz w:val="32"/>
          <w:szCs w:val="32"/>
        </w:rPr>
        <w:t>支出决算为19.35万元，完成预算100%。</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7.</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Style w:val="15"/>
          <w:rFonts w:hint="eastAsia" w:ascii="仿宋_GB2312" w:hAnsi="仿宋_GB2312" w:eastAsia="仿宋_GB2312" w:cs="仿宋_GB2312"/>
          <w:bCs/>
          <w:color w:val="000000"/>
          <w:sz w:val="32"/>
          <w:szCs w:val="32"/>
        </w:rPr>
        <w:t>（类）住房改革支出（款）住房公积金（项）:</w:t>
      </w:r>
      <w:r>
        <w:rPr>
          <w:rStyle w:val="15"/>
          <w:rFonts w:hint="eastAsia" w:ascii="仿宋_GB2312" w:hAnsi="仿宋_GB2312" w:eastAsia="仿宋_GB2312" w:cs="仿宋_GB2312"/>
          <w:b w:val="0"/>
          <w:bCs/>
          <w:color w:val="000000"/>
          <w:sz w:val="32"/>
          <w:szCs w:val="32"/>
        </w:rPr>
        <w:t>支出决算为21.18万元，完成预算100%。</w:t>
      </w:r>
    </w:p>
    <w:p>
      <w:pPr>
        <w:spacing w:line="600" w:lineRule="exact"/>
        <w:ind w:firstLine="643" w:firstLineChars="200"/>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8.</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Style w:val="15"/>
          <w:rFonts w:hint="eastAsia" w:ascii="仿宋_GB2312" w:hAnsi="仿宋_GB2312" w:eastAsia="仿宋_GB2312" w:cs="仿宋_GB2312"/>
          <w:bCs/>
          <w:color w:val="000000"/>
          <w:sz w:val="32"/>
          <w:szCs w:val="32"/>
        </w:rPr>
        <w:t>（类）住房改革支出（款）购房补贴（项）:</w:t>
      </w:r>
      <w:r>
        <w:rPr>
          <w:rFonts w:hint="eastAsia" w:ascii="仿宋_GB2312" w:hAnsi="仿宋_GB2312" w:eastAsia="仿宋_GB2312" w:cs="仿宋_GB2312"/>
          <w:color w:val="000000"/>
          <w:sz w:val="32"/>
          <w:szCs w:val="32"/>
        </w:rPr>
        <w:t>支出决算为25.15万元，完成预算100%。</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rPr>
      </w:pPr>
      <w:bookmarkStart w:id="45" w:name="_Toc15377214"/>
      <w:bookmarkStart w:id="46" w:name="_Toc8638"/>
      <w:bookmarkStart w:id="47" w:name="_Toc15396608"/>
      <w:r>
        <w:rPr>
          <w:rFonts w:hint="eastAsia" w:ascii="黑体" w:hAnsi="黑体" w:eastAsia="黑体" w:cs="黑体"/>
          <w:b w:val="0"/>
          <w:bCs w:val="0"/>
          <w:lang w:eastAsia="zh-CN"/>
        </w:rPr>
        <w:t>六、一般公共预算财政拨款基本支出决算情况说明</w:t>
      </w:r>
      <w:bookmarkEnd w:id="45"/>
      <w:bookmarkEnd w:id="46"/>
      <w:bookmarkEnd w:id="47"/>
      <w:r>
        <w:rPr>
          <w:rFonts w:hint="eastAsia" w:ascii="黑体" w:hAnsi="黑体" w:eastAsia="黑体" w:cs="黑体"/>
          <w:b w:val="0"/>
          <w:bCs w:val="0"/>
          <w:lang w:eastAsia="zh-CN"/>
        </w:rPr>
        <w:tab/>
      </w:r>
    </w:p>
    <w:p>
      <w:pPr>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w:t>
      </w:r>
      <w:r>
        <w:rPr>
          <w:rFonts w:hint="eastAsia" w:ascii="仿宋_GB2312" w:hAnsi="仿宋_GB2312" w:eastAsia="仿宋_GB2312" w:cs="仿宋_GB2312"/>
          <w:color w:val="000000"/>
          <w:sz w:val="32"/>
          <w:szCs w:val="32"/>
          <w:lang w:val="en-US" w:eastAsia="zh-CN"/>
        </w:rPr>
        <w:t>317.10</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人员经费300.68万元，主要包括：基本工资、津贴补贴、绩效工资、机关事业单位基本养老保险缴费、职业年金缴费、</w:t>
      </w:r>
      <w:r>
        <w:rPr>
          <w:rFonts w:hint="eastAsia" w:ascii="仿宋_GB2312" w:hAnsi="仿宋_GB2312" w:eastAsia="仿宋_GB2312" w:cs="仿宋_GB2312"/>
          <w:color w:val="auto"/>
          <w:sz w:val="32"/>
          <w:szCs w:val="32"/>
          <w:lang w:val="en-US" w:eastAsia="zh-CN"/>
        </w:rPr>
        <w:t>职工基本医疗保险缴费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其他社会保障缴费、其他工资福利支出、住房公积金、其他对个人和家庭的补助支出等。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sz w:val="32"/>
          <w:szCs w:val="32"/>
        </w:rPr>
        <w:t>公用经费</w:t>
      </w:r>
      <w:r>
        <w:rPr>
          <w:rFonts w:hint="eastAsia" w:ascii="仿宋_GB2312" w:hAnsi="仿宋_GB2312" w:eastAsia="仿宋_GB2312" w:cs="仿宋_GB2312"/>
          <w:color w:val="000000"/>
          <w:sz w:val="32"/>
          <w:szCs w:val="32"/>
          <w:lang w:val="en-US" w:eastAsia="zh-CN"/>
        </w:rPr>
        <w:t>16.42</w:t>
      </w:r>
      <w:r>
        <w:rPr>
          <w:rFonts w:hint="eastAsia" w:ascii="仿宋_GB2312" w:hAnsi="仿宋_GB2312" w:eastAsia="仿宋_GB2312" w:cs="仿宋_GB2312"/>
          <w:color w:val="000000"/>
          <w:sz w:val="32"/>
          <w:szCs w:val="32"/>
        </w:rPr>
        <w:t>万元，主要包括：办公费、差旅费、劳务费、工会经费、福利费、其他商品和服务支出等。</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48" w:name="_Toc15377215"/>
      <w:bookmarkStart w:id="49" w:name="_Toc15396609"/>
      <w:bookmarkStart w:id="50" w:name="_Toc31115"/>
      <w:r>
        <w:rPr>
          <w:rFonts w:hint="eastAsia" w:ascii="黑体" w:hAnsi="黑体" w:eastAsia="黑体" w:cs="黑体"/>
          <w:b w:val="0"/>
          <w:bCs w:val="0"/>
          <w:lang w:eastAsia="zh-CN"/>
        </w:rPr>
        <w:t>七、</w:t>
      </w:r>
      <w:r>
        <w:rPr>
          <w:rFonts w:hint="eastAsia" w:ascii="黑体" w:hAnsi="黑体" w:eastAsia="黑体" w:cs="黑体"/>
          <w:b w:val="0"/>
          <w:bCs w:val="0"/>
        </w:rPr>
        <w:t>“三公”经费财政拨款支出决算情况说明</w:t>
      </w:r>
      <w:bookmarkEnd w:id="48"/>
      <w:bookmarkEnd w:id="49"/>
      <w:bookmarkEnd w:id="50"/>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color w:val="000000"/>
          <w:sz w:val="32"/>
          <w:szCs w:val="32"/>
        </w:rPr>
      </w:pPr>
      <w:r>
        <w:rPr>
          <w:rFonts w:hint="eastAsia" w:ascii="仿宋_GB2312" w:eastAsia="仿宋_GB2312"/>
          <w:color w:val="000000"/>
          <w:sz w:val="32"/>
          <w:szCs w:val="32"/>
        </w:rPr>
        <w:t>2020年“三公”经费财政拨款支出为0万元。</w:t>
      </w:r>
      <w:bookmarkStart w:id="51" w:name="_Toc15396610"/>
      <w:bookmarkStart w:id="52" w:name="_Toc15377218"/>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3" w:name="_Toc3668"/>
      <w:r>
        <w:rPr>
          <w:rFonts w:hint="eastAsia" w:ascii="黑体" w:hAnsi="黑体" w:eastAsia="黑体" w:cs="黑体"/>
          <w:b w:val="0"/>
          <w:bCs w:val="0"/>
          <w:lang w:eastAsia="zh-CN"/>
        </w:rPr>
        <w:t>八、</w:t>
      </w:r>
      <w:r>
        <w:rPr>
          <w:rFonts w:hint="eastAsia" w:ascii="黑体" w:hAnsi="黑体" w:eastAsia="黑体" w:cs="黑体"/>
          <w:b w:val="0"/>
          <w:bCs w:val="0"/>
        </w:rPr>
        <w:t>政府性基金预算支出决算情况说明</w:t>
      </w:r>
      <w:bookmarkEnd w:id="51"/>
      <w:bookmarkEnd w:id="52"/>
      <w:bookmarkEnd w:id="53"/>
    </w:p>
    <w:p>
      <w:pPr>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w:t>
      </w:r>
      <w:r>
        <w:rPr>
          <w:rFonts w:hint="eastAsia" w:ascii="仿宋_GB2312" w:eastAsia="仿宋_GB2312"/>
          <w:sz w:val="32"/>
          <w:szCs w:val="32"/>
        </w:rPr>
        <w:t>财政</w:t>
      </w:r>
      <w:r>
        <w:rPr>
          <w:rFonts w:hint="eastAsia" w:ascii="仿宋_GB2312" w:eastAsia="仿宋_GB2312"/>
          <w:color w:val="000000"/>
          <w:sz w:val="32"/>
          <w:szCs w:val="32"/>
        </w:rPr>
        <w:t>拨款支出0万元。</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4" w:name="_Toc15396611"/>
      <w:bookmarkStart w:id="55" w:name="_Toc15377219"/>
      <w:bookmarkStart w:id="56" w:name="_Toc1177"/>
      <w:r>
        <w:rPr>
          <w:rFonts w:hint="eastAsia" w:ascii="黑体" w:hAnsi="黑体" w:eastAsia="黑体" w:cs="黑体"/>
          <w:b w:val="0"/>
          <w:bCs w:val="0"/>
          <w:lang w:eastAsia="zh-CN"/>
        </w:rPr>
        <w:t>九、</w:t>
      </w:r>
      <w:r>
        <w:rPr>
          <w:rFonts w:hint="eastAsia" w:ascii="黑体" w:hAnsi="黑体" w:eastAsia="黑体" w:cs="黑体"/>
          <w:b w:val="0"/>
          <w:bCs w:val="0"/>
        </w:rPr>
        <w:t>国有资本经营预算支出决算情况说明</w:t>
      </w:r>
      <w:bookmarkEnd w:id="54"/>
      <w:bookmarkEnd w:id="55"/>
      <w:bookmarkEnd w:id="56"/>
    </w:p>
    <w:p>
      <w:pPr>
        <w:pageBreakBefore w:val="0"/>
        <w:widowControl w:val="0"/>
        <w:kinsoku/>
        <w:wordWrap/>
        <w:overflowPunct/>
        <w:topLinePunct w:val="0"/>
        <w:autoSpaceDE/>
        <w:autoSpaceDN/>
        <w:bidi w:val="0"/>
        <w:adjustRightInd/>
        <w:snapToGrid/>
        <w:spacing w:line="600" w:lineRule="exact"/>
        <w:ind w:firstLine="640"/>
        <w:textAlignment w:val="auto"/>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20年国有资本经营预</w:t>
      </w:r>
      <w:r>
        <w:rPr>
          <w:rFonts w:hint="eastAsia" w:ascii="仿宋_GB2312" w:eastAsia="仿宋_GB2312"/>
          <w:sz w:val="32"/>
          <w:szCs w:val="32"/>
        </w:rPr>
        <w:t>算财政拨</w:t>
      </w:r>
      <w:r>
        <w:rPr>
          <w:rFonts w:hint="eastAsia" w:ascii="仿宋_GB2312" w:eastAsia="仿宋_GB2312"/>
          <w:color w:val="000000"/>
          <w:sz w:val="32"/>
          <w:szCs w:val="32"/>
        </w:rPr>
        <w:t>款支出0万元。</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7" w:name="_Toc15377221"/>
      <w:bookmarkStart w:id="58" w:name="_Toc15396612"/>
      <w:bookmarkStart w:id="59" w:name="_Toc10335"/>
      <w:r>
        <w:rPr>
          <w:rFonts w:hint="eastAsia" w:ascii="黑体" w:hAnsi="黑体" w:eastAsia="黑体" w:cs="黑体"/>
          <w:b w:val="0"/>
          <w:bCs w:val="0"/>
          <w:lang w:eastAsia="zh-CN"/>
        </w:rPr>
        <w:t>十、</w:t>
      </w:r>
      <w:r>
        <w:rPr>
          <w:rFonts w:hint="eastAsia" w:ascii="黑体" w:hAnsi="黑体" w:eastAsia="黑体" w:cs="黑体"/>
          <w:b w:val="0"/>
          <w:bCs w:val="0"/>
        </w:rPr>
        <w:t>其他重要事项的情况说明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sz w:val="32"/>
          <w:szCs w:val="32"/>
        </w:rPr>
      </w:pPr>
      <w:bookmarkStart w:id="60" w:name="_Toc15377222"/>
      <w:r>
        <w:rPr>
          <w:rFonts w:hint="eastAsia" w:ascii="仿宋" w:hAnsi="仿宋" w:eastAsia="仿宋"/>
          <w:b/>
          <w:sz w:val="32"/>
          <w:szCs w:val="32"/>
        </w:rPr>
        <w:t>（一）机关运行经费支出情况</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sz w:val="32"/>
          <w:szCs w:val="32"/>
        </w:rPr>
      </w:pPr>
      <w:r>
        <w:rPr>
          <w:rFonts w:hint="eastAsia" w:ascii="仿宋_GB2312" w:eastAsia="仿宋_GB2312"/>
          <w:sz w:val="32"/>
          <w:szCs w:val="32"/>
        </w:rPr>
        <w:t>2020年信息中心机关运行经费</w:t>
      </w:r>
      <w:r>
        <w:rPr>
          <w:rFonts w:hint="eastAsia" w:ascii="仿宋_GB2312" w:eastAsia="仿宋_GB2312"/>
          <w:sz w:val="32"/>
          <w:szCs w:val="32"/>
          <w:lang w:eastAsia="zh-CN"/>
        </w:rPr>
        <w:t>支出</w:t>
      </w:r>
      <w:r>
        <w:rPr>
          <w:rFonts w:hint="eastAsia" w:ascii="仿宋_GB2312" w:eastAsia="仿宋_GB2312"/>
          <w:sz w:val="32"/>
          <w:szCs w:val="32"/>
          <w:lang w:val="en-US" w:eastAsia="zh-CN"/>
        </w:rPr>
        <w:t>0万元</w:t>
      </w:r>
      <w:r>
        <w:rPr>
          <w:rFonts w:hint="eastAsia" w:ascii="仿宋_GB2312" w:eastAsia="仿宋_GB2312"/>
          <w:sz w:val="32"/>
          <w:szCs w:val="32"/>
        </w:rPr>
        <w:t>。</w:t>
      </w:r>
      <w:bookmarkStart w:id="61" w:name="_Toc15377223"/>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61"/>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b/>
          <w:color w:val="FF0000"/>
          <w:sz w:val="32"/>
          <w:szCs w:val="32"/>
          <w:lang w:val="en-US" w:eastAsia="zh-CN"/>
        </w:rPr>
      </w:pPr>
      <w:r>
        <w:rPr>
          <w:rFonts w:ascii="仿宋_GB2312" w:eastAsia="仿宋_GB2312"/>
          <w:sz w:val="32"/>
          <w:szCs w:val="32"/>
        </w:rPr>
        <w:t>20</w:t>
      </w:r>
      <w:r>
        <w:rPr>
          <w:rFonts w:hint="eastAsia" w:ascii="仿宋_GB2312" w:eastAsia="仿宋_GB2312"/>
          <w:sz w:val="32"/>
          <w:szCs w:val="32"/>
        </w:rPr>
        <w:t>20年，信息中心政府采购支出总额1900.09万元，其中：政府采购货物支出7.46万元、政府采购工程支出0万元、政府采购服务支出1892.63万元。</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财政专网、数据机房、小型机及存储等基础设施和大平台等核心业务系统运行保障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社保资金管理系统部署实施等。</w:t>
      </w:r>
      <w:r>
        <w:rPr>
          <w:rFonts w:hint="eastAsia" w:ascii="仿宋_GB2312" w:eastAsia="仿宋_GB2312"/>
          <w:color w:val="auto"/>
          <w:sz w:val="32"/>
          <w:szCs w:val="32"/>
        </w:rPr>
        <w:t>授予</w:t>
      </w:r>
      <w:r>
        <w:rPr>
          <w:rFonts w:hint="eastAsia" w:ascii="仿宋_GB2312" w:eastAsia="仿宋_GB2312"/>
          <w:sz w:val="32"/>
          <w:szCs w:val="32"/>
        </w:rPr>
        <w:t>中小企业合同金额1347.72万元，占政府采购支出总额的</w:t>
      </w:r>
      <w:r>
        <w:rPr>
          <w:rFonts w:hint="eastAsia" w:ascii="仿宋_GB2312" w:eastAsia="仿宋_GB2312"/>
          <w:sz w:val="32"/>
          <w:szCs w:val="32"/>
          <w:lang w:val="en-US" w:eastAsia="zh-CN"/>
        </w:rPr>
        <w:t>70.93</w:t>
      </w:r>
      <w:r>
        <w:rPr>
          <w:rFonts w:ascii="仿宋_GB2312" w:eastAsia="仿宋_GB2312"/>
          <w:sz w:val="32"/>
          <w:szCs w:val="32"/>
        </w:rPr>
        <w:t>%</w:t>
      </w:r>
      <w:r>
        <w:rPr>
          <w:rFonts w:hint="eastAsia" w:ascii="仿宋_GB2312" w:eastAsia="仿宋_GB2312"/>
          <w:sz w:val="32"/>
          <w:szCs w:val="32"/>
        </w:rPr>
        <w:t>，其中：授予小微企业合同金额1254.02万元，占政府采购支出总额的66</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62" w:name="_Toc15377224"/>
      <w:r>
        <w:rPr>
          <w:rFonts w:hint="eastAsia" w:ascii="仿宋" w:hAnsi="仿宋" w:eastAsia="仿宋"/>
          <w:b/>
          <w:sz w:val="32"/>
          <w:szCs w:val="32"/>
        </w:rPr>
        <w:t>（三）国有资产占有使用情况</w:t>
      </w:r>
      <w:bookmarkEnd w:id="62"/>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日，截至2020年12月31日，信息中心</w:t>
      </w:r>
      <w:r>
        <w:rPr>
          <w:rFonts w:hint="eastAsia" w:ascii="仿宋_GB2312" w:eastAsia="仿宋_GB2312"/>
          <w:sz w:val="32"/>
          <w:szCs w:val="32"/>
          <w:lang w:val="en-US" w:eastAsia="zh-CN"/>
        </w:rPr>
        <w:t>共有车辆0辆。单价50万元以上通用设备0台（套），单价100万元以上专用设备0台（套）。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根据预算绩效管理要求，本单位在年初预算编制阶段对7个项目编制了绩效目标，预算执行过程中，选取7个项目开展绩效监控，年终执行完毕后，对7个项目开展了绩效目标完成情况自评。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单位在2020年度部门决算中反映“四川省政府财政管理信息系统运维服务”、“电信线路服务租用费”、“小型机及存储设备维保服务”、“金财综合运维保障服务”、“一卡通阳光审批支撑平台建设”等7个项目绩效目标实际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（1）“四川省政府财政管理信息系统运维服务”项目绩效目标完成情况综述。项目全年预算数335万元，执行数为335万元，完成预算的100%。通过项目实施，保障了四川省</w:t>
      </w:r>
      <w:r>
        <w:rPr>
          <w:rFonts w:ascii="仿宋_GB2312" w:hAnsi="仿宋_GB2312" w:eastAsia="仿宋_GB2312" w:cs="仿宋_GB2312"/>
          <w:sz w:val="32"/>
          <w:szCs w:val="32"/>
        </w:rPr>
        <w:t>政府财政管理信息系统全年工作日不间断</w:t>
      </w:r>
      <w:r>
        <w:rPr>
          <w:rFonts w:hint="eastAsia" w:ascii="仿宋_GB2312" w:hAnsi="仿宋_GB2312" w:eastAsia="仿宋_GB2312" w:cs="仿宋_GB2312"/>
          <w:sz w:val="32"/>
          <w:szCs w:val="32"/>
        </w:rPr>
        <w:t>运转，</w:t>
      </w:r>
      <w:r>
        <w:rPr>
          <w:rFonts w:ascii="仿宋_GB2312" w:hAnsi="仿宋_GB2312" w:eastAsia="仿宋_GB2312" w:cs="仿宋_GB2312"/>
          <w:sz w:val="32"/>
          <w:szCs w:val="32"/>
        </w:rPr>
        <w:t>支撑了全省</w:t>
      </w:r>
      <w:r>
        <w:rPr>
          <w:rFonts w:hint="eastAsia" w:ascii="仿宋_GB2312" w:hAnsi="仿宋_GB2312" w:eastAsia="仿宋_GB2312" w:cs="仿宋_GB2312"/>
          <w:sz w:val="32"/>
          <w:szCs w:val="32"/>
        </w:rPr>
        <w:t>各级</w:t>
      </w:r>
      <w:r>
        <w:rPr>
          <w:rFonts w:ascii="仿宋_GB2312" w:hAnsi="仿宋_GB2312" w:eastAsia="仿宋_GB2312" w:cs="仿宋_GB2312"/>
          <w:sz w:val="32"/>
          <w:szCs w:val="32"/>
        </w:rPr>
        <w:t>政府财政</w:t>
      </w:r>
      <w:r>
        <w:rPr>
          <w:rFonts w:hint="eastAsia" w:ascii="仿宋_GB2312" w:hAnsi="仿宋_GB2312" w:eastAsia="仿宋_GB2312" w:cs="仿宋_GB2312"/>
          <w:sz w:val="32"/>
          <w:szCs w:val="32"/>
        </w:rPr>
        <w:t>良好运行</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（2）“电信线路服务租用费”项目绩效目标完成情况综述。项目全年预算数</w:t>
      </w:r>
      <w:r>
        <w:rPr>
          <w:rFonts w:ascii="仿宋_GB2312" w:hAnsi="仿宋_GB2312" w:eastAsia="仿宋_GB2312" w:cs="仿宋_GB2312"/>
          <w:sz w:val="32"/>
          <w:szCs w:val="32"/>
        </w:rPr>
        <w:t>340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%。通过项目实施，保障了财政相关</w:t>
      </w:r>
      <w:r>
        <w:rPr>
          <w:rFonts w:ascii="仿宋_GB2312" w:hAnsi="仿宋_GB2312" w:eastAsia="仿宋_GB2312" w:cs="仿宋_GB2312"/>
          <w:sz w:val="32"/>
          <w:szCs w:val="32"/>
        </w:rPr>
        <w:t>接入线路正常使用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（3）“小型机及存储设备维保服务”项目绩效目标完成情况综述。项目全年预算数</w:t>
      </w:r>
      <w:r>
        <w:rPr>
          <w:rFonts w:ascii="仿宋_GB2312" w:hAnsi="仿宋_GB2312" w:eastAsia="仿宋_GB2312" w:cs="仿宋_GB2312"/>
          <w:sz w:val="32"/>
          <w:szCs w:val="32"/>
        </w:rPr>
        <w:t>111.9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93.7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83.7</w:t>
      </w:r>
      <w:r>
        <w:rPr>
          <w:rFonts w:hint="eastAsia" w:ascii="仿宋_GB2312" w:hAnsi="仿宋_GB2312" w:eastAsia="仿宋_GB2312" w:cs="仿宋_GB2312"/>
          <w:sz w:val="32"/>
          <w:szCs w:val="32"/>
        </w:rPr>
        <w:t>%，未执行完毕的原因是政府采购结余。通过项目实施，对合同约定的所有小型机及存储设备提供运行保障、故障处置、性能优化、安全防护、备份升级、实施部署等技术支持和咨询服务，全年未发生责任事故。</w:t>
      </w:r>
    </w:p>
    <w:p>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Ansi="仿宋_GB2312" w:cs="仿宋_GB2312"/>
          <w:kern w:val="2"/>
          <w:sz w:val="32"/>
          <w:szCs w:val="32"/>
        </w:rPr>
      </w:pPr>
      <w:r>
        <w:rPr>
          <w:rFonts w:hAnsi="仿宋_GB2312" w:cs="仿宋_GB2312"/>
          <w:kern w:val="2"/>
          <w:sz w:val="32"/>
          <w:szCs w:val="32"/>
        </w:rPr>
        <w:t>（</w:t>
      </w:r>
      <w:r>
        <w:rPr>
          <w:rFonts w:hint="eastAsia" w:hAnsi="仿宋_GB2312" w:cs="仿宋_GB2312"/>
          <w:kern w:val="2"/>
          <w:sz w:val="32"/>
          <w:szCs w:val="32"/>
        </w:rPr>
        <w:t>4</w:t>
      </w:r>
      <w:r>
        <w:rPr>
          <w:rFonts w:hAnsi="仿宋_GB2312" w:cs="仿宋_GB2312"/>
          <w:kern w:val="2"/>
          <w:sz w:val="32"/>
          <w:szCs w:val="32"/>
        </w:rPr>
        <w:t>）</w:t>
      </w:r>
      <w:r>
        <w:rPr>
          <w:rFonts w:hint="eastAsia" w:hAnsi="仿宋_GB2312" w:cs="仿宋_GB2312"/>
          <w:kern w:val="2"/>
          <w:sz w:val="32"/>
          <w:szCs w:val="32"/>
        </w:rPr>
        <w:t>“</w:t>
      </w:r>
      <w:r>
        <w:rPr>
          <w:rFonts w:hAnsi="仿宋_GB2312" w:cs="仿宋_GB2312"/>
          <w:kern w:val="2"/>
          <w:sz w:val="32"/>
          <w:szCs w:val="32"/>
        </w:rPr>
        <w:t>金财综合运维保障服务</w:t>
      </w:r>
      <w:r>
        <w:rPr>
          <w:rFonts w:hint="eastAsia" w:hAnsi="仿宋_GB2312" w:cs="仿宋_GB2312"/>
          <w:kern w:val="2"/>
          <w:sz w:val="32"/>
          <w:szCs w:val="32"/>
        </w:rPr>
        <w:t>”</w:t>
      </w:r>
      <w:r>
        <w:rPr>
          <w:rFonts w:hAnsi="仿宋_GB2312" w:cs="仿宋_GB2312"/>
          <w:kern w:val="2"/>
          <w:sz w:val="32"/>
          <w:szCs w:val="32"/>
        </w:rPr>
        <w:t>项目绩效目标完成情况综述。项目全年预算数169.52万元，执行数为169.52万元，完成预算的100%。通过项目实施，保障金财工程综合运维保障服务按质按量完成，符合预期目标。</w:t>
      </w:r>
    </w:p>
    <w:p>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Ansi="仿宋_GB2312" w:cs="仿宋_GB2312"/>
          <w:kern w:val="2"/>
          <w:sz w:val="32"/>
          <w:szCs w:val="32"/>
        </w:rPr>
      </w:pPr>
      <w:r>
        <w:rPr>
          <w:rFonts w:hint="eastAsia" w:hAnsi="仿宋_GB2312" w:cs="仿宋_GB2312"/>
          <w:kern w:val="2"/>
          <w:sz w:val="32"/>
          <w:szCs w:val="32"/>
        </w:rPr>
        <w:t>（5）“一卡通阳光审批支撑平台建设”项目绩效目标完成情况综述。项目全年预算数307.13万元，执行数为211.4万元，完成预算的68.8%，未执行完毕的原因是合同约定项目建成并试运行1年后进行终验并支付合同尾款。通过项目实施，完成了相关系统建设，保障了2020年度中央及省定惠民惠农财政补贴项目阳光审批工作的推进，提升了全省惠民惠农财政补贴项目管理水平，实现了惠民惠农项目审批流程和材料电子化，做到了让群众少跑路，让过程更透明，让信息更公开，切实提升群众满意度。</w:t>
      </w:r>
    </w:p>
    <w:p>
      <w:pPr>
        <w:pStyle w:val="2"/>
        <w:spacing w:before="93"/>
        <w:ind w:firstLine="600" w:firstLineChars="200"/>
      </w:pPr>
    </w:p>
    <w:p>
      <w:pPr>
        <w:pStyle w:val="2"/>
        <w:spacing w:before="93"/>
        <w:ind w:firstLine="600" w:firstLineChars="200"/>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四川省政府财政管理信息系统运维服务项目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r>
      <w:tr>
        <w:tblPrEx>
          <w:tblCellMar>
            <w:top w:w="0" w:type="dxa"/>
            <w:left w:w="0" w:type="dxa"/>
            <w:bottom w:w="0" w:type="dxa"/>
            <w:right w:w="0" w:type="dxa"/>
          </w:tblCellMar>
        </w:tblPrEx>
        <w:trPr>
          <w:trHeight w:val="90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完成四川省政府财政管理信息系统运维工作，保障系统全年平稳运行。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有效保障了四川省政府财政管理信息系统2020年全年稳定运行。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系统运行情况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保证系统全年稳定运行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系统全年稳定运行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服务时间2020年1月1日至2020年12月31日，工作日不间断驻场服务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2020年1月至2020年12月工作日不间断服务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标准化服务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利用科学、统一的运维管理规范，为四川省政府财政管理信息系统常年稳定运行提供标准化保障服务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完成系统运行标准化保障服务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社会服务水平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保障系统常年稳定运行和业务数据真实、完整、可用、可看、可管，提高财政部门的社会服务水平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保障系统稳定运行和业务数据真实完整有效</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提升用户满意度至90%以上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用户满意度至90%以上</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rPr>
              <w:t>电信</w:t>
            </w:r>
            <w:r>
              <w:rPr>
                <w:rFonts w:ascii="宋体" w:hAnsi="宋体" w:cs="宋体"/>
                <w:sz w:val="24"/>
              </w:rPr>
              <w:t>线路</w:t>
            </w:r>
            <w:r>
              <w:rPr>
                <w:rFonts w:hint="eastAsia" w:ascii="宋体" w:hAnsi="宋体" w:cs="宋体"/>
                <w:sz w:val="24"/>
              </w:rPr>
              <w:t>服务租用</w:t>
            </w:r>
            <w:r>
              <w:rPr>
                <w:rFonts w:hint="eastAsia" w:ascii="宋体" w:hAnsi="宋体" w:cs="宋体"/>
                <w:sz w:val="24"/>
                <w:lang w:val="en-US" w:eastAsia="zh-CN"/>
              </w:rPr>
              <w:t>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保障财政相关接入线路正常</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财政相关接入线路正常，符合预期目标。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线路</w:t>
            </w:r>
            <w:r>
              <w:rPr>
                <w:rFonts w:ascii="宋体" w:hAnsi="宋体" w:cs="宋体"/>
                <w:sz w:val="24"/>
              </w:rPr>
              <w:t>范围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服务范围包括财政厅及全省21个市州财政局核心骨干网、政府采购、预算单位接入金财网、代理银行接入金财网线路等。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服务范围和预期指标一致。</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服务时间为2020年1月1日至2020年12月31日，除特殊情况需要进行线路维护外，实现不间断服务。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全年</w:t>
            </w:r>
            <w:r>
              <w:rPr>
                <w:rFonts w:ascii="宋体" w:hAnsi="宋体" w:cs="宋体"/>
                <w:sz w:val="24"/>
              </w:rPr>
              <w:t>实现不间断运行。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w:t>
            </w:r>
            <w:r>
              <w:rPr>
                <w:rFonts w:ascii="宋体" w:hAnsi="宋体" w:cs="宋体"/>
                <w:sz w:val="24"/>
              </w:rPr>
              <w:t>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项目</w:t>
            </w:r>
            <w:r>
              <w:rPr>
                <w:rFonts w:ascii="宋体" w:hAnsi="宋体" w:cs="宋体"/>
                <w:sz w:val="24"/>
              </w:rPr>
              <w:t>支出不</w:t>
            </w:r>
            <w:r>
              <w:rPr>
                <w:rFonts w:hint="eastAsia" w:ascii="宋体" w:hAnsi="宋体" w:cs="宋体"/>
                <w:sz w:val="24"/>
              </w:rPr>
              <w:t>超过340万。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实际</w:t>
            </w:r>
            <w:r>
              <w:rPr>
                <w:rFonts w:ascii="宋体" w:hAnsi="宋体" w:cs="宋体"/>
                <w:sz w:val="24"/>
              </w:rPr>
              <w:t>支付</w:t>
            </w:r>
            <w:r>
              <w:rPr>
                <w:rFonts w:hint="eastAsia" w:ascii="宋体" w:hAnsi="宋体" w:cs="宋体"/>
                <w:sz w:val="24"/>
              </w:rPr>
              <w:t>340万。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拟达</w:t>
            </w:r>
            <w:r>
              <w:rPr>
                <w:rFonts w:ascii="宋体" w:hAnsi="宋体" w:cs="宋体"/>
                <w:sz w:val="24"/>
              </w:rPr>
              <w:t>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通过利用科学的、统一的运维管理规范，为应用支撑平台基础数据、业务系统运行维护和技术提供电信线路保障服务，提高财政部门的社会服务水平。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保障了业务系统的正常运转，与预期指标一致。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对象满意度达</w:t>
            </w:r>
            <w:r>
              <w:rPr>
                <w:rFonts w:hint="eastAsia" w:ascii="宋体" w:hAnsi="宋体" w:cs="宋体"/>
                <w:sz w:val="24"/>
              </w:rPr>
              <w:t>90</w:t>
            </w:r>
            <w:r>
              <w:rPr>
                <w:rFonts w:ascii="宋体" w:hAnsi="宋体" w:cs="宋体"/>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对象满意度达</w:t>
            </w:r>
            <w:r>
              <w:rPr>
                <w:rFonts w:hint="eastAsia" w:ascii="宋体" w:hAnsi="宋体" w:cs="宋体"/>
                <w:sz w:val="24"/>
              </w:rPr>
              <w:t>100</w:t>
            </w:r>
            <w:r>
              <w:rPr>
                <w:rFonts w:ascii="宋体" w:hAnsi="宋体" w:cs="宋体"/>
                <w:sz w:val="24"/>
              </w:rPr>
              <w:t>%</w:t>
            </w:r>
            <w:r>
              <w:rPr>
                <w:rFonts w:hint="eastAsia" w:ascii="宋体" w:hAnsi="宋体" w:cs="宋体"/>
                <w:sz w:val="24"/>
              </w:rPr>
              <w:t>。</w:t>
            </w:r>
          </w:p>
        </w:tc>
      </w:tr>
    </w:tbl>
    <w:p>
      <w:pPr>
        <w:pStyle w:val="2"/>
        <w:spacing w:before="93"/>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小型机及存储设备维保服务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四川省</w:t>
            </w:r>
            <w:r>
              <w:rPr>
                <w:rFonts w:hint="eastAsia" w:ascii="宋体" w:hAnsi="宋体" w:cs="Arial"/>
                <w:kern w:val="0"/>
                <w:sz w:val="24"/>
                <w:lang w:val="en-US" w:eastAsia="zh-CN"/>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111.9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93.7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111.9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93.7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Arial"/>
                <w:kern w:val="0"/>
                <w:sz w:val="24"/>
              </w:rPr>
              <w:t>在合同期内，完成信息中心所有小型机及存储设备的硬件维保任务。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Arial"/>
                <w:kern w:val="0"/>
                <w:sz w:val="24"/>
              </w:rPr>
              <w:t>对合同约定的所有小型机及存储设备提供运行保障、故障处置、性能优化、安全防护、备份升级、实施部署等技术支持和咨询服务，全年未发生责任事故。</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合同服务期内，工作日不间断驻场服务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由</w:t>
            </w:r>
            <w:r>
              <w:rPr>
                <w:rFonts w:ascii="宋体" w:hAnsi="宋体" w:cs="宋体"/>
                <w:sz w:val="24"/>
              </w:rPr>
              <w:t>1</w:t>
            </w:r>
            <w:r>
              <w:rPr>
                <w:rFonts w:hint="eastAsia" w:ascii="宋体" w:hAnsi="宋体" w:cs="宋体"/>
                <w:sz w:val="24"/>
              </w:rPr>
              <w:t>名高级工程师提供全年工作日的不间断现场驻场值守保障，以及非工作时间</w:t>
            </w:r>
            <w:r>
              <w:rPr>
                <w:rFonts w:ascii="宋体" w:hAnsi="宋体" w:cs="宋体"/>
                <w:sz w:val="24"/>
              </w:rPr>
              <w:t>2</w:t>
            </w:r>
            <w:r>
              <w:rPr>
                <w:rFonts w:hint="eastAsia" w:ascii="宋体" w:hAnsi="宋体" w:cs="宋体"/>
                <w:sz w:val="24"/>
              </w:rPr>
              <w:t>小时到场的应急响应保障，同时由后线专家组成专家团队对重大疑难故障提供技术支持。</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合同运维成本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不超过111.9万元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实际运维费用为</w:t>
            </w:r>
            <w:r>
              <w:rPr>
                <w:rFonts w:ascii="宋体" w:hAnsi="宋体" w:cs="宋体"/>
                <w:sz w:val="24"/>
              </w:rPr>
              <w:t>93.7</w:t>
            </w:r>
            <w:r>
              <w:rPr>
                <w:rFonts w:hint="eastAsia" w:ascii="宋体" w:hAnsi="宋体" w:cs="宋体"/>
                <w:sz w:val="24"/>
              </w:rPr>
              <w:t>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节约成本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lang w:val="en-US" w:eastAsia="zh-CN" w:bidi="ar"/>
              </w:rPr>
            </w:pPr>
            <w:r>
              <w:rPr>
                <w:rFonts w:hint="eastAsia" w:ascii="宋体" w:hAnsi="宋体" w:cs="宋体"/>
                <w:kern w:val="0"/>
                <w:sz w:val="24"/>
                <w:highlight w:val="none"/>
                <w:lang w:bidi="ar"/>
              </w:rPr>
              <w:t>财政厅信息中心</w:t>
            </w:r>
            <w:r>
              <w:rPr>
                <w:rFonts w:hint="eastAsia" w:ascii="宋体" w:hAnsi="宋体" w:cs="宋体"/>
                <w:kern w:val="0"/>
                <w:sz w:val="24"/>
                <w:highlight w:val="none"/>
                <w:lang w:val="en-US" w:eastAsia="zh-CN" w:bidi="ar"/>
              </w:rPr>
              <w:t>的</w:t>
            </w:r>
            <w:r>
              <w:rPr>
                <w:rFonts w:hint="eastAsia" w:ascii="宋体" w:hAnsi="宋体" w:cs="宋体"/>
                <w:kern w:val="0"/>
                <w:sz w:val="24"/>
                <w:highlight w:val="none"/>
                <w:lang w:bidi="ar"/>
              </w:rPr>
              <w:t>小</w:t>
            </w:r>
            <w:r>
              <w:rPr>
                <w:rFonts w:hint="eastAsia" w:ascii="宋体" w:hAnsi="宋体" w:cs="宋体"/>
                <w:kern w:val="0"/>
                <w:sz w:val="24"/>
                <w:lang w:bidi="ar"/>
              </w:rPr>
              <w:t>型机及存储设备是全省大平台系统的支撑硬件，全省大平台系统集中部署和集中维保，减少了各市县单独重复建设和维保，大大节约了财政资金</w:t>
            </w:r>
            <w:r>
              <w:rPr>
                <w:rFonts w:hint="eastAsia" w:ascii="宋体" w:hAnsi="宋体" w:cs="宋体"/>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lang w:eastAsia="zh-CN" w:bidi="ar"/>
              </w:rPr>
            </w:pPr>
            <w:r>
              <w:rPr>
                <w:rFonts w:hint="eastAsia" w:ascii="宋体" w:hAnsi="宋体" w:cs="宋体"/>
                <w:kern w:val="0"/>
                <w:sz w:val="24"/>
                <w:lang w:bidi="ar"/>
              </w:rPr>
              <w:t>通过全省大集中维保，减少了各市县单独维保，大大节约了财政资金</w:t>
            </w:r>
            <w:r>
              <w:rPr>
                <w:rFonts w:hint="eastAsia" w:ascii="宋体" w:hAnsi="宋体" w:cs="宋体"/>
                <w:kern w:val="0"/>
                <w:sz w:val="24"/>
                <w:lang w:eastAsia="zh-CN" w:bidi="ar"/>
              </w:rPr>
              <w:t>。</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大于等于90%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全年无用户投诉。</w:t>
            </w:r>
          </w:p>
        </w:tc>
      </w:tr>
    </w:tbl>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金财综合运维保障服务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169.52万元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按质按量完成金财工程综合运维保障服务。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按招、投标文件的内容和合同内容按质按量完成金财工程综合运维保障服务内容，符合预期目标。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用户量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运维服务范围包括财政厅网络、机房、服务器、桌面终端，市（州）核心骨干网络，财政预算单位接入网络和财政代理银行接入网络。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运维服务范围无变更，达到预期指标。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服务时间2020年1月1日至2020年12月31日，工作日不间断驻场服务。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全年工作日不间断驻场服务</w:t>
            </w:r>
            <w:r>
              <w:rPr>
                <w:rFonts w:ascii="宋体" w:hAnsi="宋体" w:cs="宋体"/>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w:t>
            </w:r>
            <w:r>
              <w:rPr>
                <w:rFonts w:ascii="宋体" w:hAnsi="宋体" w:cs="宋体"/>
                <w:sz w:val="24"/>
              </w:rPr>
              <w:t>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项目</w:t>
            </w:r>
            <w:r>
              <w:rPr>
                <w:rFonts w:ascii="宋体" w:hAnsi="宋体" w:cs="宋体"/>
                <w:sz w:val="24"/>
              </w:rPr>
              <w:t>支出不</w:t>
            </w:r>
            <w:r>
              <w:rPr>
                <w:rFonts w:hint="eastAsia" w:ascii="宋体" w:hAnsi="宋体" w:cs="宋体"/>
                <w:sz w:val="24"/>
              </w:rPr>
              <w:t>超过</w:t>
            </w:r>
            <w:r>
              <w:rPr>
                <w:rFonts w:ascii="宋体" w:hAnsi="宋体" w:cs="宋体"/>
                <w:sz w:val="24"/>
              </w:rPr>
              <w:t>169.52</w:t>
            </w:r>
            <w:r>
              <w:rPr>
                <w:rFonts w:hint="eastAsia" w:ascii="宋体" w:hAnsi="宋体" w:cs="宋体"/>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实际</w:t>
            </w:r>
            <w:r>
              <w:rPr>
                <w:rFonts w:ascii="宋体" w:hAnsi="宋体" w:cs="宋体"/>
                <w:sz w:val="24"/>
              </w:rPr>
              <w:t>支付169.52</w:t>
            </w:r>
            <w:r>
              <w:rPr>
                <w:rFonts w:hint="eastAsia" w:ascii="宋体" w:hAnsi="宋体" w:cs="宋体"/>
                <w:sz w:val="24"/>
              </w:rPr>
              <w:t>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拟达</w:t>
            </w:r>
            <w:r>
              <w:rPr>
                <w:rFonts w:ascii="宋体" w:hAnsi="宋体" w:cs="宋体"/>
                <w:sz w:val="24"/>
              </w:rPr>
              <w:t>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通过利用科学、统一的运维管理规范，对系统进行合理规划和日常维护，保障财政系统的网络、机房、桌面终端、业务系统等能够稳定、可靠地运转，提高财政部门的社会服务水平。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保障了相关系统的稳定、可靠地运转，达到预期指标。</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kern w:val="0"/>
                <w:sz w:val="36"/>
                <w:szCs w:val="36"/>
                <w:lang w:bidi="ar"/>
              </w:rPr>
            </w:pPr>
          </w:p>
          <w:p>
            <w:pPr>
              <w:widowControl/>
              <w:jc w:val="center"/>
              <w:textAlignment w:val="center"/>
              <w:rPr>
                <w:rFonts w:hint="eastAsia" w:ascii="宋体" w:hAnsi="宋体" w:cs="宋体"/>
                <w:b/>
                <w:bCs/>
                <w:kern w:val="0"/>
                <w:sz w:val="36"/>
                <w:szCs w:val="36"/>
                <w:lang w:bidi="ar"/>
              </w:rPr>
            </w:pPr>
          </w:p>
          <w:p>
            <w:pPr>
              <w:widowControl/>
              <w:jc w:val="center"/>
              <w:textAlignment w:val="center"/>
              <w:rPr>
                <w:rFonts w:hint="eastAsia" w:ascii="宋体" w:hAnsi="宋体" w:cs="宋体"/>
                <w:b/>
                <w:bCs/>
                <w:kern w:val="0"/>
                <w:sz w:val="36"/>
                <w:szCs w:val="36"/>
                <w:lang w:bidi="ar"/>
              </w:rPr>
            </w:pPr>
          </w:p>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一卡通阳光审批支撑平台建设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lang w:val="en-US" w:eastAsia="zh-CN"/>
              </w:rPr>
              <w:t>四川省</w:t>
            </w:r>
            <w:r>
              <w:rPr>
                <w:rFonts w:hint="eastAsia"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307.13万元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211.4万元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307.13万元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211.4万元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功能上可灵活配置生成各项目审批功能模块，可接入已有项目审批系统业务数据，与市州发放平台和省级监管平台实现数据交互。</w:t>
            </w:r>
          </w:p>
          <w:p>
            <w:pPr>
              <w:widowControl/>
              <w:jc w:val="left"/>
              <w:textAlignment w:val="center"/>
              <w:rPr>
                <w:rFonts w:ascii="宋体" w:hAnsi="宋体" w:cs="宋体"/>
                <w:sz w:val="24"/>
              </w:rPr>
            </w:pPr>
            <w:r>
              <w:rPr>
                <w:rFonts w:hint="eastAsia" w:ascii="宋体" w:hAnsi="宋体" w:cs="宋体"/>
                <w:sz w:val="24"/>
              </w:rPr>
              <w:t>时间上2020年底之前启用系统。</w:t>
            </w:r>
          </w:p>
          <w:p>
            <w:pPr>
              <w:widowControl/>
              <w:jc w:val="left"/>
              <w:textAlignment w:val="center"/>
              <w:rPr>
                <w:rFonts w:ascii="宋体" w:hAnsi="宋体" w:cs="宋体"/>
                <w:sz w:val="24"/>
              </w:rPr>
            </w:pPr>
            <w:r>
              <w:rPr>
                <w:rFonts w:hint="eastAsia" w:ascii="宋体" w:hAnsi="宋体" w:cs="宋体"/>
                <w:sz w:val="24"/>
              </w:rPr>
              <w:t>全省统一建设基础支撑平台，统一实施项目的审批流程，集中建设，避免分散投资，节约财政资金。</w:t>
            </w:r>
          </w:p>
          <w:p>
            <w:pPr>
              <w:widowControl/>
              <w:jc w:val="left"/>
              <w:textAlignment w:val="center"/>
              <w:rPr>
                <w:rFonts w:ascii="宋体" w:hAnsi="宋体" w:cs="宋体"/>
                <w:sz w:val="24"/>
              </w:rPr>
            </w:pPr>
            <w:r>
              <w:rPr>
                <w:rFonts w:hint="eastAsia" w:ascii="宋体" w:hAnsi="宋体" w:cs="宋体"/>
                <w:sz w:val="24"/>
              </w:rPr>
              <w:t>惠民惠农项目审批流程和材料电子化，让群众少跑路，让过程更透明，让信息更公开，提升群众满意度。</w:t>
            </w:r>
          </w:p>
          <w:p>
            <w:pPr>
              <w:widowControl/>
              <w:jc w:val="left"/>
              <w:textAlignment w:val="center"/>
              <w:rPr>
                <w:rFonts w:ascii="宋体" w:hAnsi="宋体" w:cs="宋体"/>
                <w:sz w:val="24"/>
              </w:rPr>
            </w:pPr>
            <w:r>
              <w:rPr>
                <w:rFonts w:hint="eastAsia" w:ascii="宋体" w:hAnsi="宋体" w:cs="宋体"/>
                <w:sz w:val="24"/>
              </w:rPr>
              <w:t>通过数据共享，各级业务主管部门和监管部门均可实时查看、监管惠民惠农项目的动态数据，提升管理水平。</w:t>
            </w:r>
          </w:p>
          <w:p>
            <w:pPr>
              <w:widowControl/>
              <w:jc w:val="left"/>
              <w:textAlignment w:val="center"/>
              <w:rPr>
                <w:rFonts w:ascii="宋体" w:hAnsi="宋体" w:cs="宋体"/>
                <w:sz w:val="24"/>
              </w:rPr>
            </w:pPr>
            <w:r>
              <w:rPr>
                <w:rFonts w:hint="eastAsia" w:ascii="宋体" w:hAnsi="宋体" w:cs="宋体"/>
                <w:sz w:val="24"/>
              </w:rPr>
              <w:t>业务主管部门满意度和监管部门满意度均在90%以上。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功能上中央及省定29项补贴中，有7项利用“生长模式”基于审批平台配置生成，22项采用“接入”模式接入外部系统。已打通与省级监管平台和市州发放平台之间的通道。</w:t>
            </w:r>
          </w:p>
          <w:p>
            <w:pPr>
              <w:widowControl/>
              <w:jc w:val="left"/>
              <w:textAlignment w:val="center"/>
              <w:rPr>
                <w:rFonts w:ascii="宋体" w:hAnsi="宋体" w:cs="宋体"/>
                <w:sz w:val="24"/>
              </w:rPr>
            </w:pPr>
            <w:r>
              <w:rPr>
                <w:rFonts w:hint="eastAsia" w:ascii="宋体" w:hAnsi="宋体" w:cs="宋体"/>
                <w:sz w:val="24"/>
              </w:rPr>
              <w:t>时间上2020年6月已启用系统。</w:t>
            </w:r>
          </w:p>
          <w:p>
            <w:pPr>
              <w:widowControl/>
              <w:jc w:val="left"/>
              <w:textAlignment w:val="center"/>
              <w:rPr>
                <w:rFonts w:ascii="宋体" w:hAnsi="宋体" w:cs="宋体"/>
                <w:sz w:val="24"/>
              </w:rPr>
            </w:pPr>
            <w:r>
              <w:rPr>
                <w:rFonts w:hint="eastAsia" w:ascii="宋体" w:hAnsi="宋体" w:cs="宋体"/>
                <w:sz w:val="24"/>
              </w:rPr>
              <w:t>最终建设费用302万元。</w:t>
            </w:r>
          </w:p>
          <w:p>
            <w:pPr>
              <w:widowControl/>
              <w:jc w:val="left"/>
              <w:textAlignment w:val="center"/>
              <w:rPr>
                <w:rFonts w:ascii="宋体" w:hAnsi="宋体" w:cs="宋体"/>
                <w:sz w:val="24"/>
              </w:rPr>
            </w:pPr>
            <w:r>
              <w:rPr>
                <w:rFonts w:hint="eastAsia" w:ascii="宋体" w:hAnsi="宋体" w:cs="宋体"/>
                <w:sz w:val="24"/>
              </w:rPr>
              <w:t>中央及省定29项补贴全省统一审批流程，已基于审批基础支撑平台集中建设了审批系统。</w:t>
            </w:r>
          </w:p>
          <w:p>
            <w:pPr>
              <w:widowControl/>
              <w:jc w:val="left"/>
              <w:textAlignment w:val="center"/>
              <w:rPr>
                <w:rFonts w:ascii="宋体" w:hAnsi="宋体" w:cs="宋体"/>
                <w:sz w:val="24"/>
              </w:rPr>
            </w:pPr>
            <w:r>
              <w:rPr>
                <w:rFonts w:hint="eastAsia" w:ascii="宋体" w:hAnsi="宋体" w:cs="宋体"/>
                <w:sz w:val="24"/>
              </w:rPr>
              <w:t>中央及省定29项补贴全省已实现业务办理全流程信息化，群众足不出户就可以实现项目申报、审批进度查询、补贴资金发放查询、补贴项目公示信息查看、投诉举报等多种业务。</w:t>
            </w:r>
          </w:p>
          <w:p>
            <w:pPr>
              <w:widowControl/>
              <w:jc w:val="left"/>
              <w:textAlignment w:val="center"/>
              <w:rPr>
                <w:rFonts w:ascii="宋体" w:hAnsi="宋体" w:cs="宋体"/>
                <w:sz w:val="24"/>
              </w:rPr>
            </w:pPr>
            <w:r>
              <w:rPr>
                <w:rFonts w:hint="eastAsia" w:ascii="宋体" w:hAnsi="宋体" w:cs="宋体"/>
                <w:sz w:val="24"/>
              </w:rPr>
              <w:t>审批基础支撑平台已完成和省级监管平台的对接，数据已达到实时同步。同时在监管平台为各业务主管部门和监管部门分配了账号和权限，让他们随时可看。</w:t>
            </w:r>
          </w:p>
          <w:p>
            <w:pPr>
              <w:widowControl/>
              <w:jc w:val="left"/>
              <w:textAlignment w:val="center"/>
              <w:rPr>
                <w:rFonts w:ascii="宋体" w:hAnsi="宋体" w:cs="宋体"/>
                <w:sz w:val="24"/>
              </w:rPr>
            </w:pPr>
            <w:r>
              <w:rPr>
                <w:rFonts w:hint="eastAsia" w:ascii="宋体" w:hAnsi="宋体" w:cs="宋体"/>
                <w:sz w:val="24"/>
              </w:rPr>
              <w:t>满意度均在90%以上。</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纳入系统的中央及省定补贴项目数量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中央及省定29项补贴全部纳入。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截至2020年底,中央及省定29项补贴全部纳入。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功能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可灵活配置生成各项目审批功能模块，可接入已有项目审批系统业务数据，与市州发放平台和省级监管平台实现数据交互。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项补贴中，有</w:t>
            </w:r>
            <w:r>
              <w:rPr>
                <w:rFonts w:ascii="宋体" w:hAnsi="宋体" w:cs="宋体"/>
                <w:sz w:val="24"/>
              </w:rPr>
              <w:t>7</w:t>
            </w:r>
            <w:r>
              <w:rPr>
                <w:rFonts w:hint="eastAsia" w:ascii="宋体" w:hAnsi="宋体" w:cs="宋体"/>
                <w:sz w:val="24"/>
              </w:rPr>
              <w:t>项利用</w:t>
            </w:r>
            <w:r>
              <w:rPr>
                <w:rFonts w:ascii="宋体" w:hAnsi="宋体" w:cs="宋体"/>
                <w:sz w:val="24"/>
              </w:rPr>
              <w:t>“</w:t>
            </w:r>
            <w:r>
              <w:rPr>
                <w:rFonts w:hint="eastAsia" w:ascii="宋体" w:hAnsi="宋体" w:cs="宋体"/>
                <w:sz w:val="24"/>
              </w:rPr>
              <w:t>生长模式</w:t>
            </w:r>
            <w:r>
              <w:rPr>
                <w:rFonts w:ascii="宋体" w:hAnsi="宋体" w:cs="宋体"/>
                <w:sz w:val="24"/>
              </w:rPr>
              <w:t>”</w:t>
            </w:r>
            <w:r>
              <w:rPr>
                <w:rFonts w:hint="eastAsia" w:ascii="宋体" w:hAnsi="宋体" w:cs="宋体"/>
                <w:sz w:val="24"/>
              </w:rPr>
              <w:t>基于审批平台配置生成，</w:t>
            </w:r>
            <w:r>
              <w:rPr>
                <w:rFonts w:ascii="宋体" w:hAnsi="宋体" w:cs="宋体"/>
                <w:sz w:val="24"/>
              </w:rPr>
              <w:t>22</w:t>
            </w:r>
            <w:r>
              <w:rPr>
                <w:rFonts w:hint="eastAsia" w:ascii="宋体" w:hAnsi="宋体" w:cs="宋体"/>
                <w:sz w:val="24"/>
              </w:rPr>
              <w:t>项采用</w:t>
            </w:r>
            <w:r>
              <w:rPr>
                <w:rFonts w:ascii="宋体" w:hAnsi="宋体" w:cs="宋体"/>
                <w:sz w:val="24"/>
              </w:rPr>
              <w:t>“</w:t>
            </w:r>
            <w:r>
              <w:rPr>
                <w:rFonts w:hint="eastAsia" w:ascii="宋体" w:hAnsi="宋体" w:cs="宋体"/>
                <w:sz w:val="24"/>
              </w:rPr>
              <w:t>接入”模式接入外部系统。已打通与省级监管平台和市州发放平台之间的通道。</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系统启用时间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ascii="宋体" w:hAnsi="宋体" w:cs="宋体"/>
                <w:sz w:val="24"/>
              </w:rPr>
              <w:t>2020</w:t>
            </w:r>
            <w:r>
              <w:rPr>
                <w:rFonts w:hint="eastAsia" w:ascii="宋体" w:hAnsi="宋体" w:cs="宋体"/>
                <w:sz w:val="24"/>
              </w:rPr>
              <w:t>年底之前启用系统。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ascii="宋体" w:hAnsi="宋体" w:cs="宋体"/>
                <w:sz w:val="24"/>
              </w:rPr>
              <w:t>2020</w:t>
            </w:r>
            <w:r>
              <w:rPr>
                <w:rFonts w:hint="eastAsia" w:ascii="宋体" w:hAnsi="宋体" w:cs="宋体"/>
                <w:sz w:val="24"/>
              </w:rPr>
              <w:t>年6月已启用系统。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系统建设总花费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不超过307.13万元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实际采购金额302万元。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tabs>
                <w:tab w:val="left" w:pos="458"/>
              </w:tabs>
              <w:jc w:val="center"/>
              <w:textAlignment w:val="center"/>
              <w:rPr>
                <w:rFonts w:ascii="宋体" w:hAnsi="宋体" w:cs="宋体"/>
                <w:kern w:val="0"/>
                <w:sz w:val="24"/>
                <w:lang w:bidi="ar"/>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center"/>
              <w:rPr>
                <w:rFonts w:ascii="宋体" w:hAnsi="宋体" w:cs="宋体"/>
                <w:kern w:val="0"/>
                <w:sz w:val="24"/>
                <w:lang w:bidi="ar"/>
              </w:rPr>
            </w:pPr>
            <w:r>
              <w:rPr>
                <w:rFonts w:ascii="宋体" w:hAnsi="宋体" w:cs="宋体"/>
                <w:kern w:val="0"/>
                <w:sz w:val="24"/>
                <w:lang w:bidi="ar"/>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避免分散建设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全省统一建设基础支撑平台，统一实施项目的审批流程，集中建设，避免分散投资，节约财政资金。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项补贴全省统一审批流程，已基于审批基础支撑平台集中建设了审批系统。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提升群众满意度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惠民惠农项目审批流程和材料电子化，让群众少跑路，让过程更透明，让信息更公开，提升群众满意度。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项补贴全省已实现业务办理全流程信息化，群众足不出户就可以实现项目申报、审批进度查询、补贴资金发放查询、补贴项目公示信息查看、投诉举报等多种业务。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center"/>
              <w:rPr>
                <w:rFonts w:ascii="宋体" w:hAnsi="宋体" w:cs="宋体"/>
                <w:kern w:val="0"/>
                <w:sz w:val="24"/>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提升惠民惠农项目管理水平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通过数据共享，各级业务主管部门和监管部门均可实时查看、监管惠民惠农项目的动态数据，提升管理水平。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审批基础支撑平台已完成和省级监管平台的对接，数据已达到实时同步。同时在监管平台为各业务主管部门和监管部门分配了账号和权限，让他们随时可看。</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业务主管部门满意度和监管部门满意度均在</w:t>
            </w:r>
            <w:r>
              <w:rPr>
                <w:rFonts w:ascii="宋体" w:hAnsi="宋体" w:cs="宋体"/>
                <w:sz w:val="24"/>
              </w:rPr>
              <w:t>90%</w:t>
            </w:r>
            <w:r>
              <w:rPr>
                <w:rFonts w:hint="eastAsia" w:ascii="宋体" w:hAnsi="宋体" w:cs="宋体"/>
                <w:sz w:val="24"/>
              </w:rPr>
              <w:t>以上。</w:t>
            </w:r>
            <w:r>
              <w:rPr>
                <w:rFonts w:ascii="宋体" w:hAnsi="宋体" w:cs="宋体"/>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满意度均在</w:t>
            </w:r>
            <w:r>
              <w:rPr>
                <w:rFonts w:ascii="宋体" w:hAnsi="宋体" w:cs="宋体"/>
                <w:sz w:val="24"/>
              </w:rPr>
              <w:t>90%</w:t>
            </w:r>
            <w:r>
              <w:rPr>
                <w:rFonts w:hint="eastAsia" w:ascii="宋体" w:hAnsi="宋体" w:cs="宋体"/>
                <w:sz w:val="24"/>
              </w:rPr>
              <w:t>以上。</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hint="eastAsia" w:ascii="仿宋_GB2312" w:hAnsi="仿宋_GB2312" w:eastAsia="楷体_GB2312" w:cs="仿宋_GB2312"/>
          <w:sz w:val="32"/>
          <w:szCs w:val="32"/>
          <w:highlight w:val="none"/>
          <w:lang w:eastAsia="zh-CN"/>
        </w:rPr>
      </w:pPr>
      <w:r>
        <w:rPr>
          <w:rFonts w:hint="eastAsia" w:ascii="楷体_GB2312" w:hAnsi="楷体_GB2312" w:eastAsia="楷体_GB2312" w:cs="楷体_GB2312"/>
          <w:sz w:val="32"/>
          <w:szCs w:val="32"/>
          <w:highlight w:val="none"/>
        </w:rPr>
        <w:t>2.单位绩效评价结果。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color w:val="FF0000"/>
          <w:sz w:val="32"/>
          <w:szCs w:val="32"/>
          <w:highlight w:val="yellow"/>
        </w:rPr>
      </w:pPr>
      <w:r>
        <w:rPr>
          <w:rFonts w:hint="eastAsia" w:ascii="仿宋_GB2312" w:hAnsi="仿宋_GB2312" w:eastAsia="仿宋_GB2312" w:cs="仿宋_GB2312"/>
          <w:color w:val="auto"/>
          <w:sz w:val="32"/>
          <w:szCs w:val="32"/>
          <w:highlight w:val="none"/>
        </w:rPr>
        <w:t>本单位自行组织对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四川省政府财政管理信息系统运维服务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“电信线路服务租用费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项目开展了绩效评价，《2020年</w:t>
      </w:r>
      <w:r>
        <w:rPr>
          <w:rFonts w:hint="eastAsia" w:ascii="仿宋_GB2312" w:hAnsi="仿宋_GB2312" w:eastAsia="仿宋_GB2312" w:cs="仿宋_GB2312"/>
          <w:color w:val="auto"/>
          <w:sz w:val="32"/>
          <w:szCs w:val="32"/>
          <w:highlight w:val="none"/>
          <w:lang w:val="en-US" w:eastAsia="zh-CN"/>
        </w:rPr>
        <w:t>信息中心</w:t>
      </w:r>
      <w:r>
        <w:rPr>
          <w:rFonts w:hint="eastAsia" w:ascii="仿宋_GB2312" w:hAnsi="仿宋_GB2312" w:eastAsia="仿宋_GB2312" w:cs="仿宋_GB2312"/>
          <w:color w:val="auto"/>
          <w:sz w:val="32"/>
          <w:szCs w:val="32"/>
          <w:highlight w:val="none"/>
        </w:rPr>
        <w:t>项目支出绩效自评报告》见附件（第四部分）。</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bidi w:val="0"/>
        <w:jc w:val="center"/>
        <w:rPr>
          <w:rFonts w:ascii="宋体"/>
          <w:b/>
          <w:color w:val="000000"/>
          <w:sz w:val="44"/>
          <w:szCs w:val="44"/>
        </w:rPr>
      </w:pPr>
      <w:bookmarkStart w:id="63" w:name="_Toc15396613"/>
      <w:bookmarkStart w:id="64" w:name="_Toc15377225"/>
      <w:bookmarkStart w:id="65" w:name="_Toc31742"/>
      <w:r>
        <w:rPr>
          <w:rFonts w:hint="eastAsia" w:ascii="黑体" w:hAnsi="黑体" w:eastAsia="黑体" w:cs="黑体"/>
          <w:b w:val="0"/>
          <w:bCs w:val="0"/>
          <w:lang w:val="en-US" w:eastAsia="zh-CN"/>
        </w:rPr>
        <w:t xml:space="preserve">第三部分 </w:t>
      </w:r>
      <w:r>
        <w:rPr>
          <w:rFonts w:hint="eastAsia" w:ascii="黑体" w:hAnsi="黑体" w:eastAsia="黑体" w:cs="黑体"/>
          <w:b w:val="0"/>
          <w:bCs w:val="0"/>
        </w:rPr>
        <w:t>名词解释</w:t>
      </w:r>
      <w:bookmarkEnd w:id="63"/>
      <w:bookmarkEnd w:id="64"/>
      <w:bookmarkEnd w:id="65"/>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一般公共服务（类）</w:t>
      </w:r>
      <w:r>
        <w:rPr>
          <w:rFonts w:hint="eastAsia" w:ascii="仿宋_GB2312" w:eastAsia="仿宋_GB2312"/>
          <w:color w:val="auto"/>
          <w:sz w:val="32"/>
          <w:szCs w:val="32"/>
          <w:lang w:val="en-US" w:eastAsia="zh-CN"/>
        </w:rPr>
        <w:t>财政事务</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机关服务</w:t>
      </w:r>
      <w:r>
        <w:rPr>
          <w:rFonts w:hint="eastAsia" w:ascii="仿宋_GB2312" w:eastAsia="仿宋_GB2312"/>
          <w:color w:val="auto"/>
          <w:sz w:val="32"/>
          <w:szCs w:val="32"/>
        </w:rPr>
        <w:t>（项）：指为本部门各单位正常运行提供服务的基本支出。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FF0000"/>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一般公共服务（类）</w:t>
      </w:r>
      <w:r>
        <w:rPr>
          <w:rFonts w:hint="eastAsia" w:ascii="仿宋_GB2312" w:eastAsia="仿宋_GB2312"/>
          <w:color w:val="auto"/>
          <w:sz w:val="32"/>
          <w:szCs w:val="32"/>
          <w:lang w:val="en-US" w:eastAsia="zh-CN"/>
        </w:rPr>
        <w:t>财政事务</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信息化建设</w:t>
      </w:r>
      <w:r>
        <w:rPr>
          <w:rFonts w:hint="eastAsia" w:ascii="仿宋_GB2312" w:eastAsia="仿宋_GB2312"/>
          <w:color w:val="auto"/>
          <w:sz w:val="32"/>
          <w:szCs w:val="32"/>
        </w:rPr>
        <w:t>（项）：指用于业务软件开发、硬件购置、系统升级等信息化建设方面的项目支出。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FF0000"/>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事业单位离退休</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机关事业单位离退休人员的支出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机关事业单位基本养老保险缴费支出</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机关事业单位实施养老保险制度由单位缴纳的基本养老保险费支出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color w:val="auto"/>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机关事业单位职业年金缴费支出</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机关事业单位实施养老保险制度由单位缴纳的职业年金支出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lang w:val="en-US" w:eastAsia="zh-CN"/>
        </w:rPr>
        <w:t>卫生健康</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行政事业单位医疗</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事业单位医疗</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单位用于缴纳职工基本医疗保险的经费</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住房保障（类）</w:t>
      </w:r>
      <w:r>
        <w:rPr>
          <w:rFonts w:hint="eastAsia" w:ascii="仿宋_GB2312" w:eastAsia="仿宋_GB2312"/>
          <w:color w:val="auto"/>
          <w:sz w:val="32"/>
          <w:szCs w:val="32"/>
          <w:lang w:val="en-US" w:eastAsia="zh-CN"/>
        </w:rPr>
        <w:t>住房改革支出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住房公积金</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机关事业单位按人力资源和社会保障部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财政部规定的基本工资和经补贴以及规定比例为职工缴纳的住房公积金</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住房保障（类）</w:t>
      </w:r>
      <w:r>
        <w:rPr>
          <w:rFonts w:hint="eastAsia" w:ascii="仿宋_GB2312" w:eastAsia="仿宋_GB2312"/>
          <w:color w:val="auto"/>
          <w:sz w:val="32"/>
          <w:szCs w:val="32"/>
          <w:lang w:val="en-US" w:eastAsia="zh-CN"/>
        </w:rPr>
        <w:t>住房改革支出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购房补贴</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按房改政策规定，机关事业单位向符合条件职工发放的用于购买住房的补贴</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黑体"/>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bidi w:val="0"/>
        <w:jc w:val="center"/>
        <w:rPr>
          <w:rStyle w:val="25"/>
          <w:rFonts w:ascii="黑体" w:hAnsi="黑体" w:eastAsia="黑体"/>
          <w:b w:val="0"/>
          <w:bCs/>
        </w:rPr>
      </w:pPr>
      <w:bookmarkStart w:id="66" w:name="_Toc15377226"/>
      <w:r>
        <w:rPr>
          <w:rFonts w:ascii="宋体"/>
          <w:b/>
          <w:color w:val="000000"/>
          <w:sz w:val="44"/>
          <w:szCs w:val="44"/>
        </w:rPr>
        <w:br w:type="page"/>
      </w:r>
      <w:bookmarkStart w:id="67" w:name="_Toc15396614"/>
      <w:bookmarkStart w:id="68" w:name="_Toc3134"/>
      <w:r>
        <w:rPr>
          <w:rFonts w:hint="eastAsia" w:ascii="黑体" w:hAnsi="黑体" w:eastAsia="黑体" w:cs="黑体"/>
          <w:b w:val="0"/>
          <w:bCs w:val="0"/>
        </w:rPr>
        <w:t>第</w:t>
      </w:r>
      <w:r>
        <w:rPr>
          <w:rFonts w:hint="eastAsia" w:ascii="黑体" w:hAnsi="黑体" w:eastAsia="黑体" w:cs="黑体"/>
          <w:b w:val="0"/>
          <w:bCs w:val="0"/>
          <w:lang w:val="en-US" w:eastAsia="zh-CN"/>
        </w:rPr>
        <w:t>四部分 附件</w:t>
      </w:r>
      <w:bookmarkEnd w:id="67"/>
      <w:bookmarkEnd w:id="68"/>
    </w:p>
    <w:p>
      <w:pPr>
        <w:pStyle w:val="4"/>
        <w:bidi w:val="0"/>
        <w:rPr>
          <w:rFonts w:hint="eastAsia" w:asciiTheme="minorEastAsia" w:hAnsiTheme="minorEastAsia" w:eastAsiaTheme="minorEastAsia" w:cstheme="minorEastAsia"/>
          <w:b w:val="0"/>
          <w:bCs w:val="0"/>
          <w:lang w:val="en-US" w:eastAsia="zh-CN"/>
        </w:rPr>
      </w:pPr>
      <w:bookmarkStart w:id="69" w:name="_Toc8792"/>
      <w:r>
        <w:rPr>
          <w:rFonts w:hint="eastAsia" w:asciiTheme="minorEastAsia" w:hAnsiTheme="minorEastAsia" w:eastAsiaTheme="minorEastAsia" w:cstheme="minorEastAsia"/>
          <w:b w:val="0"/>
          <w:bCs w:val="0"/>
          <w:lang w:val="en-US" w:eastAsia="zh-CN"/>
        </w:rPr>
        <w:t>附件1</w:t>
      </w:r>
      <w:bookmarkEnd w:id="69"/>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方正小标宋简体" w:hAnsi="宋体" w:eastAsia="方正小标宋简体" w:cs="Times New Roman"/>
          <w:sz w:val="44"/>
          <w:szCs w:val="44"/>
          <w:lang w:val="en-US" w:eastAsia="zh-CN"/>
        </w:rPr>
      </w:pPr>
      <w:bookmarkStart w:id="70" w:name="_Toc15396618"/>
      <w:r>
        <w:rPr>
          <w:rFonts w:hint="eastAsia" w:ascii="方正小标宋简体" w:hAnsi="宋体" w:eastAsia="方正小标宋简体" w:cs="Times New Roman"/>
          <w:sz w:val="44"/>
          <w:szCs w:val="44"/>
          <w:lang w:val="en-US" w:eastAsia="zh-CN"/>
        </w:rPr>
        <w:t>预算项目支出绩效自评报告</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四川省政府财政管理信息系统运维服务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bookmarkStart w:id="71" w:name="_Toc14314"/>
      <w:r>
        <w:rPr>
          <w:rFonts w:hint="eastAsia" w:ascii="黑体" w:hAnsi="黑体" w:eastAsia="黑体" w:cs="黑体"/>
          <w:b w:val="0"/>
          <w:bCs/>
          <w:sz w:val="32"/>
          <w:szCs w:val="21"/>
          <w:lang w:val="en-US" w:eastAsia="zh-CN"/>
        </w:rPr>
        <w:t>一、基本情况</w:t>
      </w:r>
      <w:bookmarkEnd w:id="71"/>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bookmarkStart w:id="72" w:name="_Toc2502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政府财政管理信息系统（以下简称大平台）是我省2008年基于财政部“金财工程”应用支撑平台生长建设，并在全省财政部门和预算单位、代理银行、人民银行推广应用，涵盖预算编制、预算执行、会计核算等财政收支全过程的政府财政综合管理信息系统。截至2020年，大平台已在212个财政地区（不含成都市及所辖区县）上线应用，包含预算指标、用款计划、支付、工资统发、公务卡、预算执行动态监控等21个子系统，涉及4.9万余个预算单位、2.5万余个代理银行和人民银行，用户数共计约14万个。</w:t>
      </w:r>
      <w:bookmarkEnd w:id="72"/>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bookmarkStart w:id="73" w:name="_Toc1606"/>
      <w:r>
        <w:rPr>
          <w:rFonts w:hint="eastAsia" w:ascii="仿宋_GB2312" w:hAnsi="仿宋_GB2312" w:eastAsia="仿宋_GB2312" w:cs="仿宋_GB2312"/>
          <w:sz w:val="32"/>
          <w:szCs w:val="32"/>
        </w:rPr>
        <w:t>大平台运维服务项目由省级财政集中投入335万元，保障系统全年工作日不间断平稳运行，保证全省各级财政部门和预算单位、代理银行、人民银行用户能通过系统正常高效办理相关业务，并能为每个用户提供系统使用相关的技术支持服务。</w:t>
      </w:r>
      <w:bookmarkEnd w:id="73"/>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bookmarkStart w:id="74" w:name="_Toc31060"/>
      <w:r>
        <w:rPr>
          <w:rFonts w:hint="eastAsia" w:ascii="黑体" w:hAnsi="黑体" w:eastAsia="黑体" w:cs="黑体"/>
          <w:b w:val="0"/>
          <w:bCs/>
          <w:sz w:val="32"/>
          <w:szCs w:val="21"/>
          <w:lang w:val="en-US" w:eastAsia="zh-CN"/>
        </w:rPr>
        <w:t>二、评价工作开展情况</w:t>
      </w:r>
      <w:bookmarkEnd w:id="74"/>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bookmarkStart w:id="75" w:name="_Toc27162"/>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建绩效评价工作小组，了解情况、收集资料，研究制订评价方案，通过对照检查年度绩效三级指标（质量指标、时效指标、社会效益指标、满意度指标等）完成情况、收集服务对象反馈意见等定量与定性相结合的方法开展绩效评价工作，并撰写绩效自评报告。</w:t>
      </w:r>
      <w:bookmarkEnd w:id="75"/>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三、综合评价结论（附评分表）</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根据自评方案和年度绩效指标完成情况对大平台运维服务项目支出绩效指标进行了评定，认为本项目有效保障了四川省政府财政管理信息系统2020年全年稳定运行，圆满完成了年度总体预期目标。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四、绩效评价分析</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（一）项目决策情况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项目立项基本程序、过程规范，绩效目标设置合理，项目预算资金335万元列入2020年初部门预算，资金到位率100%。</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（二）项目管理情况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在项目实施过程中严格遵守相关法律法规和运维管理规定，资金使用符合国家财经法规和财务管理制度，以及有关专项资金管理办法的规定。</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（三）项目产出情况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四川省政府财政管理信息系统2020年全年工作日不间断提供服务。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（四）项目效益情况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全省各级财政部门和预算单位、代理银行、人民银行用户满意度达90%以上。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五、存在主要问题</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2020年，受疫情影响，省级部门预算批复时间较晚，该项目70%首批款的支付时间较往年有所推迟。此外，按照合同约定，30%合同款只能在2020年12月下旬支付，以上两个因素导致</w:t>
      </w:r>
      <w:r>
        <w:rPr>
          <w:rFonts w:hint="eastAsia" w:ascii="仿宋_GB2312" w:hAnsi="仿宋_GB2312" w:eastAsia="仿宋_GB2312" w:cs="仿宋_GB2312"/>
          <w:sz w:val="32"/>
          <w:szCs w:val="32"/>
        </w:rPr>
        <w:t>项目预算执行进度未达到量化指标。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六、相关措施建议</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rPr>
      </w:pPr>
      <w:r>
        <w:rPr>
          <w:rFonts w:hint="eastAsia" w:ascii="仿宋_GB2312" w:hAnsi="仿宋_GB2312" w:eastAsia="仿宋_GB2312" w:cs="仿宋_GB2312"/>
          <w:sz w:val="32"/>
          <w:szCs w:val="32"/>
        </w:rPr>
        <w:t>一是参考项目预算执行进度的量化指标，重新拟定后续年度合同的付款条款，确保按期完成项目预算执行进度。二是由于预算绩效管理具有一定的专业性和复杂性，需加强对单位预算绩效管理人员的培训，提升绩效评价人员的业务水平。</w:t>
      </w:r>
    </w:p>
    <w:p>
      <w:pPr>
        <w:pStyle w:val="2"/>
        <w:jc w:val="center"/>
        <w:rPr>
          <w:rFonts w:hint="default"/>
          <w:lang w:val="en-US"/>
        </w:rPr>
      </w:pPr>
      <w:r>
        <w:rPr>
          <w:rFonts w:hint="eastAsia" w:ascii="黑体" w:hAnsi="黑体" w:eastAsia="黑体" w:cs="黑体"/>
          <w:sz w:val="28"/>
          <w:szCs w:val="28"/>
          <w:lang w:val="en-US" w:eastAsia="zh-CN"/>
        </w:rPr>
        <w:t>“</w:t>
      </w:r>
      <w:r>
        <w:rPr>
          <w:rFonts w:hint="eastAsia" w:ascii="黑体" w:hAnsi="黑体" w:eastAsia="黑体" w:cs="黑体"/>
          <w:sz w:val="28"/>
          <w:szCs w:val="28"/>
        </w:rPr>
        <w:t>四川省政府财政管理信息系统运维服务</w:t>
      </w:r>
      <w:r>
        <w:rPr>
          <w:rFonts w:hint="eastAsia" w:ascii="黑体" w:hAnsi="黑体" w:eastAsia="黑体" w:cs="黑体"/>
          <w:sz w:val="28"/>
          <w:szCs w:val="28"/>
          <w:lang w:val="en-US" w:eastAsia="zh-CN"/>
        </w:rPr>
        <w:t>”预算项目绩效自评表</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45"/>
        <w:gridCol w:w="2129"/>
        <w:gridCol w:w="1290"/>
        <w:gridCol w:w="1237"/>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351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74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部门预算管理（80分）</w:t>
            </w:r>
          </w:p>
        </w:tc>
        <w:tc>
          <w:tcPr>
            <w:tcW w:w="1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预算编制（30分）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预算执行（20分）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完成结果（20分）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绩效结果应用（10分）</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整改反馈（10分）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426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93</w:t>
            </w:r>
          </w:p>
        </w:tc>
      </w:tr>
    </w:tbl>
    <w:p>
      <w:pPr>
        <w:pStyle w:val="4"/>
        <w:bidi w:val="0"/>
        <w:rPr>
          <w:rFonts w:hint="eastAsia" w:asciiTheme="minorEastAsia" w:hAnsiTheme="minorEastAsia" w:eastAsiaTheme="minorEastAsia" w:cstheme="minorEastAsia"/>
          <w:b w:val="0"/>
          <w:bCs w:val="0"/>
          <w:lang w:val="en-US" w:eastAsia="zh-CN"/>
        </w:rPr>
      </w:pPr>
    </w:p>
    <w:p>
      <w:pPr>
        <w:pStyle w:val="4"/>
        <w:bidi w:val="0"/>
        <w:rPr>
          <w:rFonts w:hint="eastAsia" w:asciiTheme="minorEastAsia" w:hAnsiTheme="minorEastAsia" w:eastAsiaTheme="minorEastAsia" w:cstheme="minorEastAsia"/>
          <w:b w:val="0"/>
          <w:bCs w:val="0"/>
          <w:lang w:val="en-US" w:eastAsia="zh-CN"/>
        </w:rPr>
      </w:pPr>
      <w:bookmarkStart w:id="76" w:name="_Toc4841"/>
      <w:r>
        <w:rPr>
          <w:rFonts w:hint="eastAsia" w:asciiTheme="minorEastAsia" w:hAnsiTheme="minorEastAsia" w:eastAsiaTheme="minorEastAsia" w:cstheme="minorEastAsia"/>
          <w:b w:val="0"/>
          <w:bCs w:val="0"/>
          <w:lang w:val="en-US" w:eastAsia="zh-CN"/>
        </w:rPr>
        <w:t>附件2</w:t>
      </w:r>
      <w:bookmarkEnd w:id="76"/>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宋体" w:eastAsia="方正小标宋简体" w:cs="Times New Roman"/>
          <w:kern w:val="2"/>
          <w:sz w:val="44"/>
          <w:szCs w:val="44"/>
          <w:lang w:val="en-US" w:eastAsia="zh-CN" w:bidi="ar-SA"/>
        </w:rPr>
        <w:t>预算项目支出绩效自评报告</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电信线路服务租用费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项目）</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一、基本情况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为中国电信提供的线路租用服务，该线路所承载业务涵盖政府财税管理，政府非税收入管理，国库管理，财政相关制度制定管理等。具体内容包括：金财网二级骨干网线路23条（即省财政厅到21个市（州）财政局的专线线路)、省财政厅三网行业短信系统1套（含服务器和线路租用）、省政务云专线电路4条、财税库银专线电路1条、国库支付管理系统专网电路6条、省本级预算单位接入电路1条、财政厅互联网出口光线1条、数字中继系统6套。供应商严格按照采购文件、响应文件和合同履行义务，服务期间所有线路运行状况良好，未出现中断现象。项目资金严格按照合同支付，项目绩效目标全部达成。</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二、评价工作开展情况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由信息中心网络安全科自行组织项目支出绩效自评，评价指标体系按照年初制定的进行，包括数量指标、时效指标、成本指标、社会效益指标、满意度指标。评价方法为结合每月月报、故障处置等进行验收的情况进行评价，评价标准严格按照采购文件、响应文件和合同内容的履约验收要求进行。</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三、综合评价结论（附评分表）</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根据自评方案和年度绩效指标完成情况对金财专网和互联网线路租用服务项目支出绩效指标进行了评定，认为本项目有效保障了金财专网和互联网线路2020年全年稳定运行，圆满完成了年度总体预期目标。</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绩效评价分析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12月19日，信息中心集体研究讨论了本项目采购需求，并对采购内容及标准、供应商资格条件、评分标准等关键点逐一讨论，修改完善，按照政府采购规定组织专家需求论证后，提交省政府采购中心编制采购文件，并依法实施采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本项目按照《四川省财政信息中心运维服务管理办法》进行质量考核和管理，并根据考核结果支付绩效服务费。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产出情况指标值为100%，线路租用数量与采购文件、响应文件和合同约定一致，共计36条，省财政厅三网行业短信系统1套，数字中继系统6套；服务时间为2020年1月1日至2020年12月31日，除特殊情况需要进行线路维护外，实现了不间断服务；项目支出为340万。</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本项目社会效益指标值为100%，通过利用科学的、统一的运维管理规范，为应用支撑平台基础数据、业务系统运行服务和技术提供电信线路保障服务，提高了财政部门的社会服务水平。</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五、存在主要问题</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2020年，受疫情影响，省级部门预算批复时间较晚，该项目90%首批款的支付时间较往年有所推迟，导致项目预算执行进度未达到量化指标。</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六、相关措施建议</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“电信线路服务租用费”预算项目绩效自评表</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83"/>
        <w:gridCol w:w="2006"/>
        <w:gridCol w:w="1684"/>
        <w:gridCol w:w="1109"/>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3703"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63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3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部门预算管理（80分）</w:t>
            </w:r>
          </w:p>
        </w:tc>
        <w:tc>
          <w:tcPr>
            <w:tcW w:w="120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预算编制（30分）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预算执行（20分）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完成结果（20分）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绩效结果应用（10分）</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信息公开（10分)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整改反馈（10分）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4368"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94</w:t>
            </w:r>
          </w:p>
        </w:tc>
      </w:tr>
    </w:tbl>
    <w:p>
      <w:pPr>
        <w:pStyle w:val="6"/>
        <w:ind w:left="0" w:leftChars="0" w:firstLine="64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3"/>
        <w:bidi w:val="0"/>
        <w:jc w:val="center"/>
        <w:rPr>
          <w:rFonts w:hint="eastAsia" w:ascii="黑体" w:hAnsi="黑体" w:eastAsia="黑体" w:cs="黑体"/>
          <w:b w:val="0"/>
          <w:bCs w:val="0"/>
        </w:rPr>
      </w:pPr>
      <w:bookmarkStart w:id="77" w:name="_Toc21066"/>
      <w:r>
        <w:rPr>
          <w:rFonts w:hint="eastAsia" w:ascii="黑体" w:hAnsi="黑体" w:eastAsia="黑体" w:cs="黑体"/>
          <w:b w:val="0"/>
          <w:bCs w:val="0"/>
        </w:rPr>
        <w:t>第五部分 附表</w:t>
      </w:r>
      <w:bookmarkEnd w:id="66"/>
      <w:bookmarkEnd w:id="70"/>
      <w:bookmarkEnd w:id="77"/>
      <w:bookmarkStart w:id="78" w:name="_Toc1539661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收入支出决算总表</w:t>
      </w:r>
      <w:bookmarkEnd w:id="78"/>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79" w:name="_Toc15396620"/>
      <w:r>
        <w:rPr>
          <w:rFonts w:hint="eastAsia" w:ascii="仿宋_GB2312" w:hAnsi="仿宋_GB2312" w:eastAsia="仿宋_GB2312" w:cs="仿宋_GB2312"/>
          <w:sz w:val="32"/>
          <w:szCs w:val="32"/>
        </w:rPr>
        <w:t>收入决算表</w:t>
      </w:r>
      <w:bookmarkEnd w:id="7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0" w:name="_Toc15396621"/>
      <w:r>
        <w:rPr>
          <w:rFonts w:hint="eastAsia" w:ascii="仿宋_GB2312" w:hAnsi="仿宋_GB2312" w:eastAsia="仿宋_GB2312" w:cs="仿宋_GB2312"/>
          <w:sz w:val="32"/>
          <w:szCs w:val="32"/>
        </w:rPr>
        <w:t>支出决算表</w:t>
      </w:r>
      <w:bookmarkEnd w:id="8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1" w:name="_Toc15396622"/>
      <w:r>
        <w:rPr>
          <w:rFonts w:hint="eastAsia" w:ascii="仿宋_GB2312" w:hAnsi="仿宋_GB2312" w:eastAsia="仿宋_GB2312" w:cs="仿宋_GB2312"/>
          <w:sz w:val="32"/>
          <w:szCs w:val="32"/>
        </w:rPr>
        <w:t>财政拨款收入支出决算总表</w:t>
      </w:r>
      <w:bookmarkEnd w:id="81"/>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2" w:name="_Toc15396623"/>
      <w:r>
        <w:rPr>
          <w:rFonts w:hint="eastAsia" w:ascii="仿宋_GB2312" w:hAnsi="仿宋_GB2312" w:eastAsia="仿宋_GB2312" w:cs="仿宋_GB2312"/>
          <w:sz w:val="32"/>
          <w:szCs w:val="32"/>
        </w:rPr>
        <w:t>财政拨款支出决算明细表</w:t>
      </w:r>
      <w:bookmarkEnd w:id="82"/>
      <w:bookmarkStart w:id="83" w:name="_Toc1539662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一般公共预算财政拨款支出决算表</w:t>
      </w:r>
      <w:bookmarkEnd w:id="8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4" w:name="_Toc15396625"/>
      <w:r>
        <w:rPr>
          <w:rFonts w:hint="eastAsia" w:ascii="仿宋_GB2312" w:hAnsi="仿宋_GB2312" w:eastAsia="仿宋_GB2312" w:cs="仿宋_GB2312"/>
          <w:sz w:val="32"/>
          <w:szCs w:val="32"/>
        </w:rPr>
        <w:t>一般公共预算财政拨款支出决算明细表</w:t>
      </w:r>
      <w:bookmarkEnd w:id="8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5" w:name="_Toc15396626"/>
      <w:r>
        <w:rPr>
          <w:rFonts w:hint="eastAsia" w:ascii="仿宋_GB2312" w:hAnsi="仿宋_GB2312" w:eastAsia="仿宋_GB2312" w:cs="仿宋_GB2312"/>
          <w:sz w:val="32"/>
          <w:szCs w:val="32"/>
        </w:rPr>
        <w:t>一般公共预算财政拨款基本支出决算表</w:t>
      </w:r>
      <w:bookmarkEnd w:id="85"/>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6" w:name="_Toc15396627"/>
      <w:r>
        <w:rPr>
          <w:rFonts w:hint="eastAsia" w:ascii="仿宋_GB2312" w:hAnsi="仿宋_GB2312" w:eastAsia="仿宋_GB2312" w:cs="仿宋_GB2312"/>
          <w:sz w:val="32"/>
          <w:szCs w:val="32"/>
        </w:rPr>
        <w:t>一般公共预算财政拨款项目支出决算表</w:t>
      </w:r>
      <w:bookmarkEnd w:id="86"/>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7" w:name="_Toc15396628"/>
      <w:r>
        <w:rPr>
          <w:rFonts w:hint="eastAsia" w:ascii="仿宋_GB2312" w:hAnsi="仿宋_GB2312" w:eastAsia="仿宋_GB2312" w:cs="仿宋_GB2312"/>
          <w:sz w:val="32"/>
          <w:szCs w:val="32"/>
        </w:rPr>
        <w:t>一般公共预算财政拨款“三公”经费支出决算表</w:t>
      </w:r>
      <w:bookmarkEnd w:id="87"/>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8" w:name="_Toc15396629"/>
      <w:r>
        <w:rPr>
          <w:rFonts w:hint="eastAsia" w:ascii="仿宋_GB2312" w:hAnsi="仿宋_GB2312" w:eastAsia="仿宋_GB2312" w:cs="仿宋_GB2312"/>
          <w:sz w:val="32"/>
          <w:szCs w:val="32"/>
        </w:rPr>
        <w:t>政府性基金预算财政拨款收入支出决算表</w:t>
      </w:r>
      <w:bookmarkEnd w:id="88"/>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9" w:name="_Toc15396630"/>
      <w:r>
        <w:rPr>
          <w:rFonts w:hint="eastAsia" w:ascii="仿宋_GB2312" w:hAnsi="仿宋_GB2312" w:eastAsia="仿宋_GB2312" w:cs="仿宋_GB2312"/>
          <w:sz w:val="32"/>
          <w:szCs w:val="32"/>
        </w:rPr>
        <w:t>政府性基金预算财政拨款“三公”经费支出决算表</w:t>
      </w:r>
      <w:bookmarkEnd w:id="8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0" w:name="_Toc15396631"/>
      <w:r>
        <w:rPr>
          <w:rFonts w:hint="eastAsia" w:ascii="仿宋_GB2312" w:hAnsi="仿宋_GB2312" w:eastAsia="仿宋_GB2312" w:cs="仿宋_GB2312"/>
          <w:sz w:val="32"/>
          <w:szCs w:val="32"/>
        </w:rPr>
        <w:t>国有资本经营预算财政拨款收入支出决算表</w:t>
      </w:r>
      <w:bookmarkEnd w:id="9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国有资本经营预算财政拨款支出决算表</w:t>
      </w: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sdt>
      <w:sdtPr>
        <w:id w:val="-1994781956"/>
      </w:sdt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2F880"/>
    <w:multiLevelType w:val="singleLevel"/>
    <w:tmpl w:val="32E2F880"/>
    <w:lvl w:ilvl="0" w:tentative="0">
      <w:start w:val="1"/>
      <w:numFmt w:val="chineseCounting"/>
      <w:suff w:val="nothing"/>
      <w:lvlText w:val="%1、"/>
      <w:lvlJc w:val="left"/>
      <w:rPr>
        <w:rFonts w:hint="eastAsia"/>
      </w:rPr>
    </w:lvl>
  </w:abstractNum>
  <w:abstractNum w:abstractNumId="1">
    <w:nsid w:val="4F0D1BBF"/>
    <w:multiLevelType w:val="singleLevel"/>
    <w:tmpl w:val="4F0D1BBF"/>
    <w:lvl w:ilvl="0" w:tentative="0">
      <w:start w:val="4"/>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1D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2BE8"/>
    <w:rsid w:val="000C3467"/>
    <w:rsid w:val="000C3CA6"/>
    <w:rsid w:val="000D1267"/>
    <w:rsid w:val="000D1D50"/>
    <w:rsid w:val="000D5782"/>
    <w:rsid w:val="000E6613"/>
    <w:rsid w:val="000E7119"/>
    <w:rsid w:val="00114E9B"/>
    <w:rsid w:val="00142216"/>
    <w:rsid w:val="00144D6A"/>
    <w:rsid w:val="0014729F"/>
    <w:rsid w:val="00152C0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7A28"/>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0E15"/>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5759"/>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319"/>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6049"/>
    <w:rsid w:val="01C846B8"/>
    <w:rsid w:val="02054B54"/>
    <w:rsid w:val="03631F30"/>
    <w:rsid w:val="05981644"/>
    <w:rsid w:val="07DC6ABC"/>
    <w:rsid w:val="099565AD"/>
    <w:rsid w:val="09B840C2"/>
    <w:rsid w:val="0A2032A3"/>
    <w:rsid w:val="0BFB5BE9"/>
    <w:rsid w:val="0C704E79"/>
    <w:rsid w:val="0D0C7D72"/>
    <w:rsid w:val="0D451204"/>
    <w:rsid w:val="0E3F07BD"/>
    <w:rsid w:val="0EE73C0B"/>
    <w:rsid w:val="10A04A13"/>
    <w:rsid w:val="10C055FF"/>
    <w:rsid w:val="115F1B29"/>
    <w:rsid w:val="118107EC"/>
    <w:rsid w:val="11D473A4"/>
    <w:rsid w:val="12355B6C"/>
    <w:rsid w:val="12500D51"/>
    <w:rsid w:val="154C1886"/>
    <w:rsid w:val="15594996"/>
    <w:rsid w:val="15625C34"/>
    <w:rsid w:val="16BB723D"/>
    <w:rsid w:val="17115E4D"/>
    <w:rsid w:val="18015F3F"/>
    <w:rsid w:val="184A36E4"/>
    <w:rsid w:val="191562B5"/>
    <w:rsid w:val="195F701D"/>
    <w:rsid w:val="1A5356A4"/>
    <w:rsid w:val="1A6A13EA"/>
    <w:rsid w:val="1B3F4BEE"/>
    <w:rsid w:val="1B793F0B"/>
    <w:rsid w:val="1BB06EBD"/>
    <w:rsid w:val="1BE8440E"/>
    <w:rsid w:val="1C346B48"/>
    <w:rsid w:val="1D155CEE"/>
    <w:rsid w:val="1D884AF7"/>
    <w:rsid w:val="1E585626"/>
    <w:rsid w:val="1FBF5CB1"/>
    <w:rsid w:val="20F57F95"/>
    <w:rsid w:val="21464DD8"/>
    <w:rsid w:val="21B64D50"/>
    <w:rsid w:val="225D6D9E"/>
    <w:rsid w:val="240371BF"/>
    <w:rsid w:val="242946C1"/>
    <w:rsid w:val="255B6704"/>
    <w:rsid w:val="26753A01"/>
    <w:rsid w:val="27527038"/>
    <w:rsid w:val="28850A25"/>
    <w:rsid w:val="29FD04D3"/>
    <w:rsid w:val="2AAB57FF"/>
    <w:rsid w:val="2ABE7A3E"/>
    <w:rsid w:val="2E841C7F"/>
    <w:rsid w:val="319F7F4E"/>
    <w:rsid w:val="334D3B3D"/>
    <w:rsid w:val="33B367CD"/>
    <w:rsid w:val="37700458"/>
    <w:rsid w:val="38140E18"/>
    <w:rsid w:val="38D84E79"/>
    <w:rsid w:val="392E25D2"/>
    <w:rsid w:val="39381BC6"/>
    <w:rsid w:val="399146FA"/>
    <w:rsid w:val="39A17147"/>
    <w:rsid w:val="3B0814C9"/>
    <w:rsid w:val="3C0C0783"/>
    <w:rsid w:val="3C7A7EE1"/>
    <w:rsid w:val="3C867E5B"/>
    <w:rsid w:val="3CBB5FDD"/>
    <w:rsid w:val="3DAB1BD0"/>
    <w:rsid w:val="3E03056C"/>
    <w:rsid w:val="412E63A0"/>
    <w:rsid w:val="420F2C95"/>
    <w:rsid w:val="422C1952"/>
    <w:rsid w:val="45330615"/>
    <w:rsid w:val="454714DC"/>
    <w:rsid w:val="45ED512D"/>
    <w:rsid w:val="462C71FA"/>
    <w:rsid w:val="46D51E86"/>
    <w:rsid w:val="48653A80"/>
    <w:rsid w:val="48762E5E"/>
    <w:rsid w:val="496F39ED"/>
    <w:rsid w:val="497D53BB"/>
    <w:rsid w:val="4A22501B"/>
    <w:rsid w:val="4BE068DB"/>
    <w:rsid w:val="4BF6002B"/>
    <w:rsid w:val="4DFF62EA"/>
    <w:rsid w:val="4E4E6F7F"/>
    <w:rsid w:val="4ECE2238"/>
    <w:rsid w:val="4F3D6B53"/>
    <w:rsid w:val="516E720B"/>
    <w:rsid w:val="52410C5B"/>
    <w:rsid w:val="524A3D5A"/>
    <w:rsid w:val="53993180"/>
    <w:rsid w:val="55682FE6"/>
    <w:rsid w:val="597D6CEC"/>
    <w:rsid w:val="597F352E"/>
    <w:rsid w:val="59C77251"/>
    <w:rsid w:val="5A7023AE"/>
    <w:rsid w:val="5AB70FAA"/>
    <w:rsid w:val="5B3E455E"/>
    <w:rsid w:val="5B5E5CFD"/>
    <w:rsid w:val="5CE53DFA"/>
    <w:rsid w:val="5E7339ED"/>
    <w:rsid w:val="60F07582"/>
    <w:rsid w:val="61C54FC0"/>
    <w:rsid w:val="63473945"/>
    <w:rsid w:val="64417FA8"/>
    <w:rsid w:val="64AA4E1F"/>
    <w:rsid w:val="64CA39A1"/>
    <w:rsid w:val="65AA5455"/>
    <w:rsid w:val="679F44DE"/>
    <w:rsid w:val="68477506"/>
    <w:rsid w:val="68C54451"/>
    <w:rsid w:val="6964585E"/>
    <w:rsid w:val="69F44661"/>
    <w:rsid w:val="6ACF0827"/>
    <w:rsid w:val="6B283678"/>
    <w:rsid w:val="6B5F66B7"/>
    <w:rsid w:val="6B617572"/>
    <w:rsid w:val="6C4A05C8"/>
    <w:rsid w:val="6C726FA3"/>
    <w:rsid w:val="6D615975"/>
    <w:rsid w:val="6FE71430"/>
    <w:rsid w:val="71914721"/>
    <w:rsid w:val="721336AD"/>
    <w:rsid w:val="72734D90"/>
    <w:rsid w:val="72765C8F"/>
    <w:rsid w:val="72C02FAE"/>
    <w:rsid w:val="72D448C4"/>
    <w:rsid w:val="73330D4E"/>
    <w:rsid w:val="74AD156B"/>
    <w:rsid w:val="75DB3A65"/>
    <w:rsid w:val="76E70828"/>
    <w:rsid w:val="787F1C30"/>
    <w:rsid w:val="794E7569"/>
    <w:rsid w:val="799D06DA"/>
    <w:rsid w:val="7A623784"/>
    <w:rsid w:val="7AB532B3"/>
    <w:rsid w:val="7B4633F5"/>
    <w:rsid w:val="7D7A7FD4"/>
    <w:rsid w:val="7D8C4BD1"/>
    <w:rsid w:val="7E3C4202"/>
    <w:rsid w:val="7EE7678E"/>
    <w:rsid w:val="7F2665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Normal Indent"/>
    <w:basedOn w:val="1"/>
    <w:qFormat/>
    <w:uiPriority w:val="0"/>
    <w:pPr>
      <w:ind w:firstLine="200" w:firstLine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31"/>
    <w:basedOn w:val="14"/>
    <w:qFormat/>
    <w:uiPriority w:val="0"/>
    <w:rPr>
      <w:rFonts w:ascii="Arial" w:hAnsi="Arial" w:cs="Arial"/>
      <w:color w:val="000000"/>
      <w:sz w:val="20"/>
      <w:szCs w:val="20"/>
      <w:u w:val="none"/>
    </w:rPr>
  </w:style>
  <w:style w:type="character" w:customStyle="1" w:styleId="32">
    <w:name w:val="font21"/>
    <w:basedOn w:val="14"/>
    <w:qFormat/>
    <w:uiPriority w:val="0"/>
    <w:rPr>
      <w:rFonts w:hint="eastAsia" w:ascii="宋体" w:hAnsi="宋体" w:eastAsia="宋体" w:cs="宋体"/>
      <w:color w:val="000000"/>
      <w:sz w:val="20"/>
      <w:szCs w:val="20"/>
      <w:u w:val="none"/>
    </w:rPr>
  </w:style>
  <w:style w:type="character" w:customStyle="1" w:styleId="33">
    <w:name w:val="font41"/>
    <w:basedOn w:val="14"/>
    <w:qFormat/>
    <w:uiPriority w:val="0"/>
    <w:rPr>
      <w:rFonts w:hint="eastAsia" w:ascii="宋体" w:hAnsi="宋体" w:eastAsia="宋体" w:cs="宋体"/>
      <w:color w:val="000000"/>
      <w:sz w:val="20"/>
      <w:szCs w:val="20"/>
      <w:u w:val="none"/>
    </w:rPr>
  </w:style>
  <w:style w:type="character" w:customStyle="1" w:styleId="34">
    <w:name w:val="font01"/>
    <w:basedOn w:val="14"/>
    <w:qFormat/>
    <w:uiPriority w:val="0"/>
    <w:rPr>
      <w:rFonts w:hint="default" w:ascii="Arial" w:hAnsi="Arial" w:cs="Arial"/>
      <w:color w:val="000000"/>
      <w:sz w:val="20"/>
      <w:szCs w:val="20"/>
      <w:u w:val="none"/>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Lbls>
            <c:dLbl>
              <c:idx val="0"/>
              <c:layout>
                <c:manualLayout>
                  <c:x val="0.00902861241548138"/>
                  <c:y val="-0.280894696246484"/>
                </c:manualLayout>
              </c:layout>
              <c:tx>
                <c:rich>
                  <a:bodyPr rot="0" spcFirstLastPara="1" vertOverflow="ellipsis" vert="horz" wrap="square" lIns="38100" tIns="19050" rIns="38100" bIns="19050" anchor="ctr" anchorCtr="1">
                    <a:spAutoFit/>
                  </a:bodyPr>
                  <a:lstStyle/>
                  <a:p>
                    <a:pPr defTabSz="914400">
                      <a:defRPr lang="zh-CN" sz="900" b="0" i="0" u="none" strike="noStrike" kern="1200" baseline="0">
                        <a:solidFill>
                          <a:schemeClr val="bg1"/>
                        </a:solidFill>
                        <a:latin typeface="+mn-lt"/>
                        <a:ea typeface="+mn-ea"/>
                        <a:cs typeface="+mn-cs"/>
                      </a:defRPr>
                    </a:pPr>
                    <a:r>
                      <a:rPr b="1">
                        <a:solidFill>
                          <a:sysClr val="windowText" lastClr="000000"/>
                        </a:solidFill>
                      </a:rPr>
                      <a:t>一般公共预算</a:t>
                    </a:r>
                    <a:endParaRPr b="1">
                      <a:solidFill>
                        <a:sysClr val="windowText" lastClr="000000"/>
                      </a:solidFill>
                    </a:endParaRPr>
                  </a:p>
                  <a:p>
                    <a:pPr defTabSz="914400">
                      <a:defRPr lang="zh-CN" sz="900" b="0" i="0" u="none" strike="noStrike" kern="1200" baseline="0">
                        <a:solidFill>
                          <a:schemeClr val="bg1"/>
                        </a:solidFill>
                        <a:latin typeface="+mn-lt"/>
                        <a:ea typeface="+mn-ea"/>
                        <a:cs typeface="+mn-cs"/>
                      </a:defRPr>
                    </a:pPr>
                    <a:r>
                      <a:rPr b="1">
                        <a:solidFill>
                          <a:sysClr val="windowText" lastClr="000000"/>
                        </a:solidFill>
                      </a:rPr>
                      <a:t>财政拨款收入3210.75万元, </a:t>
                    </a:r>
                    <a:endParaRPr b="1">
                      <a:solidFill>
                        <a:sysClr val="windowText" lastClr="000000"/>
                      </a:solidFill>
                    </a:endParaRPr>
                  </a:p>
                  <a:p>
                    <a:pPr defTabSz="914400">
                      <a:defRPr lang="zh-CN" sz="900" b="0" i="0" u="none" strike="noStrike" kern="1200" baseline="0">
                        <a:solidFill>
                          <a:schemeClr val="bg1"/>
                        </a:solidFill>
                        <a:latin typeface="+mn-lt"/>
                        <a:ea typeface="+mn-ea"/>
                        <a:cs typeface="+mn-cs"/>
                      </a:defRPr>
                    </a:pPr>
                    <a:r>
                      <a:rPr b="1">
                        <a:solidFill>
                          <a:sysClr val="windowText" lastClr="000000"/>
                        </a:solidFill>
                      </a:rPr>
                      <a:t>占本年收入100%</a:t>
                    </a:r>
                    <a:endParaRPr b="1">
                      <a:solidFill>
                        <a:sysClr val="windowText" lastClr="000000"/>
                      </a:solidFill>
                    </a:endParaRPr>
                  </a:p>
                </c:rich>
              </c:tx>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08764748374669"/>
                      <c:h val="0.230134158926729"/>
                    </c:manualLayout>
                  </c15:layout>
                </c:ext>
              </c:extLst>
            </c:dLbl>
            <c:dLbl>
              <c:idx val="1"/>
              <c:delete val="1"/>
            </c:dLbl>
            <c:dLbl>
              <c:idx val="2"/>
              <c:delete val="1"/>
            </c:dLbl>
            <c:dLbl>
              <c:idx val="3"/>
              <c:delete val="1"/>
            </c:dLbl>
            <c:dLbl>
              <c:idx val="4"/>
              <c:delete val="1"/>
            </c:dLbl>
            <c:dLbl>
              <c:idx val="5"/>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一般公共预算财政拨款收入</c:v>
                </c:pt>
                <c:pt idx="1">
                  <c:v>政府性基金纂财政拨款收入</c:v>
                </c:pt>
                <c:pt idx="2">
                  <c:v>上级补助收入</c:v>
                </c:pt>
                <c:pt idx="3">
                  <c:v>事业收入</c:v>
                </c:pt>
                <c:pt idx="4">
                  <c:v>经营收入</c:v>
                </c:pt>
                <c:pt idx="5">
                  <c:v>附属单位上缴</c:v>
                </c:pt>
              </c:strCache>
            </c:strRef>
          </c:cat>
          <c:val>
            <c:numRef>
              <c:f>Sheet1!$B$2:$B$7</c:f>
              <c:numCache>
                <c:formatCode>General</c:formatCode>
                <c:ptCount val="6"/>
                <c:pt idx="0">
                  <c:v>3210.75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163640582169117"/>
                  <c:y val="0.05725978581581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b="1">
                        <a:solidFill>
                          <a:sysClr val="windowText" lastClr="000000"/>
                        </a:solidFill>
                      </a:rPr>
                      <a:t>基本支出317.1万元占9.88%</a:t>
                    </a:r>
                    <a:endParaRPr b="1">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82059000602047"/>
                      <c:h val="0.139604171100234"/>
                    </c:manualLayout>
                  </c15:layout>
                </c:ext>
              </c:extLst>
            </c:dLbl>
            <c:dLbl>
              <c:idx val="1"/>
              <c:layout>
                <c:manualLayout>
                  <c:x val="0.0772935227546352"/>
                  <c:y val="-0.2427673422193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b="1">
                        <a:solidFill>
                          <a:sysClr val="windowText" lastClr="000000"/>
                        </a:solidFill>
                      </a:rPr>
                      <a:t>项目支出2893.65万元占90.12%</a:t>
                    </a:r>
                    <a:endParaRPr b="1">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0042143287176"/>
                      <c:h val="0.201745052138753"/>
                    </c:manualLayout>
                  </c15:layout>
                </c:ext>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基本支出</c:v>
                </c:pt>
                <c:pt idx="1">
                  <c:v>项目支出</c:v>
                </c:pt>
                <c:pt idx="2">
                  <c:v>上级补助收入</c:v>
                </c:pt>
                <c:pt idx="3">
                  <c:v>经营支出</c:v>
                </c:pt>
                <c:pt idx="4">
                  <c:v>对附属单位补助支出</c:v>
                </c:pt>
              </c:strCache>
            </c:strRef>
          </c:cat>
          <c:val>
            <c:numRef>
              <c:f>Sheet1!$B$2:$B$6</c:f>
              <c:numCache>
                <c:formatCode>General</c:formatCode>
                <c:ptCount val="5"/>
                <c:pt idx="0">
                  <c:v>317.1</c:v>
                </c:pt>
                <c:pt idx="1">
                  <c:v>2893.65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2916256806429"/>
                  <c:y val="-0.2925767005434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一般公共预算财政拨款支出3110.45万元,占 96.88%</a:t>
                    </a:r>
                    <a:endParaRPr b="1"/>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351480188998059"/>
                  <c:y val="0.2591483753716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社会保障和就业支出34.62万元</a:t>
                    </a:r>
                    <a:r>
                      <a:rPr lang="en-US" altLang="zh-CN" b="1"/>
                      <a:t>,</a:t>
                    </a:r>
                    <a:r>
                      <a:rPr altLang="en-US" b="1"/>
                      <a:t>占</a:t>
                    </a:r>
                    <a:r>
                      <a:rPr altLang="zh-CN" b="1"/>
                      <a:t>1.0</a:t>
                    </a:r>
                    <a:r>
                      <a:rPr lang="en-US" altLang="zh-CN" b="1"/>
                      <a:t>8%</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299096774193548"/>
                      <c:h val="0.294642857142857"/>
                    </c:manualLayout>
                  </c15:layout>
                </c:ext>
              </c:extLst>
            </c:dLbl>
            <c:dLbl>
              <c:idx val="2"/>
              <c:layout>
                <c:manualLayout>
                  <c:x val="0.332861129199443"/>
                  <c:y val="0.09744612230705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卫生健康支出19.35万元</a:t>
                    </a:r>
                    <a:r>
                      <a:rPr lang="en-US" altLang="zh-CN" b="1"/>
                      <a:t>,</a:t>
                    </a:r>
                    <a:r>
                      <a:rPr altLang="en-US" b="1"/>
                      <a:t>占</a:t>
                    </a:r>
                    <a:r>
                      <a:rPr altLang="zh-CN" b="1"/>
                      <a:t>0.6</a:t>
                    </a:r>
                    <a:r>
                      <a:rPr lang="en-US" altLang="zh-CN" b="1"/>
                      <a:t>%</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337889039242219"/>
                      <c:h val="0.122846441947566"/>
                    </c:manualLayout>
                  </c15:layout>
                </c:ext>
              </c:extLst>
            </c:dLbl>
            <c:dLbl>
              <c:idx val="3"/>
              <c:layout>
                <c:manualLayout>
                  <c:x val="-0.293139025962747"/>
                  <c:y val="0.1595051708424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住房保障支出46.33万元</a:t>
                    </a:r>
                    <a:r>
                      <a:rPr lang="en-US" altLang="zh-CN" b="1"/>
                      <a:t>,</a:t>
                    </a:r>
                    <a:r>
                      <a:rPr altLang="en-US" b="1"/>
                      <a:t>占</a:t>
                    </a:r>
                    <a:r>
                      <a:rPr altLang="zh-CN" b="1"/>
                      <a:t>1.4</a:t>
                    </a:r>
                    <a:r>
                      <a:rPr lang="en-US" altLang="zh-CN" b="1"/>
                      <a:t>4%</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35128552097429"/>
                      <c:h val="0.11710362047440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卫生健康(类)</c:v>
                </c:pt>
                <c:pt idx="3">
                  <c:v>住房保障(类)</c:v>
                </c:pt>
              </c:strCache>
            </c:strRef>
          </c:cat>
          <c:val>
            <c:numRef>
              <c:f>Sheet1!$B$2:$B$5</c:f>
              <c:numCache>
                <c:formatCode>General</c:formatCode>
                <c:ptCount val="4"/>
                <c:pt idx="0">
                  <c:v>3110.45</c:v>
                </c:pt>
                <c:pt idx="1">
                  <c:v>34.62</c:v>
                </c:pt>
                <c:pt idx="2">
                  <c:v>19.35</c:v>
                </c:pt>
                <c:pt idx="3">
                  <c:v>46.33</c:v>
                </c:pt>
              </c:numCache>
            </c:numRef>
          </c:val>
        </c:ser>
        <c:dLbls>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1924</Words>
  <Characters>10969</Characters>
  <Lines>91</Lines>
  <Paragraphs>25</Paragraphs>
  <TotalTime>4</TotalTime>
  <ScaleCrop>false</ScaleCrop>
  <LinksUpToDate>false</LinksUpToDate>
  <CharactersWithSpaces>12868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2021-08-27T08:03:00Z</dcterms:created>
  <dc:creator>曹颖</dc:creator>
  <cp:lastModifiedBy>罗璇</cp:lastModifiedBy>
  <cp:lastPrinted>2021-07-29T03:56:00Z</cp:lastPrinted>
  <dcterms:modified xsi:type="dcterms:W3CDTF">2021-09-10T01:24:38Z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CC10A4DCF95E478C9F1C0F9FC2B4060A</vt:lpwstr>
  </property>
  <property fmtid="{D5CDD505-2E9C-101B-9397-08002B2CF9AE}" pid="4" name="KSOSaveFontToCloudKey">
    <vt:lpwstr>832583222_btnclosed</vt:lpwstr>
  </property>
</Properties>
</file>