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96598"/>
      <w:bookmarkStart w:id="2" w:name="_Toc15377426"/>
      <w:bookmarkStart w:id="3" w:name="_Toc15377194"/>
      <w:bookmarkStart w:id="4" w:name="_Toc15396476"/>
      <w:bookmarkStart w:id="5" w:name="_Toc15378442"/>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0"/>
      <w:bookmarkStart w:id="6" w:name="_Toc15306268"/>
      <w:r>
        <w:rPr>
          <w:rFonts w:hint="eastAsia" w:ascii="Times New Roman" w:hAnsi="Times New Roman" w:eastAsia="方正小标宋简体" w:cs="Times New Roman"/>
          <w:color w:val="auto"/>
          <w:kern w:val="2"/>
          <w:sz w:val="44"/>
          <w:szCs w:val="44"/>
          <w:highlight w:val="none"/>
          <w:lang w:val="en-US" w:eastAsia="zh-CN" w:bidi="ar-SA"/>
        </w:rPr>
        <w:t>民族地区经济开发中心</w:t>
      </w: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1"/>
      <w:bookmarkEnd w:id="2"/>
      <w:bookmarkEnd w:id="3"/>
      <w:bookmarkEnd w:id="4"/>
      <w:bookmarkEnd w:id="5"/>
      <w:bookmarkEnd w:id="6"/>
    </w:p>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2973"/>
        <w15:color w:val="DBDBDB"/>
        <w:docPartObj>
          <w:docPartGallery w:val="Table of Contents"/>
          <w:docPartUnique/>
        </w:docPartObj>
      </w:sdtPr>
      <w:sdtEndPr>
        <w:rPr>
          <w:rFonts w:hint="eastAsia" w:ascii="Times New Roman" w:hAnsi="Times New Roman" w:eastAsia="宋体" w:cs="Times New Roman"/>
          <w:b/>
          <w:kern w:val="2"/>
          <w:sz w:val="18"/>
          <w:szCs w:val="18"/>
          <w:lang w:val="en-US" w:eastAsia="zh-CN" w:bidi="ar-SA"/>
        </w:rPr>
      </w:sdtEndPr>
      <w:sdtContent>
        <w:p>
          <w:pPr>
            <w:pStyle w:val="36"/>
            <w:pageBreakBefore w:val="0"/>
            <w:tabs>
              <w:tab w:val="right" w:leader="dot" w:pos="8306"/>
            </w:tabs>
            <w:kinsoku/>
            <w:wordWrap/>
            <w:overflowPunct/>
            <w:topLinePunct w:val="0"/>
            <w:autoSpaceDE/>
            <w:autoSpaceDN/>
            <w:bidi w:val="0"/>
            <w:spacing w:line="560" w:lineRule="exact"/>
            <w:textAlignment w:val="auto"/>
            <w:rPr>
              <w:b/>
            </w:rPr>
          </w:pPr>
          <w:bookmarkStart w:id="7" w:name="_Toc15377196"/>
          <w:bookmarkStart w:id="8" w:name="_Toc15396599"/>
          <w:r>
            <w:rPr>
              <w:rFonts w:hint="eastAsia"/>
            </w:rPr>
            <w:fldChar w:fldCharType="begin"/>
          </w:r>
          <w:r>
            <w:rPr>
              <w:rFonts w:hint="eastAsia"/>
            </w:rPr>
            <w:instrText xml:space="preserve">TOC \o "1-2" \h \u </w:instrText>
          </w:r>
          <w:r>
            <w:rPr>
              <w:rFonts w:hint="eastAsia"/>
            </w:rPr>
            <w:fldChar w:fldCharType="separate"/>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b/>
            </w:rPr>
          </w:pPr>
          <w:r>
            <w:rPr>
              <w:rFonts w:hint="eastAsia"/>
              <w:b/>
            </w:rPr>
            <w:fldChar w:fldCharType="begin"/>
          </w:r>
          <w:r>
            <w:rPr>
              <w:rFonts w:hint="eastAsia"/>
              <w:b/>
            </w:rPr>
            <w:instrText xml:space="preserve"> HYPERLINK \l _Toc17200 </w:instrText>
          </w:r>
          <w:r>
            <w:rPr>
              <w:rFonts w:hint="eastAsia"/>
              <w:b/>
            </w:rPr>
            <w:fldChar w:fldCharType="separate"/>
          </w:r>
          <w:r>
            <w:rPr>
              <w:rFonts w:hint="eastAsia" w:ascii="黑体" w:hAnsi="黑体" w:eastAsia="黑体" w:cs="黑体"/>
              <w:b/>
              <w:sz w:val="32"/>
              <w:szCs w:val="32"/>
              <w:highlight w:val="none"/>
            </w:rPr>
            <w:t>第一部分</w:t>
          </w:r>
          <w:r>
            <w:rPr>
              <w:rFonts w:hint="eastAsia" w:ascii="黑体" w:hAnsi="黑体" w:eastAsia="黑体" w:cs="黑体"/>
              <w:b/>
              <w:sz w:val="32"/>
              <w:szCs w:val="32"/>
              <w:highlight w:val="none"/>
              <w:lang w:val="en-US" w:eastAsia="zh-CN"/>
            </w:rPr>
            <w:t xml:space="preserve"> </w:t>
          </w:r>
          <w:r>
            <w:rPr>
              <w:rFonts w:hint="eastAsia" w:ascii="黑体" w:hAnsi="黑体" w:eastAsia="黑体" w:cs="黑体"/>
              <w:b/>
              <w:sz w:val="32"/>
              <w:szCs w:val="32"/>
              <w:highlight w:val="none"/>
            </w:rPr>
            <w:t xml:space="preserve"> </w:t>
          </w:r>
          <w:r>
            <w:rPr>
              <w:rFonts w:hint="eastAsia" w:ascii="黑体" w:hAnsi="黑体" w:eastAsia="黑体" w:cs="黑体"/>
              <w:b/>
              <w:bCs w:val="0"/>
              <w:sz w:val="32"/>
              <w:szCs w:val="32"/>
              <w:highlight w:val="none"/>
            </w:rPr>
            <w:t>部门概况</w:t>
          </w:r>
          <w:r>
            <w:rPr>
              <w:b/>
            </w:rPr>
            <w:tab/>
          </w:r>
          <w:r>
            <w:rPr>
              <w:b/>
            </w:rPr>
            <w:fldChar w:fldCharType="begin"/>
          </w:r>
          <w:r>
            <w:rPr>
              <w:b/>
            </w:rPr>
            <w:instrText xml:space="preserve"> PAGEREF _Toc17200 \h </w:instrText>
          </w:r>
          <w:r>
            <w:rPr>
              <w:b/>
            </w:rPr>
            <w:fldChar w:fldCharType="separate"/>
          </w:r>
          <w:r>
            <w:rPr>
              <w:b/>
            </w:rPr>
            <w:t>1</w:t>
          </w:r>
          <w:r>
            <w:rPr>
              <w:b/>
            </w:rPr>
            <w:fldChar w:fldCharType="end"/>
          </w:r>
          <w:r>
            <w:rPr>
              <w:rFonts w:hint="eastAsia"/>
              <w:b/>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_Toc1034 </w:instrText>
          </w:r>
          <w:r>
            <w:rPr>
              <w:rFonts w:hint="eastAsia"/>
            </w:rPr>
            <w:fldChar w:fldCharType="separate"/>
          </w:r>
          <w:r>
            <w:rPr>
              <w:rFonts w:hint="eastAsia" w:ascii="仿宋_GB2312" w:hAnsi="仿宋_GB2312" w:eastAsia="仿宋_GB2312" w:cs="仿宋_GB2312"/>
              <w:sz w:val="32"/>
              <w:szCs w:val="32"/>
              <w:lang w:eastAsia="zh-CN"/>
            </w:rPr>
            <w:t xml:space="preserve">一、 </w:t>
          </w:r>
          <w:r>
            <w:rPr>
              <w:rFonts w:hint="eastAsia" w:ascii="仿宋_GB2312" w:hAnsi="仿宋_GB2312" w:eastAsia="仿宋_GB2312" w:cs="仿宋_GB2312"/>
              <w:sz w:val="32"/>
              <w:szCs w:val="32"/>
              <w:highlight w:val="none"/>
              <w:lang w:eastAsia="zh-CN"/>
            </w:rPr>
            <w:t>部门职责</w:t>
          </w:r>
          <w:r>
            <w:tab/>
          </w:r>
          <w:r>
            <w:fldChar w:fldCharType="begin"/>
          </w:r>
          <w:r>
            <w:instrText xml:space="preserve"> PAGEREF _Toc1034 \h </w:instrText>
          </w:r>
          <w:r>
            <w:fldChar w:fldCharType="separate"/>
          </w:r>
          <w:r>
            <w:t>1</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_Toc10541 </w:instrText>
          </w:r>
          <w:r>
            <w:rPr>
              <w:rFonts w:hint="eastAsia"/>
            </w:rPr>
            <w:fldChar w:fldCharType="separate"/>
          </w:r>
          <w:r>
            <w:rPr>
              <w:rFonts w:hint="eastAsia" w:ascii="仿宋_GB2312" w:hAnsi="仿宋_GB2312" w:eastAsia="仿宋_GB2312" w:cs="仿宋_GB2312"/>
              <w:sz w:val="32"/>
              <w:szCs w:val="32"/>
              <w:highlight w:val="none"/>
            </w:rPr>
            <w:t>二、机</w:t>
          </w:r>
          <w:r>
            <w:rPr>
              <w:rFonts w:hint="eastAsia" w:ascii="仿宋_GB2312" w:hAnsi="仿宋_GB2312" w:eastAsia="仿宋_GB2312" w:cs="仿宋_GB2312"/>
              <w:bCs w:val="0"/>
              <w:sz w:val="32"/>
              <w:szCs w:val="32"/>
              <w:highlight w:val="none"/>
            </w:rPr>
            <w:t>构设置</w:t>
          </w:r>
          <w:r>
            <w:tab/>
          </w:r>
          <w:r>
            <w:fldChar w:fldCharType="begin"/>
          </w:r>
          <w:r>
            <w:instrText xml:space="preserve"> PAGEREF _Toc10541 \h </w:instrText>
          </w:r>
          <w:r>
            <w:fldChar w:fldCharType="separate"/>
          </w:r>
          <w:r>
            <w:t>1</w:t>
          </w:r>
          <w:r>
            <w:fldChar w:fldCharType="end"/>
          </w:r>
          <w:r>
            <w:rPr>
              <w:rFonts w:hint="eastAsia"/>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b/>
            </w:rPr>
          </w:pPr>
          <w:r>
            <w:rPr>
              <w:rFonts w:hint="eastAsia"/>
              <w:b/>
            </w:rPr>
            <w:fldChar w:fldCharType="begin"/>
          </w:r>
          <w:r>
            <w:rPr>
              <w:rFonts w:hint="eastAsia"/>
              <w:b/>
            </w:rPr>
            <w:instrText xml:space="preserve"> HYPERLINK \l _Toc12443 </w:instrText>
          </w:r>
          <w:r>
            <w:rPr>
              <w:rFonts w:hint="eastAsia"/>
              <w:b/>
            </w:rPr>
            <w:fldChar w:fldCharType="separate"/>
          </w:r>
          <w:r>
            <w:rPr>
              <w:rFonts w:hint="eastAsia" w:ascii="黑体" w:hAnsi="黑体" w:eastAsia="黑体" w:cs="黑体"/>
              <w:b/>
              <w:sz w:val="32"/>
              <w:szCs w:val="32"/>
              <w:highlight w:val="none"/>
            </w:rPr>
            <w:t>第二部分</w:t>
          </w:r>
          <w:r>
            <w:rPr>
              <w:rFonts w:hint="eastAsia" w:ascii="黑体" w:hAnsi="黑体" w:eastAsia="黑体" w:cs="黑体"/>
              <w:b/>
              <w:sz w:val="32"/>
              <w:szCs w:val="32"/>
              <w:highlight w:val="none"/>
              <w:lang w:val="en-US" w:eastAsia="zh-CN"/>
            </w:rPr>
            <w:t xml:space="preserve"> </w:t>
          </w:r>
          <w:r>
            <w:rPr>
              <w:rFonts w:hint="eastAsia" w:ascii="黑体" w:hAnsi="黑体" w:eastAsia="黑体" w:cs="黑体"/>
              <w:b/>
              <w:sz w:val="32"/>
              <w:szCs w:val="32"/>
              <w:highlight w:val="none"/>
            </w:rPr>
            <w:t xml:space="preserve"> </w:t>
          </w:r>
          <w:r>
            <w:rPr>
              <w:rFonts w:hint="eastAsia" w:ascii="黑体" w:hAnsi="黑体" w:eastAsia="黑体" w:cs="黑体"/>
              <w:b/>
              <w:sz w:val="32"/>
              <w:szCs w:val="32"/>
              <w:highlight w:val="none"/>
              <w:lang w:val="en-US" w:eastAsia="zh-CN"/>
            </w:rPr>
            <w:t>2024年度</w:t>
          </w:r>
          <w:r>
            <w:rPr>
              <w:rFonts w:hint="eastAsia" w:ascii="黑体" w:hAnsi="黑体" w:eastAsia="黑体" w:cs="黑体"/>
              <w:b/>
              <w:sz w:val="32"/>
              <w:szCs w:val="32"/>
              <w:highlight w:val="none"/>
            </w:rPr>
            <w:t>部门决算情况说明</w:t>
          </w:r>
          <w:r>
            <w:rPr>
              <w:b/>
            </w:rPr>
            <w:tab/>
          </w:r>
          <w:r>
            <w:rPr>
              <w:b/>
            </w:rPr>
            <w:fldChar w:fldCharType="begin"/>
          </w:r>
          <w:r>
            <w:rPr>
              <w:b/>
            </w:rPr>
            <w:instrText xml:space="preserve"> PAGEREF _Toc12443 \h </w:instrText>
          </w:r>
          <w:r>
            <w:rPr>
              <w:b/>
            </w:rPr>
            <w:fldChar w:fldCharType="separate"/>
          </w:r>
          <w:r>
            <w:rPr>
              <w:b/>
            </w:rPr>
            <w:t>3</w:t>
          </w:r>
          <w:r>
            <w:rPr>
              <w:b/>
            </w:rPr>
            <w:fldChar w:fldCharType="end"/>
          </w:r>
          <w:r>
            <w:rPr>
              <w:rFonts w:hint="eastAsia"/>
              <w:b/>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_Toc27643 </w:instrText>
          </w:r>
          <w:r>
            <w:rPr>
              <w:rFonts w:hint="eastAsia"/>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收入支出决算总体情况说明</w:t>
          </w:r>
          <w:r>
            <w:tab/>
          </w:r>
          <w:r>
            <w:fldChar w:fldCharType="begin"/>
          </w:r>
          <w:r>
            <w:instrText xml:space="preserve"> PAGEREF _Toc27643 \h </w:instrText>
          </w:r>
          <w:r>
            <w:fldChar w:fldCharType="separate"/>
          </w:r>
          <w:r>
            <w:t>3</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_Toc28056 </w:instrText>
          </w:r>
          <w:r>
            <w:rPr>
              <w:rFonts w:hint="eastAsia"/>
            </w:rPr>
            <w:fldChar w:fldCharType="separate"/>
          </w:r>
          <w:r>
            <w:rPr>
              <w:rFonts w:hint="eastAsia" w:ascii="仿宋_GB2312" w:hAnsi="仿宋_GB2312" w:eastAsia="仿宋_GB2312" w:cs="仿宋_GB2312"/>
              <w:sz w:val="32"/>
              <w:szCs w:val="32"/>
              <w:highlight w:val="none"/>
              <w:lang w:eastAsia="zh-CN"/>
            </w:rPr>
            <w:t>二、收入决算情况说明</w:t>
          </w:r>
          <w:r>
            <w:tab/>
          </w:r>
          <w:r>
            <w:fldChar w:fldCharType="begin"/>
          </w:r>
          <w:r>
            <w:instrText xml:space="preserve"> PAGEREF _Toc28056 \h </w:instrText>
          </w:r>
          <w:r>
            <w:fldChar w:fldCharType="separate"/>
          </w:r>
          <w:r>
            <w:t>3</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_Toc8262 </w:instrText>
          </w:r>
          <w:r>
            <w:rPr>
              <w:rFonts w:hint="eastAsia"/>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支出决算情况说明</w:t>
          </w:r>
          <w:r>
            <w:tab/>
          </w:r>
          <w:r>
            <w:fldChar w:fldCharType="begin"/>
          </w:r>
          <w:r>
            <w:instrText xml:space="preserve"> PAGEREF _Toc8262 \h </w:instrText>
          </w:r>
          <w:r>
            <w:fldChar w:fldCharType="separate"/>
          </w:r>
          <w:r>
            <w:t>4</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_Toc10769 </w:instrText>
          </w:r>
          <w:r>
            <w:rPr>
              <w:rFonts w:hint="eastAsia"/>
            </w:rPr>
            <w:fldChar w:fldCharType="separate"/>
          </w:r>
          <w:r>
            <w:rPr>
              <w:rFonts w:hint="eastAsia" w:ascii="仿宋_GB2312" w:hAnsi="仿宋_GB2312" w:eastAsia="仿宋_GB2312" w:cs="仿宋_GB2312"/>
              <w:sz w:val="32"/>
              <w:szCs w:val="32"/>
              <w:highlight w:val="none"/>
            </w:rPr>
            <w:t>四、财政拨款收入支出决算总体情况说明</w:t>
          </w:r>
          <w:r>
            <w:tab/>
          </w:r>
          <w:r>
            <w:fldChar w:fldCharType="begin"/>
          </w:r>
          <w:r>
            <w:instrText xml:space="preserve"> PAGEREF _Toc10769 \h </w:instrText>
          </w:r>
          <w:r>
            <w:fldChar w:fldCharType="separate"/>
          </w:r>
          <w:r>
            <w:t>5</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_Toc24586 </w:instrText>
          </w:r>
          <w:r>
            <w:rPr>
              <w:rFonts w:hint="eastAsia"/>
            </w:rPr>
            <w:fldChar w:fldCharType="separate"/>
          </w:r>
          <w:r>
            <w:rPr>
              <w:rFonts w:hint="eastAsia" w:ascii="仿宋_GB2312" w:hAnsi="仿宋_GB2312" w:eastAsia="仿宋_GB2312" w:cs="仿宋_GB2312"/>
              <w:sz w:val="32"/>
              <w:szCs w:val="32"/>
              <w:highlight w:val="none"/>
            </w:rPr>
            <w:t>五、一般公共预算财政拨款支出决算情况说明</w:t>
          </w:r>
          <w:r>
            <w:tab/>
          </w:r>
          <w:r>
            <w:fldChar w:fldCharType="begin"/>
          </w:r>
          <w:r>
            <w:instrText xml:space="preserve"> PAGEREF _Toc24586 \h </w:instrText>
          </w:r>
          <w:r>
            <w:fldChar w:fldCharType="separate"/>
          </w:r>
          <w:r>
            <w:t>6</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_Toc12774 </w:instrText>
          </w:r>
          <w:r>
            <w:rPr>
              <w:rFonts w:hint="eastAsia"/>
            </w:rPr>
            <w:fldChar w:fldCharType="separate"/>
          </w:r>
          <w:r>
            <w:rPr>
              <w:rFonts w:hint="eastAsia" w:ascii="仿宋_GB2312" w:hAnsi="仿宋_GB2312" w:eastAsia="仿宋_GB2312" w:cs="仿宋_GB2312"/>
              <w:sz w:val="32"/>
              <w:szCs w:val="32"/>
              <w:highlight w:val="none"/>
            </w:rPr>
            <w:t>六、一般公共预算财政拨款基本支出决算情况说明</w:t>
          </w:r>
          <w:r>
            <w:tab/>
          </w:r>
          <w:r>
            <w:fldChar w:fldCharType="begin"/>
          </w:r>
          <w:r>
            <w:instrText xml:space="preserve"> PAGEREF _Toc12774 \h </w:instrText>
          </w:r>
          <w:r>
            <w:fldChar w:fldCharType="separate"/>
          </w:r>
          <w:r>
            <w:t>9</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_Toc21615 </w:instrText>
          </w:r>
          <w:r>
            <w:rPr>
              <w:rFonts w:hint="eastAsia"/>
            </w:rPr>
            <w:fldChar w:fldCharType="separate"/>
          </w:r>
          <w:r>
            <w:rPr>
              <w:rFonts w:hint="eastAsia" w:ascii="仿宋_GB2312" w:hAnsi="仿宋_GB2312" w:eastAsia="仿宋_GB2312" w:cs="仿宋_GB2312"/>
              <w:sz w:val="32"/>
              <w:szCs w:val="32"/>
              <w:highlight w:val="none"/>
            </w:rPr>
            <w:t>七、财政拨款“三公”经费支出决算情况说明</w:t>
          </w:r>
          <w:r>
            <w:tab/>
          </w:r>
          <w:r>
            <w:fldChar w:fldCharType="begin"/>
          </w:r>
          <w:r>
            <w:instrText xml:space="preserve"> PAGEREF _Toc21615 \h </w:instrText>
          </w:r>
          <w:r>
            <w:fldChar w:fldCharType="separate"/>
          </w:r>
          <w:r>
            <w:t>10</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_Toc2603 </w:instrText>
          </w:r>
          <w:r>
            <w:rPr>
              <w:rFonts w:hint="eastAsia"/>
            </w:rPr>
            <w:fldChar w:fldCharType="separate"/>
          </w:r>
          <w:r>
            <w:rPr>
              <w:rFonts w:hint="eastAsia" w:ascii="仿宋_GB2312" w:hAnsi="仿宋_GB2312" w:eastAsia="仿宋_GB2312" w:cs="仿宋_GB2312"/>
              <w:sz w:val="32"/>
              <w:szCs w:val="32"/>
              <w:highlight w:val="none"/>
            </w:rPr>
            <w:t>八、政府性基金预算支出决算情况说明</w:t>
          </w:r>
          <w:r>
            <w:tab/>
          </w:r>
          <w:r>
            <w:fldChar w:fldCharType="begin"/>
          </w:r>
          <w:r>
            <w:instrText xml:space="preserve"> PAGEREF _Toc2603 \h </w:instrText>
          </w:r>
          <w:r>
            <w:fldChar w:fldCharType="separate"/>
          </w:r>
          <w:r>
            <w:t>11</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_Toc8162 </w:instrText>
          </w:r>
          <w:r>
            <w:rPr>
              <w:rFonts w:hint="eastAsia"/>
            </w:rPr>
            <w:fldChar w:fldCharType="separate"/>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国有资本经营预算支出决算情况说明</w:t>
          </w:r>
          <w:r>
            <w:tab/>
          </w:r>
          <w:r>
            <w:fldChar w:fldCharType="begin"/>
          </w:r>
          <w:r>
            <w:instrText xml:space="preserve"> PAGEREF _Toc8162 \h </w:instrText>
          </w:r>
          <w:r>
            <w:fldChar w:fldCharType="separate"/>
          </w:r>
          <w:r>
            <w:t>11</w:t>
          </w:r>
          <w:r>
            <w:fldChar w:fldCharType="end"/>
          </w:r>
          <w:r>
            <w:rPr>
              <w:rFonts w:hint="eastAsia"/>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_Toc118 </w:instrText>
          </w:r>
          <w:r>
            <w:rPr>
              <w:rFonts w:hint="eastAsia"/>
            </w:rPr>
            <w:fldChar w:fldCharType="separate"/>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其他重要事项的情况说明</w:t>
          </w:r>
          <w:r>
            <w:tab/>
          </w:r>
          <w:r>
            <w:fldChar w:fldCharType="begin"/>
          </w:r>
          <w:r>
            <w:instrText xml:space="preserve"> PAGEREF _Toc118 \h </w:instrText>
          </w:r>
          <w:r>
            <w:fldChar w:fldCharType="separate"/>
          </w:r>
          <w:r>
            <w:t>12</w:t>
          </w:r>
          <w:r>
            <w:fldChar w:fldCharType="end"/>
          </w:r>
          <w:r>
            <w:rPr>
              <w:rFonts w:hint="eastAsia"/>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b/>
            </w:rPr>
          </w:pPr>
          <w:r>
            <w:rPr>
              <w:rFonts w:hint="eastAsia"/>
              <w:b/>
            </w:rPr>
            <w:fldChar w:fldCharType="begin"/>
          </w:r>
          <w:r>
            <w:rPr>
              <w:rFonts w:hint="eastAsia"/>
              <w:b/>
            </w:rPr>
            <w:instrText xml:space="preserve"> HYPERLINK \l _Toc25047 </w:instrText>
          </w:r>
          <w:r>
            <w:rPr>
              <w:rFonts w:hint="eastAsia"/>
              <w:b/>
            </w:rPr>
            <w:fldChar w:fldCharType="separate"/>
          </w:r>
          <w:r>
            <w:rPr>
              <w:rFonts w:hint="eastAsia" w:ascii="黑体" w:hAnsi="黑体" w:eastAsia="黑体" w:cs="黑体"/>
              <w:b/>
              <w:sz w:val="32"/>
              <w:szCs w:val="32"/>
              <w:highlight w:val="none"/>
            </w:rPr>
            <w:t>第</w:t>
          </w:r>
          <w:r>
            <w:rPr>
              <w:rFonts w:hint="eastAsia" w:ascii="黑体" w:hAnsi="黑体" w:eastAsia="黑体" w:cs="黑体"/>
              <w:b/>
              <w:sz w:val="32"/>
              <w:szCs w:val="32"/>
              <w:highlight w:val="none"/>
              <w:lang w:eastAsia="zh-CN"/>
            </w:rPr>
            <w:t>三</w:t>
          </w:r>
          <w:r>
            <w:rPr>
              <w:rFonts w:hint="eastAsia" w:ascii="黑体" w:hAnsi="黑体" w:eastAsia="黑体" w:cs="黑体"/>
              <w:b/>
              <w:sz w:val="32"/>
              <w:szCs w:val="32"/>
              <w:highlight w:val="none"/>
            </w:rPr>
            <w:t>部分</w:t>
          </w:r>
          <w:r>
            <w:rPr>
              <w:rFonts w:hint="eastAsia" w:ascii="黑体" w:hAnsi="黑体" w:eastAsia="黑体" w:cs="黑体"/>
              <w:b/>
              <w:sz w:val="32"/>
              <w:szCs w:val="32"/>
              <w:highlight w:val="none"/>
              <w:lang w:val="en-US" w:eastAsia="zh-CN"/>
            </w:rPr>
            <w:t xml:space="preserve">  </w:t>
          </w:r>
          <w:r>
            <w:rPr>
              <w:rFonts w:hint="eastAsia" w:ascii="黑体" w:hAnsi="黑体" w:eastAsia="黑体" w:cs="黑体"/>
              <w:b/>
              <w:sz w:val="32"/>
              <w:szCs w:val="32"/>
              <w:highlight w:val="none"/>
            </w:rPr>
            <w:t>名词解释</w:t>
          </w:r>
          <w:r>
            <w:rPr>
              <w:b/>
            </w:rPr>
            <w:tab/>
          </w:r>
          <w:r>
            <w:rPr>
              <w:b/>
            </w:rPr>
            <w:fldChar w:fldCharType="begin"/>
          </w:r>
          <w:r>
            <w:rPr>
              <w:b/>
            </w:rPr>
            <w:instrText xml:space="preserve"> PAGEREF _Toc25047 \h </w:instrText>
          </w:r>
          <w:r>
            <w:rPr>
              <w:b/>
            </w:rPr>
            <w:fldChar w:fldCharType="separate"/>
          </w:r>
          <w:r>
            <w:rPr>
              <w:b/>
            </w:rPr>
            <w:t>14</w:t>
          </w:r>
          <w:r>
            <w:rPr>
              <w:b/>
            </w:rPr>
            <w:fldChar w:fldCharType="end"/>
          </w:r>
          <w:r>
            <w:rPr>
              <w:rFonts w:hint="eastAsia"/>
              <w:b/>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b/>
            </w:rPr>
          </w:pPr>
          <w:r>
            <w:rPr>
              <w:rFonts w:hint="eastAsia"/>
              <w:b/>
            </w:rPr>
            <w:fldChar w:fldCharType="begin"/>
          </w:r>
          <w:r>
            <w:rPr>
              <w:rFonts w:hint="eastAsia"/>
              <w:b/>
            </w:rPr>
            <w:instrText xml:space="preserve"> HYPERLINK \l _Toc21427 </w:instrText>
          </w:r>
          <w:r>
            <w:rPr>
              <w:rFonts w:hint="eastAsia"/>
              <w:b/>
            </w:rPr>
            <w:fldChar w:fldCharType="separate"/>
          </w:r>
          <w:r>
            <w:rPr>
              <w:rFonts w:hint="eastAsia" w:ascii="黑体" w:hAnsi="黑体" w:eastAsia="黑体" w:cs="黑体"/>
              <w:b/>
              <w:sz w:val="32"/>
              <w:szCs w:val="32"/>
              <w:highlight w:val="none"/>
            </w:rPr>
            <w:t>第四部分</w:t>
          </w:r>
          <w:r>
            <w:rPr>
              <w:rFonts w:hint="eastAsia" w:ascii="黑体" w:hAnsi="黑体" w:eastAsia="黑体" w:cs="黑体"/>
              <w:b/>
              <w:sz w:val="32"/>
              <w:szCs w:val="32"/>
              <w:highlight w:val="none"/>
              <w:lang w:val="en-US" w:eastAsia="zh-CN"/>
            </w:rPr>
            <w:t xml:space="preserve"> </w:t>
          </w:r>
          <w:r>
            <w:rPr>
              <w:rFonts w:hint="eastAsia" w:ascii="黑体" w:hAnsi="黑体" w:eastAsia="黑体" w:cs="黑体"/>
              <w:b/>
              <w:sz w:val="32"/>
              <w:szCs w:val="32"/>
              <w:highlight w:val="none"/>
            </w:rPr>
            <w:t xml:space="preserve"> 附件</w:t>
          </w:r>
          <w:r>
            <w:rPr>
              <w:b/>
            </w:rPr>
            <w:tab/>
          </w:r>
          <w:r>
            <w:rPr>
              <w:b/>
            </w:rPr>
            <w:fldChar w:fldCharType="begin"/>
          </w:r>
          <w:r>
            <w:rPr>
              <w:b/>
            </w:rPr>
            <w:instrText xml:space="preserve"> PAGEREF _Toc21427 \h </w:instrText>
          </w:r>
          <w:r>
            <w:rPr>
              <w:b/>
            </w:rPr>
            <w:fldChar w:fldCharType="separate"/>
          </w:r>
          <w:r>
            <w:rPr>
              <w:b/>
            </w:rPr>
            <w:t>17</w:t>
          </w:r>
          <w:r>
            <w:rPr>
              <w:b/>
            </w:rPr>
            <w:fldChar w:fldCharType="end"/>
          </w:r>
          <w:r>
            <w:rPr>
              <w:rFonts w:hint="eastAsia"/>
              <w:b/>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b/>
            </w:rPr>
          </w:pPr>
          <w:r>
            <w:rPr>
              <w:rFonts w:hint="eastAsia"/>
              <w:b/>
            </w:rPr>
            <w:fldChar w:fldCharType="begin"/>
          </w:r>
          <w:r>
            <w:rPr>
              <w:rFonts w:hint="eastAsia"/>
              <w:b/>
            </w:rPr>
            <w:instrText xml:space="preserve"> HYPERLINK \l _Toc11904 </w:instrText>
          </w:r>
          <w:r>
            <w:rPr>
              <w:rFonts w:hint="eastAsia"/>
              <w:b/>
            </w:rPr>
            <w:fldChar w:fldCharType="separate"/>
          </w:r>
          <w:r>
            <w:rPr>
              <w:rFonts w:hint="eastAsia" w:ascii="黑体" w:hAnsi="黑体" w:eastAsia="黑体" w:cs="黑体"/>
              <w:b/>
              <w:sz w:val="32"/>
              <w:szCs w:val="32"/>
              <w:highlight w:val="none"/>
            </w:rPr>
            <w:t>第五部分 附表</w:t>
          </w:r>
          <w:r>
            <w:rPr>
              <w:b/>
            </w:rPr>
            <w:tab/>
          </w:r>
          <w:r>
            <w:rPr>
              <w:b/>
            </w:rPr>
            <w:fldChar w:fldCharType="begin"/>
          </w:r>
          <w:r>
            <w:rPr>
              <w:b/>
            </w:rPr>
            <w:instrText xml:space="preserve"> PAGEREF _Toc11904 \h </w:instrText>
          </w:r>
          <w:r>
            <w:rPr>
              <w:b/>
            </w:rPr>
            <w:fldChar w:fldCharType="separate"/>
          </w:r>
          <w:r>
            <w:rPr>
              <w:b/>
            </w:rPr>
            <w:t>35</w:t>
          </w:r>
          <w:r>
            <w:rPr>
              <w:b/>
            </w:rPr>
            <w:fldChar w:fldCharType="end"/>
          </w:r>
          <w:r>
            <w:rPr>
              <w:rFonts w:hint="eastAsia"/>
              <w:b/>
            </w:rPr>
            <w:fldChar w:fldCharType="end"/>
          </w:r>
        </w:p>
        <w:p>
          <w:pPr>
            <w:pStyle w:val="14"/>
            <w:keepNext w:val="0"/>
            <w:keepLines w:val="0"/>
            <w:pageBreakBefore w:val="0"/>
            <w:widowControl w:val="0"/>
            <w:kinsoku/>
            <w:wordWrap/>
            <w:overflowPunct/>
            <w:topLinePunct w:val="0"/>
            <w:autoSpaceDE/>
            <w:autoSpaceDN/>
            <w:bidi w:val="0"/>
            <w:adjustRightInd/>
            <w:snapToGrid w:val="0"/>
            <w:spacing w:line="40" w:lineRule="exact"/>
            <w:textAlignment w:val="auto"/>
          </w:pPr>
          <w:r>
            <w:rPr>
              <w:rFonts w:hint="eastAsia"/>
              <w:b/>
            </w:rPr>
            <w:fldChar w:fldCharType="end"/>
          </w:r>
          <w:bookmarkStart w:id="9" w:name="_Toc17200"/>
        </w:p>
      </w:sdtContent>
    </w:sdt>
    <w:p>
      <w:pPr>
        <w:pStyle w:val="14"/>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3"/>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color w:val="auto"/>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3"/>
        <w:jc w:val="center"/>
        <w:rPr>
          <w:rFonts w:hint="default" w:ascii="Times New Roman" w:hAnsi="Times New Roman" w:eastAsia="方正小标宋简体"/>
          <w:color w:val="auto"/>
          <w:sz w:val="32"/>
          <w:szCs w:val="32"/>
          <w:highlight w:val="none"/>
          <w:lang w:val="en-US" w:eastAsia="zh-CN"/>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7"/>
      <w:bookmarkEnd w:id="8"/>
      <w:bookmarkEnd w:id="9"/>
      <w:r>
        <w:rPr>
          <w:rStyle w:val="29"/>
          <w:rFonts w:hint="eastAsia" w:eastAsia="方正小标宋简体" w:cs="方正小标宋简体"/>
          <w:b w:val="0"/>
          <w:bCs w:val="0"/>
          <w:color w:val="auto"/>
          <w:highlight w:val="none"/>
          <w:lang w:val="en-US" w:eastAsia="zh-CN"/>
        </w:rPr>
        <w:t xml:space="preserve">                                                  </w:t>
      </w:r>
    </w:p>
    <w:p>
      <w:pPr>
        <w:pStyle w:val="4"/>
        <w:pageBreakBefore w:val="0"/>
        <w:widowControl w:val="0"/>
        <w:numPr>
          <w:ilvl w:val="0"/>
          <w:numId w:val="1"/>
        </w:numPr>
        <w:kinsoku/>
        <w:wordWrap/>
        <w:overflowPunct/>
        <w:topLinePunct w:val="0"/>
        <w:autoSpaceDE/>
        <w:autoSpaceDN/>
        <w:bidi w:val="0"/>
        <w:spacing w:before="0" w:after="0" w:line="600" w:lineRule="exact"/>
        <w:ind w:left="0"/>
        <w:textAlignment w:val="auto"/>
        <w:rPr>
          <w:rFonts w:hint="eastAsia" w:ascii="Times New Roman" w:hAnsi="Times New Roman" w:eastAsia="黑体"/>
          <w:b w:val="0"/>
          <w:color w:val="auto"/>
          <w:highlight w:val="none"/>
          <w:lang w:eastAsia="zh-CN"/>
        </w:rPr>
      </w:pPr>
      <w:bookmarkStart w:id="10" w:name="_Toc1034"/>
      <w:r>
        <w:rPr>
          <w:rFonts w:hint="eastAsia" w:ascii="Times New Roman" w:hAnsi="Times New Roman" w:eastAsia="黑体"/>
          <w:b w:val="0"/>
          <w:color w:val="auto"/>
          <w:highlight w:val="none"/>
          <w:lang w:eastAsia="zh-CN"/>
        </w:rPr>
        <w:t>部门职责</w:t>
      </w:r>
      <w:bookmarkEnd w:id="10"/>
    </w:p>
    <w:p>
      <w:pPr>
        <w:pStyle w:val="6"/>
        <w:pageBreakBefore w:val="0"/>
        <w:widowControl w:val="0"/>
        <w:kinsoku/>
        <w:wordWrap/>
        <w:overflowPunct/>
        <w:topLinePunct w:val="0"/>
        <w:autoSpaceDE/>
        <w:autoSpaceDN/>
        <w:bidi w:val="0"/>
        <w:adjustRightInd w:val="0"/>
        <w:spacing w:beforeLines="0" w:line="600" w:lineRule="exact"/>
        <w:ind w:left="0" w:firstLine="672" w:firstLineChars="210"/>
        <w:textAlignment w:val="auto"/>
        <w:rPr>
          <w:rFonts w:hint="eastAsia" w:ascii="Times New Roman" w:hAnsi="Times New Roman" w:eastAsia="仿宋_GB2312" w:cs="仿宋_GB2312"/>
          <w:color w:val="auto"/>
          <w:sz w:val="32"/>
          <w:szCs w:val="32"/>
          <w:highlight w:val="none"/>
          <w:lang w:eastAsia="zh-CN"/>
        </w:rPr>
      </w:pPr>
      <w:r>
        <w:rPr>
          <w:rStyle w:val="42"/>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四川省民族地区经济开发中心在省委、省政府民族地区经济开发工作领导小组的领导下，</w:t>
      </w:r>
      <w:r>
        <w:rPr>
          <w:rStyle w:val="42"/>
          <w:rFonts w:hint="eastAsia" w:ascii="Times New Roman" w:hAnsi="Times New Roman" w:eastAsia="仿宋_GB2312" w:cs="Times New Roman"/>
          <w:b w:val="0"/>
          <w:bCs w:val="0"/>
          <w:i w:val="0"/>
          <w:caps w:val="0"/>
          <w:color w:val="auto"/>
          <w:spacing w:val="0"/>
          <w:w w:val="100"/>
          <w:kern w:val="2"/>
          <w:sz w:val="32"/>
          <w:szCs w:val="32"/>
          <w:highlight w:val="none"/>
          <w:lang w:val="en-US" w:eastAsia="zh-CN" w:bidi="ar-SA"/>
        </w:rPr>
        <w:t>认真贯彻落实中省决策部</w:t>
      </w:r>
      <w:r>
        <w:rPr>
          <w:rStyle w:val="42"/>
          <w:rFonts w:hint="eastAsia" w:ascii="Times New Roman" w:hAnsi="Times New Roman" w:cs="Times New Roman"/>
          <w:b w:val="0"/>
          <w:bCs w:val="0"/>
          <w:i w:val="0"/>
          <w:caps w:val="0"/>
          <w:color w:val="auto"/>
          <w:spacing w:val="0"/>
          <w:w w:val="100"/>
          <w:kern w:val="2"/>
          <w:sz w:val="32"/>
          <w:szCs w:val="32"/>
          <w:highlight w:val="none"/>
          <w:lang w:val="en-US" w:eastAsia="zh-CN" w:bidi="ar-SA"/>
        </w:rPr>
        <w:t xml:space="preserve">  </w:t>
      </w:r>
      <w:r>
        <w:rPr>
          <w:rStyle w:val="42"/>
          <w:rFonts w:hint="eastAsia" w:ascii="Times New Roman" w:hAnsi="Times New Roman" w:eastAsia="仿宋_GB2312" w:cs="Times New Roman"/>
          <w:b w:val="0"/>
          <w:bCs w:val="0"/>
          <w:i w:val="0"/>
          <w:caps w:val="0"/>
          <w:color w:val="auto"/>
          <w:spacing w:val="0"/>
          <w:w w:val="100"/>
          <w:kern w:val="2"/>
          <w:sz w:val="32"/>
          <w:szCs w:val="32"/>
          <w:highlight w:val="none"/>
          <w:lang w:val="en-US" w:eastAsia="zh-CN" w:bidi="ar-SA"/>
        </w:rPr>
        <w:t>署，</w:t>
      </w:r>
      <w:r>
        <w:rPr>
          <w:rStyle w:val="42"/>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以</w:t>
      </w:r>
      <w:r>
        <w:rPr>
          <w:rStyle w:val="42"/>
          <w:rFonts w:hint="default" w:ascii="Times New Roman" w:hAnsi="Times New Roman" w:eastAsia="仿宋_GB2312" w:cs="Times New Roman"/>
          <w:b w:val="0"/>
          <w:bCs w:val="0"/>
          <w:i w:val="0"/>
          <w:caps w:val="0"/>
          <w:color w:val="auto"/>
          <w:spacing w:val="0"/>
          <w:w w:val="100"/>
          <w:kern w:val="2"/>
          <w:sz w:val="32"/>
          <w:szCs w:val="32"/>
          <w:highlight w:val="none"/>
          <w:lang w:val="zh-CN" w:eastAsia="zh-CN" w:bidi="ar-SA"/>
        </w:rPr>
        <w:t>铸牢中华民族共同体意识为主线</w:t>
      </w:r>
      <w:r>
        <w:rPr>
          <w:rStyle w:val="42"/>
          <w:rFonts w:hint="eastAsia" w:ascii="Times New Roman" w:hAnsi="Times New Roman" w:eastAsia="仿宋_GB2312" w:cs="Times New Roman"/>
          <w:b w:val="0"/>
          <w:bCs w:val="0"/>
          <w:i w:val="0"/>
          <w:caps w:val="0"/>
          <w:color w:val="auto"/>
          <w:spacing w:val="0"/>
          <w:w w:val="100"/>
          <w:kern w:val="2"/>
          <w:sz w:val="32"/>
          <w:szCs w:val="32"/>
          <w:highlight w:val="none"/>
          <w:lang w:val="zh-CN" w:eastAsia="zh-CN" w:bidi="ar-SA"/>
        </w:rPr>
        <w:t>，围绕“改善民生、凝聚人心”，依据</w:t>
      </w:r>
      <w:r>
        <w:rPr>
          <w:rFonts w:hint="default" w:ascii="Times New Roman" w:hAnsi="Times New Roman" w:eastAsia="仿宋_GB2312" w:cs="仿宋_GB2312"/>
          <w:bCs/>
          <w:color w:val="auto"/>
          <w:sz w:val="32"/>
          <w:szCs w:val="32"/>
          <w:highlight w:val="none"/>
          <w:lang w:val="en-US" w:eastAsia="zh-CN"/>
        </w:rPr>
        <w:t>《四川省民族地区开发资金管理办法》《</w:t>
      </w:r>
      <w:r>
        <w:rPr>
          <w:rStyle w:val="42"/>
          <w:rFonts w:hint="default" w:ascii="Times New Roman" w:hAnsi="Times New Roman" w:eastAsia="仿宋_GB2312" w:cs="仿宋_GB2312"/>
          <w:b w:val="0"/>
          <w:bCs/>
          <w:i w:val="0"/>
          <w:caps w:val="0"/>
          <w:color w:val="auto"/>
          <w:spacing w:val="0"/>
          <w:w w:val="100"/>
          <w:kern w:val="2"/>
          <w:sz w:val="32"/>
          <w:szCs w:val="32"/>
          <w:highlight w:val="none"/>
          <w:lang w:val="en-US" w:eastAsia="zh-CN" w:bidi="ar-SA"/>
        </w:rPr>
        <w:t>中央和省级财政衔接推进乡村振兴补助资金管理办法</w:t>
      </w:r>
      <w:r>
        <w:rPr>
          <w:rFonts w:hint="default" w:ascii="Times New Roman" w:hAnsi="Times New Roman" w:eastAsia="仿宋_GB2312" w:cs="仿宋_GB2312"/>
          <w:bCs/>
          <w:color w:val="auto"/>
          <w:sz w:val="32"/>
          <w:szCs w:val="32"/>
          <w:highlight w:val="none"/>
          <w:lang w:val="en-US" w:eastAsia="zh-CN"/>
        </w:rPr>
        <w:t>》</w:t>
      </w:r>
      <w:r>
        <w:rPr>
          <w:rFonts w:hint="eastAsia" w:ascii="Times New Roman" w:hAnsi="Times New Roman" w:eastAsia="仿宋_GB2312" w:cs="仿宋_GB2312"/>
          <w:bCs/>
          <w:color w:val="auto"/>
          <w:sz w:val="32"/>
          <w:szCs w:val="32"/>
          <w:highlight w:val="none"/>
          <w:lang w:val="en-US" w:eastAsia="zh-CN"/>
        </w:rPr>
        <w:t>等，协同财政厅统筹做好</w:t>
      </w:r>
      <w:r>
        <w:rPr>
          <w:rStyle w:val="42"/>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四川省民族地区开发资金和</w:t>
      </w:r>
      <w:r>
        <w:rPr>
          <w:rStyle w:val="42"/>
          <w:rFonts w:hint="eastAsia" w:ascii="Times New Roman" w:hAnsi="Times New Roman" w:eastAsia="仿宋_GB2312" w:cs="Times New Roman"/>
          <w:b w:val="0"/>
          <w:bCs w:val="0"/>
          <w:i w:val="0"/>
          <w:caps w:val="0"/>
          <w:color w:val="auto"/>
          <w:spacing w:val="0"/>
          <w:w w:val="100"/>
          <w:kern w:val="2"/>
          <w:sz w:val="32"/>
          <w:szCs w:val="32"/>
          <w:highlight w:val="none"/>
          <w:lang w:val="en-US" w:eastAsia="zh-CN" w:bidi="ar-SA"/>
        </w:rPr>
        <w:t>四川</w:t>
      </w:r>
      <w:r>
        <w:rPr>
          <w:rStyle w:val="42"/>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省级财政衔接推进乡村振兴补助资金</w:t>
      </w:r>
      <w:r>
        <w:rPr>
          <w:rStyle w:val="42"/>
          <w:rFonts w:hint="eastAsia" w:ascii="Times New Roman" w:hAnsi="Times New Roman" w:eastAsia="仿宋_GB2312" w:cs="Times New Roman"/>
          <w:b w:val="0"/>
          <w:bCs w:val="0"/>
          <w:i w:val="0"/>
          <w:caps w:val="0"/>
          <w:color w:val="auto"/>
          <w:spacing w:val="0"/>
          <w:w w:val="100"/>
          <w:kern w:val="2"/>
          <w:sz w:val="32"/>
          <w:szCs w:val="32"/>
          <w:highlight w:val="none"/>
          <w:lang w:val="en-US" w:eastAsia="zh-CN" w:bidi="ar-SA"/>
        </w:rPr>
        <w:t>（</w:t>
      </w:r>
      <w:r>
        <w:rPr>
          <w:rStyle w:val="42"/>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少数民族发展任务</w:t>
      </w:r>
      <w:r>
        <w:rPr>
          <w:rStyle w:val="42"/>
          <w:rFonts w:hint="eastAsia" w:ascii="Times New Roman" w:hAnsi="Times New Roman" w:eastAsia="仿宋_GB2312" w:cs="Times New Roman"/>
          <w:b w:val="0"/>
          <w:bCs w:val="0"/>
          <w:i w:val="0"/>
          <w:caps w:val="0"/>
          <w:color w:val="auto"/>
          <w:spacing w:val="0"/>
          <w:w w:val="100"/>
          <w:kern w:val="2"/>
          <w:sz w:val="32"/>
          <w:szCs w:val="32"/>
          <w:highlight w:val="none"/>
          <w:lang w:val="en-US" w:eastAsia="zh-CN" w:bidi="ar-SA"/>
        </w:rPr>
        <w:t>）项目事前事中事后全生命周期管理，落实备案复核、监督考评、宣传总结、培训调研等工作，有力推进民族团结进步示范村、示范学校等</w:t>
      </w:r>
      <w:r>
        <w:rPr>
          <w:rStyle w:val="42"/>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民族团结进步示范工程</w:t>
      </w:r>
      <w:r>
        <w:rPr>
          <w:rStyle w:val="42"/>
          <w:rFonts w:hint="eastAsia" w:ascii="Times New Roman" w:hAnsi="Times New Roman" w:eastAsia="仿宋_GB2312" w:cs="Times New Roman"/>
          <w:b w:val="0"/>
          <w:bCs w:val="0"/>
          <w:i w:val="0"/>
          <w:caps w:val="0"/>
          <w:color w:val="auto"/>
          <w:spacing w:val="0"/>
          <w:w w:val="100"/>
          <w:kern w:val="2"/>
          <w:sz w:val="32"/>
          <w:szCs w:val="32"/>
          <w:highlight w:val="none"/>
          <w:lang w:val="en-US" w:eastAsia="zh-CN" w:bidi="ar-SA"/>
        </w:rPr>
        <w:t>重点项目建设</w:t>
      </w:r>
      <w:r>
        <w:rPr>
          <w:rFonts w:hint="eastAsia" w:ascii="Times New Roman" w:hAnsi="Times New Roman" w:eastAsia="仿宋_GB2312" w:cs="Times New Roman"/>
          <w:color w:val="auto"/>
          <w:sz w:val="32"/>
          <w:highlight w:val="none"/>
          <w:lang w:val="en-US" w:eastAsia="zh-CN"/>
        </w:rPr>
        <w:t>，助推民族地区和散居地区高质量发展。</w:t>
      </w:r>
    </w:p>
    <w:p>
      <w:pPr>
        <w:pStyle w:val="4"/>
        <w:pageBreakBefore w:val="0"/>
        <w:widowControl w:val="0"/>
        <w:kinsoku/>
        <w:wordWrap/>
        <w:overflowPunct/>
        <w:topLinePunct w:val="0"/>
        <w:autoSpaceDE/>
        <w:autoSpaceDN/>
        <w:bidi w:val="0"/>
        <w:spacing w:before="0" w:after="0" w:line="600" w:lineRule="exact"/>
        <w:ind w:left="0"/>
        <w:textAlignment w:val="auto"/>
        <w:rPr>
          <w:rFonts w:hint="eastAsia" w:ascii="Times New Roman" w:hAnsi="Times New Roman" w:eastAsia="黑体"/>
          <w:b w:val="0"/>
          <w:color w:val="auto"/>
          <w:highlight w:val="none"/>
        </w:rPr>
      </w:pPr>
      <w:bookmarkStart w:id="11" w:name="_Toc15377200"/>
      <w:bookmarkStart w:id="12" w:name="_Toc15396601"/>
      <w:bookmarkStart w:id="13" w:name="_Toc10541"/>
    </w:p>
    <w:p>
      <w:pPr>
        <w:pStyle w:val="4"/>
        <w:pageBreakBefore w:val="0"/>
        <w:widowControl w:val="0"/>
        <w:kinsoku/>
        <w:wordWrap/>
        <w:overflowPunct/>
        <w:topLinePunct w:val="0"/>
        <w:autoSpaceDE/>
        <w:autoSpaceDN/>
        <w:bidi w:val="0"/>
        <w:spacing w:before="0" w:after="0" w:line="600" w:lineRule="exact"/>
        <w:ind w:left="0"/>
        <w:textAlignment w:val="auto"/>
        <w:rPr>
          <w:rStyle w:val="30"/>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1"/>
      <w:bookmarkEnd w:id="12"/>
      <w:bookmarkEnd w:id="13"/>
    </w:p>
    <w:p>
      <w:pPr>
        <w:pageBreakBefore w:val="0"/>
        <w:widowControl w:val="0"/>
        <w:kinsoku/>
        <w:wordWrap/>
        <w:overflowPunct/>
        <w:topLinePunct w:val="0"/>
        <w:autoSpaceDE/>
        <w:autoSpaceDN/>
        <w:bidi w:val="0"/>
        <w:spacing w:line="600" w:lineRule="exact"/>
        <w:ind w:left="0" w:firstLine="800" w:firstLineChars="25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四川省民族地区经济开发中心下属二级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ascii="Times New Roman" w:hAnsi="Times New Roman"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pStyle w:val="6"/>
        <w:pageBreakBefore w:val="0"/>
        <w:widowControl w:val="0"/>
        <w:kinsoku/>
        <w:wordWrap/>
        <w:overflowPunct/>
        <w:topLinePunct w:val="0"/>
        <w:autoSpaceDE/>
        <w:autoSpaceDN/>
        <w:bidi w:val="0"/>
        <w:adjustRightInd w:val="0"/>
        <w:snapToGrid w:val="0"/>
        <w:spacing w:beforeLines="0" w:line="600" w:lineRule="exact"/>
        <w:ind w:left="0" w:firstLine="672" w:firstLineChars="210"/>
        <w:textAlignment w:val="auto"/>
        <w:rPr>
          <w:rFonts w:hint="eastAsia" w:ascii="Times New Roman" w:hAnsi="Times New Roman" w:eastAsia="仿宋_GB2312" w:cs="仿宋_GB2312"/>
          <w:color w:val="auto"/>
          <w:sz w:val="32"/>
          <w:szCs w:val="32"/>
          <w:highlight w:val="none"/>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r>
        <w:rPr>
          <w:rFonts w:hint="eastAsia" w:ascii="Times New Roman" w:hAnsi="Times New Roman" w:eastAsia="仿宋_GB2312" w:cs="仿宋_GB2312"/>
          <w:color w:val="auto"/>
          <w:sz w:val="32"/>
          <w:szCs w:val="32"/>
          <w:highlight w:val="none"/>
        </w:rPr>
        <w:t>纳入</w:t>
      </w:r>
      <w:r>
        <w:rPr>
          <w:rFonts w:ascii="Times New Roman" w:hAnsi="Times New Roman"/>
          <w:sz w:val="32"/>
          <w:szCs w:val="32"/>
        </w:rPr>
        <w:t>四川省民族地区经济开发中心</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w:t>
      </w:r>
    </w:p>
    <w:p>
      <w:pPr>
        <w:pStyle w:val="6"/>
        <w:pageBreakBefore w:val="0"/>
        <w:widowControl w:val="0"/>
        <w:kinsoku/>
        <w:wordWrap/>
        <w:overflowPunct/>
        <w:topLinePunct w:val="0"/>
        <w:autoSpaceDE/>
        <w:autoSpaceDN/>
        <w:bidi w:val="0"/>
        <w:adjustRightInd w:val="0"/>
        <w:snapToGrid w:val="0"/>
        <w:spacing w:beforeLines="0" w:line="600" w:lineRule="exac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编制范围的二级预算单位包括：</w:t>
      </w:r>
    </w:p>
    <w:p>
      <w:pPr>
        <w:pStyle w:val="6"/>
        <w:pageBreakBefore w:val="0"/>
        <w:widowControl w:val="0"/>
        <w:kinsoku/>
        <w:wordWrap/>
        <w:overflowPunct/>
        <w:topLinePunct w:val="0"/>
        <w:autoSpaceDE/>
        <w:autoSpaceDN/>
        <w:bidi w:val="0"/>
        <w:adjustRightInd w:val="0"/>
        <w:snapToGrid w:val="0"/>
        <w:spacing w:beforeLines="0" w:line="600" w:lineRule="exact"/>
        <w:ind w:left="0" w:firstLine="672" w:firstLineChars="210"/>
        <w:textAlignment w:val="auto"/>
        <w:rPr>
          <w:rFonts w:ascii="Times New Roman" w:hAnsi="Times New Roman" w:eastAsia="仿宋"/>
          <w:color w:val="auto"/>
          <w:kern w:val="0"/>
          <w:sz w:val="32"/>
          <w:szCs w:val="32"/>
          <w:highlight w:val="none"/>
        </w:rPr>
      </w:pPr>
      <w:r>
        <w:rPr>
          <w:rFonts w:hint="eastAsia" w:ascii="Times New Roman" w:cs="仿宋_GB2312"/>
          <w:color w:val="auto"/>
          <w:sz w:val="32"/>
          <w:szCs w:val="32"/>
          <w:highlight w:val="none"/>
          <w:lang w:val="en-US" w:eastAsia="zh-CN"/>
        </w:rPr>
        <w:t>1.</w:t>
      </w:r>
      <w:r>
        <w:rPr>
          <w:rFonts w:hint="eastAsia" w:ascii="Times New Roman" w:hAnsi="Times New Roman" w:cs="仿宋_GB2312"/>
          <w:color w:val="auto"/>
          <w:sz w:val="32"/>
          <w:szCs w:val="32"/>
          <w:highlight w:val="none"/>
          <w:lang w:val="en-US" w:eastAsia="zh-CN"/>
        </w:rPr>
        <w:t>四川省民族地区经济开发中心（机关）</w:t>
      </w:r>
    </w:p>
    <w:p>
      <w:pPr>
        <w:pageBreakBefore w:val="0"/>
        <w:widowControl w:val="0"/>
        <w:kinsoku/>
        <w:wordWrap/>
        <w:overflowPunct/>
        <w:topLinePunct w:val="0"/>
        <w:autoSpaceDE/>
        <w:autoSpaceDN/>
        <w:bidi w:val="0"/>
        <w:spacing w:line="600" w:lineRule="exact"/>
        <w:ind w:left="0"/>
        <w:textAlignment w:val="auto"/>
        <w:rPr>
          <w:rFonts w:hint="eastAsia" w:ascii="Times New Roman" w:hAnsi="Times New Roman" w:eastAsia="方正小标宋简体" w:cs="方正小标宋简体"/>
          <w:b w:val="0"/>
          <w:color w:val="auto"/>
          <w:highlight w:val="none"/>
        </w:rPr>
      </w:pPr>
      <w:bookmarkStart w:id="14" w:name="_Toc15377204"/>
      <w:bookmarkStart w:id="15" w:name="_Toc15396602"/>
      <w:r>
        <w:rPr>
          <w:rFonts w:hint="eastAsia" w:ascii="Times New Roman" w:hAnsi="Times New Roman" w:eastAsia="方正小标宋简体" w:cs="方正小标宋简体"/>
          <w:b w:val="0"/>
          <w:color w:val="auto"/>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6" w:name="_Toc1244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bookmarkEnd w:id="16"/>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7" w:name="_Toc15377205"/>
      <w:bookmarkStart w:id="18" w:name="_Toc27643"/>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7"/>
      <w:bookmarkEnd w:id="18"/>
      <w:bookmarkEnd w:id="1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0" w:name="_Toc25171"/>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lang w:val="en-US" w:eastAsia="zh-CN"/>
        </w:rPr>
        <w:t>1084.56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ascii="Times New Roman" w:hAnsi="Times New Roman" w:eastAsia="仿宋_GB2312" w:cs="仿宋_GB2312"/>
          <w:color w:val="auto"/>
          <w:sz w:val="32"/>
          <w:szCs w:val="32"/>
          <w:highlight w:val="none"/>
          <w:lang w:val="en-US" w:eastAsia="zh-CN"/>
        </w:rPr>
        <w:t>267.06</w:t>
      </w:r>
      <w:r>
        <w:rPr>
          <w:rFonts w:hint="eastAsia" w:ascii="Times New Roman" w:hAnsi="Times New Roman" w:eastAsia="仿宋_GB2312" w:cs="仿宋_GB2312"/>
          <w:color w:val="auto"/>
          <w:sz w:val="32"/>
          <w:szCs w:val="32"/>
          <w:highlight w:val="none"/>
        </w:rPr>
        <w:t>万元，增长</w:t>
      </w:r>
      <w:r>
        <w:rPr>
          <w:rFonts w:hint="eastAsia" w:ascii="Times New Roman" w:hAnsi="Times New Roman" w:eastAsia="仿宋_GB2312" w:cs="仿宋_GB2312"/>
          <w:color w:val="auto"/>
          <w:sz w:val="32"/>
          <w:szCs w:val="32"/>
          <w:highlight w:val="none"/>
          <w:lang w:val="en-US" w:eastAsia="zh-CN"/>
        </w:rPr>
        <w:t>24.62</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同运动</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一家亲</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项目经费增加。</w:t>
      </w:r>
      <w:bookmarkEnd w:id="2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411480</wp:posOffset>
            </wp:positionH>
            <wp:positionV relativeFrom="paragraph">
              <wp:posOffset>84455</wp:posOffset>
            </wp:positionV>
            <wp:extent cx="5256530" cy="2988310"/>
            <wp:effectExtent l="5080" t="4445" r="889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96604"/>
      <w:bookmarkStart w:id="22" w:name="_Toc28056"/>
      <w:bookmarkStart w:id="23" w:name="_Toc1537720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1"/>
      <w:bookmarkEnd w:id="22"/>
      <w:bookmarkEnd w:id="2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4" w:name="_Toc2510"/>
      <w:r>
        <w:rPr>
          <w:rFonts w:hint="eastAsia" w:ascii="Times New Roman" w:hAnsi="Times New Roman" w:eastAsia="仿宋_GB2312" w:cs="仿宋_GB2312"/>
          <w:color w:val="auto"/>
          <w:sz w:val="32"/>
          <w:szCs w:val="32"/>
          <w:highlight w:val="none"/>
          <w:lang w:eastAsia="zh-CN"/>
        </w:rPr>
        <w:t>2024年度本年收入合计</w:t>
      </w:r>
      <w:r>
        <w:rPr>
          <w:rFonts w:hint="eastAsia" w:ascii="Times New Roman" w:hAnsi="Times New Roman" w:eastAsia="仿宋_GB2312" w:cs="仿宋_GB2312"/>
          <w:sz w:val="32"/>
          <w:szCs w:val="32"/>
        </w:rPr>
        <w:t>1084.56万元，其中：一般公共预算财政拨款收入1084.56</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100</w:t>
      </w:r>
      <w:r>
        <w:rPr>
          <w:rFonts w:hint="eastAsia" w:ascii="Times New Roman" w:hAnsi="Times New Roman" w:eastAsia="仿宋_GB2312" w:cs="仿宋_GB2312"/>
          <w:color w:val="auto"/>
          <w:sz w:val="32"/>
          <w:szCs w:val="32"/>
          <w:highlight w:val="none"/>
          <w:lang w:eastAsia="zh-CN"/>
        </w:rPr>
        <w:t>%。</w:t>
      </w:r>
      <w:bookmarkEnd w:id="24"/>
    </w:p>
    <w:p>
      <w:pPr>
        <w:ind w:firstLine="803"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513080</wp:posOffset>
            </wp:positionH>
            <wp:positionV relativeFrom="paragraph">
              <wp:posOffset>84455</wp:posOffset>
            </wp:positionV>
            <wp:extent cx="5256530" cy="2988310"/>
            <wp:effectExtent l="5080" t="4445" r="889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5" w:name="_Toc15377207"/>
      <w:bookmarkStart w:id="26" w:name="_Toc8262"/>
      <w:bookmarkStart w:id="2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5"/>
      <w:bookmarkEnd w:id="26"/>
      <w:bookmarkEnd w:id="2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8" w:name="_Toc27651"/>
      <w:r>
        <w:rPr>
          <w:rFonts w:hint="eastAsia" w:ascii="Times New Roman" w:hAnsi="Times New Roman" w:eastAsia="仿宋_GB2312" w:cs="仿宋_GB2312"/>
          <w:color w:val="auto"/>
          <w:sz w:val="32"/>
          <w:szCs w:val="32"/>
          <w:highlight w:val="none"/>
          <w:lang w:eastAsia="zh-CN"/>
        </w:rPr>
        <w:t>2024年度本年支出合计</w:t>
      </w:r>
      <w:r>
        <w:rPr>
          <w:rFonts w:hint="eastAsia" w:ascii="Times New Roman" w:hAnsi="Times New Roman" w:eastAsia="仿宋_GB2312" w:cs="仿宋_GB2312"/>
          <w:sz w:val="32"/>
          <w:szCs w:val="32"/>
        </w:rPr>
        <w:t>1084.56</w:t>
      </w:r>
      <w:r>
        <w:rPr>
          <w:rFonts w:hint="eastAsia" w:ascii="Times New Roman" w:hAnsi="Times New Roman" w:eastAsia="仿宋_GB2312" w:cs="仿宋_GB2312"/>
          <w:color w:val="auto"/>
          <w:sz w:val="32"/>
          <w:szCs w:val="32"/>
          <w:highlight w:val="none"/>
          <w:lang w:eastAsia="zh-CN"/>
        </w:rPr>
        <w:t>万元，其中：基本支出</w:t>
      </w:r>
      <w:r>
        <w:rPr>
          <w:rFonts w:hint="eastAsia" w:ascii="Times New Roman" w:hAnsi="Times New Roman" w:eastAsia="仿宋_GB2312" w:cs="仿宋_GB2312"/>
          <w:sz w:val="32"/>
          <w:szCs w:val="32"/>
        </w:rPr>
        <w:t>347.13</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32</w:t>
      </w:r>
      <w:r>
        <w:rPr>
          <w:rFonts w:hint="eastAsia" w:ascii="Times New Roman" w:hAnsi="Times New Roman" w:eastAsia="仿宋_GB2312" w:cs="仿宋_GB2312"/>
          <w:color w:val="auto"/>
          <w:sz w:val="32"/>
          <w:szCs w:val="32"/>
          <w:highlight w:val="none"/>
          <w:lang w:eastAsia="zh-CN"/>
        </w:rPr>
        <w:t>%；项目支出</w:t>
      </w:r>
      <w:r>
        <w:rPr>
          <w:rFonts w:hint="eastAsia" w:ascii="Times New Roman" w:hAnsi="Times New Roman" w:eastAsia="仿宋_GB2312" w:cs="仿宋_GB2312"/>
          <w:sz w:val="32"/>
          <w:szCs w:val="32"/>
        </w:rPr>
        <w:t>737.42</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67.99</w:t>
      </w:r>
      <w:r>
        <w:rPr>
          <w:rFonts w:hint="eastAsia" w:ascii="Times New Roman" w:hAnsi="Times New Roman" w:eastAsia="仿宋_GB2312" w:cs="仿宋_GB2312"/>
          <w:color w:val="auto"/>
          <w:sz w:val="32"/>
          <w:szCs w:val="32"/>
          <w:highlight w:val="none"/>
          <w:lang w:eastAsia="zh-CN"/>
        </w:rPr>
        <w:t>%。</w:t>
      </w:r>
      <w:bookmarkEnd w:id="28"/>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0"/>
          <w:rFonts w:ascii="Times New Roman" w:hAnsi="Times New Roman" w:eastAsia="黑体"/>
          <w:b w:val="0"/>
          <w:color w:val="auto"/>
          <w:highlight w:val="none"/>
        </w:rPr>
      </w:pPr>
      <w:bookmarkStart w:id="29" w:name="_Toc15377208"/>
      <w:bookmarkStart w:id="30" w:name="_Toc15396606"/>
      <w:bookmarkStart w:id="31" w:name="_Toc10769"/>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9"/>
      <w:bookmarkEnd w:id="30"/>
      <w:bookmarkEnd w:id="31"/>
    </w:p>
    <w:p>
      <w:pPr>
        <w:spacing w:line="600" w:lineRule="exact"/>
        <w:ind w:firstLine="64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Times New Roman" w:hAnsi="Times New Roman" w:eastAsia="仿宋_GB2312" w:cs="仿宋_GB2312"/>
          <w:sz w:val="32"/>
          <w:szCs w:val="32"/>
        </w:rPr>
        <w:t>1084.56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ascii="Times New Roman" w:hAnsi="Times New Roman" w:eastAsia="仿宋_GB2312" w:cs="仿宋_GB2312"/>
          <w:color w:val="auto"/>
          <w:sz w:val="32"/>
          <w:szCs w:val="32"/>
          <w:highlight w:val="none"/>
          <w:lang w:val="en-US" w:eastAsia="zh-CN"/>
        </w:rPr>
        <w:t>267.06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ascii="Times New Roman" w:hAnsi="Times New Roman" w:eastAsia="仿宋_GB2312" w:cs="仿宋_GB2312"/>
          <w:color w:val="auto"/>
          <w:sz w:val="32"/>
          <w:szCs w:val="32"/>
          <w:highlight w:val="none"/>
          <w:lang w:val="en-US" w:eastAsia="zh-CN"/>
        </w:rPr>
        <w:t>24.62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同运动</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一家亲</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项目经费增加。</w:t>
      </w:r>
    </w:p>
    <w:p>
      <w:pPr>
        <w:pStyle w:val="14"/>
        <w:rPr>
          <w:rFonts w:hint="eastAsia" w:ascii="Times New Roman" w:hAnsi="Times New Roman" w:eastAsia="仿宋_GB2312" w:cs="仿宋_GB2312"/>
          <w:color w:val="auto"/>
          <w:sz w:val="32"/>
          <w:szCs w:val="32"/>
          <w:highlight w:val="none"/>
          <w:lang w:val="en-US" w:eastAsia="zh-CN"/>
        </w:rPr>
      </w:pPr>
    </w:p>
    <w:p>
      <w:pPr>
        <w:pStyle w:val="8"/>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drawing>
          <wp:inline distT="0" distB="0" distL="114300" distR="114300">
            <wp:extent cx="5256530" cy="2988310"/>
            <wp:effectExtent l="5080" t="4445" r="889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0"/>
          <w:rFonts w:ascii="Times New Roman" w:hAnsi="Times New Roman" w:eastAsia="黑体"/>
          <w:b w:val="0"/>
          <w:color w:val="auto"/>
          <w:highlight w:val="none"/>
        </w:rPr>
      </w:pPr>
      <w:bookmarkStart w:id="32" w:name="_Toc15396607"/>
      <w:bookmarkStart w:id="33" w:name="_Toc15377209"/>
      <w:bookmarkStart w:id="34" w:name="_Toc2458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2"/>
      <w:bookmarkEnd w:id="33"/>
      <w:bookmarkEnd w:id="34"/>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sz w:val="32"/>
          <w:szCs w:val="32"/>
        </w:rPr>
        <w:t>1084.56</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sz w:val="32"/>
          <w:szCs w:val="32"/>
        </w:rPr>
        <w:t>100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%。与2023年度相比，一般公共预算财政拨款支出增加267.06万元，增长24.62%。主要变动原因是“同运动·一家亲”项目经费增加。</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139065</wp:posOffset>
            </wp:positionV>
            <wp:extent cx="5256530" cy="2988310"/>
            <wp:effectExtent l="5080" t="4445" r="889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6"/>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sz w:val="32"/>
          <w:szCs w:val="32"/>
        </w:rPr>
        <w:t>1084.56</w:t>
      </w:r>
      <w:r>
        <w:rPr>
          <w:rFonts w:hint="eastAsia" w:ascii="Times New Roman" w:hAnsi="Times New Roman" w:eastAsia="仿宋_GB2312" w:cs="仿宋_GB2312"/>
          <w:color w:val="auto"/>
          <w:kern w:val="2"/>
          <w:sz w:val="32"/>
          <w:szCs w:val="32"/>
          <w:highlight w:val="none"/>
          <w:lang w:val="en-US" w:eastAsia="zh-CN" w:bidi="ar-SA"/>
        </w:rPr>
        <w:t>万元，主要用于以下方面：一般公共服务支出989.11万元，占91.20%；社会保障和就业支出33.03万元，占3.05%；卫生健康支出21.02万元，占1.93%；住房保障支出41.39万元，占3.82%。</w:t>
      </w:r>
    </w:p>
    <w:p>
      <w:pPr>
        <w:pStyle w:val="14"/>
        <w:rPr>
          <w:rFonts w:hint="eastAsia"/>
          <w:lang w:val="en-US" w:eastAsia="zh-CN"/>
        </w:rPr>
      </w:pPr>
    </w:p>
    <w:p>
      <w:pPr>
        <w:spacing w:line="600" w:lineRule="exact"/>
        <w:ind w:firstLine="640"/>
        <w:rPr>
          <w:rFonts w:hint="eastAsia"/>
          <w:lang w:val="en-US" w:eastAsia="zh-CN"/>
        </w:rPr>
      </w:pPr>
    </w:p>
    <w:p>
      <w:pPr>
        <w:spacing w:line="600" w:lineRule="exact"/>
        <w:ind w:firstLine="640"/>
        <w:rPr>
          <w:rFonts w:hint="eastAsia"/>
          <w:lang w:val="en-US" w:eastAsia="zh-CN"/>
        </w:rPr>
      </w:pPr>
    </w:p>
    <w:p>
      <w:pPr>
        <w:spacing w:line="600" w:lineRule="exact"/>
        <w:ind w:firstLine="640"/>
        <w:rPr>
          <w:rFonts w:hint="eastAsia"/>
          <w:lang w:val="en-US" w:eastAsia="zh-CN"/>
        </w:rPr>
      </w:pPr>
    </w:p>
    <w:p>
      <w:pPr>
        <w:pStyle w:val="14"/>
        <w:rPr>
          <w:rFonts w:hint="eastAsia"/>
          <w:lang w:val="en-US" w:eastAsia="zh-CN"/>
        </w:rPr>
      </w:pPr>
    </w:p>
    <w:p>
      <w:pPr>
        <w:pStyle w:val="8"/>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anchor distT="0" distB="0" distL="114300" distR="114300" simplePos="0" relativeHeight="251662336" behindDoc="0" locked="0" layoutInCell="1" allowOverlap="1">
            <wp:simplePos x="0" y="0"/>
            <wp:positionH relativeFrom="column">
              <wp:posOffset>186690</wp:posOffset>
            </wp:positionH>
            <wp:positionV relativeFrom="paragraph">
              <wp:posOffset>13970</wp:posOffset>
            </wp:positionV>
            <wp:extent cx="5256530" cy="2988310"/>
            <wp:effectExtent l="5080" t="4445" r="8890"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444"/>
      <w:bookmarkStart w:id="39" w:name="_Toc15377213"/>
      <w:bookmarkStart w:id="40"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Times New Roman" w:hAnsi="Times New Roman" w:eastAsia="仿宋_GB2312" w:cs="仿宋_GB2312"/>
          <w:sz w:val="32"/>
          <w:szCs w:val="32"/>
          <w:lang w:val="en-US" w:eastAsia="zh-CN"/>
        </w:rPr>
        <w:t>1084.56万元</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38"/>
      <w:bookmarkEnd w:id="39"/>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1.一般公共服务（类）民族事务（款）行政运行（项）：支出决算为251.69万元，完成预算100%。</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2.一般公共服务（类）民族事务（款）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737.42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（款）行政单位离退休（项）：支出决算为</w:t>
      </w:r>
      <w:r>
        <w:rPr>
          <w:rFonts w:hint="eastAsia" w:eastAsia="仿宋_GB2312" w:cs="仿宋_GB2312"/>
          <w:color w:val="auto"/>
          <w:kern w:val="2"/>
          <w:sz w:val="32"/>
          <w:szCs w:val="32"/>
          <w:highlight w:val="none"/>
          <w:lang w:val="en-US" w:eastAsia="zh-CN" w:bidi="ar-SA"/>
        </w:rPr>
        <w:t>10.11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（款）机关事业单位基本养老保险缴费支出（项）：支出决算为</w:t>
      </w:r>
      <w:r>
        <w:rPr>
          <w:rFonts w:hint="eastAsia" w:eastAsia="仿宋_GB2312" w:cs="仿宋_GB2312"/>
          <w:color w:val="auto"/>
          <w:kern w:val="2"/>
          <w:sz w:val="32"/>
          <w:szCs w:val="32"/>
          <w:highlight w:val="none"/>
          <w:lang w:val="en-US" w:eastAsia="zh-CN" w:bidi="ar-SA"/>
        </w:rPr>
        <w:t>22.92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5.卫生健康（类）行政单位事业医疗（款）行政单位医疗（项）:支出决算为</w:t>
      </w:r>
      <w:r>
        <w:rPr>
          <w:rFonts w:hint="eastAsia" w:eastAsia="仿宋_GB2312" w:cs="仿宋_GB2312"/>
          <w:color w:val="auto"/>
          <w:kern w:val="2"/>
          <w:sz w:val="32"/>
          <w:szCs w:val="32"/>
          <w:highlight w:val="none"/>
          <w:lang w:val="en-US" w:eastAsia="zh-CN" w:bidi="ar-SA"/>
        </w:rPr>
        <w:t>14.34</w:t>
      </w:r>
      <w:r>
        <w:rPr>
          <w:rFonts w:hint="eastAsia" w:ascii="Times New Roman" w:hAnsi="Times New Roman" w:eastAsia="仿宋_GB2312" w:cs="仿宋_GB2312"/>
          <w:color w:val="auto"/>
          <w:kern w:val="2"/>
          <w:sz w:val="32"/>
          <w:szCs w:val="32"/>
          <w:highlight w:val="none"/>
          <w:lang w:val="en-US" w:eastAsia="zh-CN" w:bidi="ar-SA"/>
        </w:rPr>
        <w:t xml:space="preserve">万元，完成预算100%。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6.卫生健康（类）行政单位事业医疗（款）公务员医疗补助（项）:支出决算为</w:t>
      </w:r>
      <w:r>
        <w:rPr>
          <w:rFonts w:hint="eastAsia" w:eastAsia="仿宋_GB2312" w:cs="仿宋_GB2312"/>
          <w:color w:val="auto"/>
          <w:kern w:val="2"/>
          <w:sz w:val="32"/>
          <w:szCs w:val="32"/>
          <w:highlight w:val="none"/>
          <w:lang w:val="en-US" w:eastAsia="zh-CN" w:bidi="ar-SA"/>
        </w:rPr>
        <w:t>6.68</w:t>
      </w:r>
      <w:r>
        <w:rPr>
          <w:rFonts w:hint="eastAsia" w:ascii="Times New Roman" w:hAnsi="Times New Roman" w:eastAsia="仿宋_GB2312" w:cs="仿宋_GB2312"/>
          <w:color w:val="auto"/>
          <w:kern w:val="2"/>
          <w:sz w:val="32"/>
          <w:szCs w:val="32"/>
          <w:highlight w:val="none"/>
          <w:lang w:val="en-US" w:eastAsia="zh-CN" w:bidi="ar-SA"/>
        </w:rPr>
        <w:t xml:space="preserve">万元，完成预算100%。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7.住房保障（类）住房改革支出（款）住房公积金（项）：支出决算为</w:t>
      </w:r>
      <w:r>
        <w:rPr>
          <w:rFonts w:hint="eastAsia" w:eastAsia="仿宋_GB2312" w:cs="仿宋_GB2312"/>
          <w:color w:val="auto"/>
          <w:kern w:val="2"/>
          <w:sz w:val="32"/>
          <w:szCs w:val="32"/>
          <w:highlight w:val="none"/>
          <w:lang w:val="en-US" w:eastAsia="zh-CN" w:bidi="ar-SA"/>
        </w:rPr>
        <w:t>18.29</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.住房保障（类）住房改革支出（款）</w:t>
      </w:r>
      <w:r>
        <w:rPr>
          <w:rFonts w:hint="eastAsia" w:eastAsia="仿宋_GB2312" w:cs="仿宋_GB2312"/>
          <w:color w:val="auto"/>
          <w:kern w:val="2"/>
          <w:sz w:val="32"/>
          <w:szCs w:val="32"/>
          <w:highlight w:val="none"/>
          <w:lang w:val="en-US" w:eastAsia="zh-CN" w:bidi="ar-SA"/>
        </w:rPr>
        <w:t>购房补贴</w:t>
      </w:r>
      <w:r>
        <w:rPr>
          <w:rFonts w:hint="eastAsia" w:ascii="Times New Roman" w:hAnsi="Times New Roman" w:eastAsia="仿宋_GB2312" w:cs="仿宋_GB2312"/>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23.1</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0"/>
          <w:rFonts w:ascii="Times New Roman" w:hAnsi="Times New Roman"/>
          <w:color w:val="auto"/>
          <w:highlight w:val="none"/>
        </w:rPr>
      </w:pPr>
      <w:bookmarkStart w:id="41" w:name="_Toc15396608"/>
      <w:bookmarkStart w:id="42" w:name="_Toc12774"/>
      <w:bookmarkStart w:id="43"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1"/>
      <w:bookmarkEnd w:id="42"/>
      <w:bookmarkEnd w:id="43"/>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Times New Roman" w:hAnsi="Times New Roman" w:eastAsia="仿宋_GB2312" w:cs="仿宋_GB2312"/>
          <w:sz w:val="32"/>
          <w:szCs w:val="32"/>
        </w:rPr>
        <w:t>347.13</w:t>
      </w:r>
      <w:r>
        <w:rPr>
          <w:rFonts w:hint="eastAsia" w:ascii="Times New Roman" w:hAnsi="Times New Roman" w:eastAsia="仿宋_GB2312" w:cs="仿宋_GB2312"/>
          <w:color w:val="auto"/>
          <w:kern w:val="2"/>
          <w:sz w:val="32"/>
          <w:szCs w:val="32"/>
          <w:highlight w:val="none"/>
          <w:lang w:val="en-US" w:eastAsia="zh-CN" w:bidi="ar-SA"/>
        </w:rPr>
        <w:t>万元，其中：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Times New Roman" w:hAnsi="Times New Roman" w:eastAsia="仿宋_GB2312" w:cs="仿宋_GB2312"/>
          <w:sz w:val="32"/>
          <w:szCs w:val="32"/>
        </w:rPr>
        <w:t>303.14</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机关事业单位基本养老保险缴费、职业年金缴费、其他社会保障缴费、其他工资福利支出、退休费、生活补助、医疗费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Times New Roman" w:hAnsi="Times New Roman" w:eastAsia="仿宋_GB2312" w:cs="仿宋_GB2312"/>
          <w:sz w:val="32"/>
          <w:szCs w:val="32"/>
        </w:rPr>
        <w:t>43.99</w:t>
      </w:r>
      <w:r>
        <w:rPr>
          <w:rFonts w:hint="eastAsia" w:ascii="Times New Roman" w:hAnsi="Times New Roman" w:eastAsia="仿宋_GB2312" w:cs="仿宋_GB2312"/>
          <w:color w:val="auto"/>
          <w:kern w:val="2"/>
          <w:sz w:val="32"/>
          <w:szCs w:val="32"/>
          <w:highlight w:val="none"/>
          <w:lang w:val="en-US" w:eastAsia="zh-CN" w:bidi="ar-SA"/>
        </w:rPr>
        <w:t>万元，主要包括：办公费、印刷费、水费、电费、邮电费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差旅费、维修（护）费、会议费、劳务费、委托业务费、工会经费、福利费、公务用车运行维护费、其他交通费、其他商品和服务支出等。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30"/>
          <w:rFonts w:ascii="Times New Roman" w:hAnsi="Times New Roman" w:eastAsia="黑体"/>
          <w:b w:val="0"/>
          <w:color w:val="auto"/>
          <w:highlight w:val="none"/>
        </w:rPr>
      </w:pPr>
      <w:bookmarkStart w:id="44" w:name="_Toc15377215"/>
      <w:bookmarkStart w:id="45" w:name="_Toc15396609"/>
      <w:bookmarkStart w:id="46" w:name="_Toc216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4"/>
      <w:bookmarkEnd w:id="45"/>
      <w:bookmarkEnd w:id="46"/>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Times New Roman" w:hAnsi="Times New Roman" w:eastAsia="仿宋_GB2312" w:cs="仿宋_GB2312"/>
          <w:sz w:val="32"/>
          <w:szCs w:val="32"/>
        </w:rPr>
        <w:t>3.55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Times New Roman" w:hAnsi="Times New Roman" w:eastAsia="仿宋_GB2312" w:cs="仿宋_GB2312"/>
          <w:sz w:val="32"/>
          <w:szCs w:val="32"/>
        </w:rPr>
        <w:t>78.92</w:t>
      </w:r>
      <w:r>
        <w:rPr>
          <w:rFonts w:hint="eastAsia" w:ascii="Times New Roman" w:hAnsi="Times New Roman" w:eastAsia="仿宋_GB2312" w:cs="仿宋_GB2312"/>
          <w:color w:val="auto"/>
          <w:kern w:val="2"/>
          <w:sz w:val="32"/>
          <w:szCs w:val="32"/>
          <w:highlight w:val="none"/>
          <w:lang w:val="en-US" w:eastAsia="zh-CN" w:bidi="ar-SA"/>
        </w:rPr>
        <w:t>%，较上年度减少0.76万元，下降21.41%。决算数小于预算数的主要原因是例行节约，减少了公务接待费、公务用车费。</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万元，占0%；公务用车购置及运行维护费支出决算</w:t>
      </w:r>
      <w:r>
        <w:rPr>
          <w:rFonts w:hint="eastAsia" w:ascii="Times New Roman" w:hAnsi="Times New Roman" w:eastAsia="仿宋_GB2312" w:cs="仿宋_GB2312"/>
          <w:sz w:val="32"/>
          <w:szCs w:val="32"/>
        </w:rPr>
        <w:t>3.55</w:t>
      </w:r>
      <w:r>
        <w:rPr>
          <w:rFonts w:hint="eastAsia" w:ascii="Times New Roman" w:hAnsi="Times New Roman" w:eastAsia="仿宋_GB2312" w:cs="仿宋_GB2312"/>
          <w:color w:val="auto"/>
          <w:kern w:val="2"/>
          <w:sz w:val="32"/>
          <w:szCs w:val="32"/>
          <w:highlight w:val="none"/>
          <w:lang w:val="en-US" w:eastAsia="zh-CN" w:bidi="ar-SA"/>
        </w:rPr>
        <w:t>万元，占100%；公务接待费支出决算</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万元，占0%。具体情况如下：</w:t>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504190</wp:posOffset>
            </wp:positionH>
            <wp:positionV relativeFrom="paragraph">
              <wp:posOffset>224790</wp:posOffset>
            </wp:positionV>
            <wp:extent cx="5256530" cy="2988310"/>
            <wp:effectExtent l="5080" t="4445" r="8890" b="1714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numPr>
          <w:ilvl w:val="0"/>
          <w:numId w:val="2"/>
        </w:num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因公出国（境）经费支出0万元。</w:t>
      </w:r>
    </w:p>
    <w:p>
      <w:p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2.公务用车购置及运行维护费支出3.55万元，完成预算88.75%。</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公务用车购置及运行维护费支出决算比2023年度减少0.76万元，下降21.41%。主要原因是出差次数减少。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万元。全年按规定更新购置公务用车0辆。截至2024年12月31日，单位共有公务用车1辆，其中：轿车0辆、越野车1辆、载客汽车0辆。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ascii="Times New Roman" w:hAnsi="Times New Roman" w:eastAsia="仿宋_GB2312" w:cs="仿宋_GB2312"/>
          <w:sz w:val="32"/>
          <w:szCs w:val="32"/>
        </w:rPr>
        <w:t>3.55</w:t>
      </w:r>
      <w:r>
        <w:rPr>
          <w:rFonts w:hint="eastAsia" w:ascii="Times New Roman" w:hAnsi="Times New Roman" w:eastAsia="仿宋_GB2312" w:cs="仿宋_GB2312"/>
          <w:color w:val="auto"/>
          <w:kern w:val="2"/>
          <w:sz w:val="32"/>
          <w:szCs w:val="32"/>
          <w:highlight w:val="none"/>
          <w:lang w:val="en-US" w:eastAsia="zh-CN" w:bidi="ar-SA"/>
        </w:rPr>
        <w:t>万元。主要用于到三州出差调研等所需的公务用车燃料费、维修费、过路过桥费、保险费等支出。</w:t>
      </w:r>
    </w:p>
    <w:p>
      <w:pPr>
        <w:numPr>
          <w:ilvl w:val="0"/>
          <w:numId w:val="2"/>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公务接待费支出0万元，完成预算0%。</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9" w:name="_Toc15377218"/>
      <w:bookmarkStart w:id="50" w:name="_Toc15396610"/>
    </w:p>
    <w:p>
      <w:pPr>
        <w:spacing w:line="600" w:lineRule="exact"/>
        <w:ind w:firstLine="640"/>
        <w:outlineLvl w:val="1"/>
        <w:rPr>
          <w:rStyle w:val="30"/>
          <w:rFonts w:ascii="Times New Roman" w:hAnsi="Times New Roman" w:eastAsia="黑体"/>
          <w:color w:val="auto"/>
          <w:highlight w:val="none"/>
        </w:rPr>
      </w:pPr>
      <w:bookmarkStart w:id="51" w:name="_Toc2603"/>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9"/>
      <w:bookmarkEnd w:id="50"/>
      <w:bookmarkEnd w:id="51"/>
    </w:p>
    <w:p>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numPr>
          <w:ilvl w:val="0"/>
          <w:numId w:val="0"/>
        </w:numPr>
        <w:spacing w:line="600" w:lineRule="exact"/>
        <w:ind w:left="630" w:leftChars="0"/>
        <w:outlineLvl w:val="9"/>
        <w:rPr>
          <w:rStyle w:val="30"/>
          <w:rFonts w:hint="eastAsia" w:ascii="Times New Roman" w:hAnsi="Times New Roman" w:eastAsia="黑体"/>
          <w:b w:val="0"/>
          <w:color w:val="auto"/>
          <w:highlight w:val="none"/>
          <w:lang w:eastAsia="zh-CN"/>
        </w:rPr>
      </w:pPr>
      <w:bookmarkStart w:id="52" w:name="_Toc15396611"/>
      <w:bookmarkStart w:id="53" w:name="_Toc15377219"/>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4" w:name="_Toc8162"/>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2"/>
      <w:bookmarkEnd w:id="53"/>
      <w:bookmarkEnd w:id="54"/>
    </w:p>
    <w:p>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bookmarkStart w:id="55" w:name="_Toc19754"/>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bookmarkEnd w:id="55"/>
      <w:bookmarkStart w:id="56" w:name="_Toc15377221"/>
      <w:bookmarkStart w:id="57" w:name="_Toc15396612"/>
    </w:p>
    <w:p>
      <w:pPr>
        <w:numPr>
          <w:ilvl w:val="0"/>
          <w:numId w:val="0"/>
        </w:numPr>
        <w:spacing w:line="600" w:lineRule="exact"/>
        <w:ind w:left="630" w:leftChars="0"/>
        <w:outlineLvl w:val="9"/>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8" w:name="_Toc118"/>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6"/>
      <w:bookmarkEnd w:id="57"/>
      <w:bookmarkEnd w:id="58"/>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2"/>
      <w:r>
        <w:rPr>
          <w:rFonts w:hint="eastAsia" w:ascii="Times New Roman" w:hAnsi="Times New Roman" w:eastAsia="楷体_GB2312" w:cs="楷体_GB2312"/>
          <w:b/>
          <w:color w:val="auto"/>
          <w:sz w:val="32"/>
          <w:szCs w:val="32"/>
          <w:highlight w:val="none"/>
        </w:rPr>
        <w:t>（一）机关运行经费支出情况</w:t>
      </w:r>
      <w:bookmarkEnd w:id="59"/>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Times New Roman" w:hAnsi="Times New Roman" w:eastAsia="仿宋_GB2312" w:cs="仿宋_GB2312"/>
          <w:sz w:val="32"/>
          <w:szCs w:val="32"/>
        </w:rPr>
        <w:t>四川省民族地区经济开发中心</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ascii="Times New Roman" w:hAnsi="Times New Roman" w:eastAsia="仿宋_GB2312" w:cs="仿宋_GB2312"/>
          <w:sz w:val="32"/>
          <w:szCs w:val="32"/>
        </w:rPr>
        <w:t>43.99</w:t>
      </w:r>
      <w:r>
        <w:rPr>
          <w:rFonts w:hint="eastAsia" w:ascii="Times New Roman" w:hAnsi="Times New Roman" w:eastAsia="仿宋_GB2312" w:cs="仿宋_GB2312"/>
          <w:color w:val="auto"/>
          <w:kern w:val="2"/>
          <w:sz w:val="32"/>
          <w:szCs w:val="32"/>
          <w:highlight w:val="none"/>
          <w:lang w:val="en-US" w:eastAsia="zh-CN" w:bidi="ar-SA"/>
        </w:rPr>
        <w:t>万元，比2023年度增加1.29万元，增长2.93%。主要原因是人员增加。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3"/>
      <w:r>
        <w:rPr>
          <w:rFonts w:hint="eastAsia" w:ascii="Times New Roman" w:hAnsi="Times New Roman" w:eastAsia="楷体_GB2312" w:cs="楷体_GB2312"/>
          <w:b/>
          <w:color w:val="auto"/>
          <w:sz w:val="32"/>
          <w:szCs w:val="32"/>
          <w:highlight w:val="none"/>
        </w:rPr>
        <w:t>（二）政府采购支出情况</w:t>
      </w:r>
      <w:bookmarkEnd w:id="6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Times New Roman" w:hAnsi="Times New Roman" w:eastAsia="仿宋_GB2312" w:cs="仿宋_GB2312"/>
          <w:sz w:val="32"/>
          <w:szCs w:val="32"/>
        </w:rPr>
        <w:t>四川省民族地区经济开发中心</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ascii="Times New Roman" w:hAnsi="Times New Roman" w:eastAsia="仿宋_GB2312" w:cs="仿宋_GB2312"/>
          <w:sz w:val="32"/>
          <w:szCs w:val="32"/>
        </w:rPr>
        <w:t>582.05</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ascii="Times New Roman" w:hAnsi="Times New Roman" w:eastAsia="仿宋_GB2312" w:cs="仿宋_GB2312"/>
          <w:sz w:val="32"/>
          <w:szCs w:val="32"/>
        </w:rPr>
        <w:t>582.05</w:t>
      </w:r>
      <w:r>
        <w:rPr>
          <w:rFonts w:hint="eastAsia" w:ascii="Times New Roman" w:hAnsi="Times New Roman" w:eastAsia="仿宋_GB2312" w:cs="仿宋_GB2312"/>
          <w:color w:val="auto"/>
          <w:kern w:val="2"/>
          <w:sz w:val="32"/>
          <w:szCs w:val="32"/>
          <w:highlight w:val="none"/>
          <w:lang w:val="en-US" w:eastAsia="zh-CN" w:bidi="ar-SA"/>
        </w:rPr>
        <w:t>万元。主要用于“同运动</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一家亲”项目和四川省大中小学铸牢中华民族共同体意识校园舞台剧展演活动项目。授予中小企业合同金额</w:t>
      </w:r>
      <w:r>
        <w:rPr>
          <w:rFonts w:hint="eastAsia" w:ascii="Times New Roman" w:hAnsi="Times New Roman" w:eastAsia="仿宋_GB2312" w:cs="仿宋_GB2312"/>
          <w:sz w:val="32"/>
          <w:szCs w:val="32"/>
        </w:rPr>
        <w:t>489.95</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ascii="Times New Roman" w:hAnsi="Times New Roman" w:eastAsia="仿宋_GB2312" w:cs="仿宋_GB2312"/>
          <w:sz w:val="32"/>
          <w:szCs w:val="32"/>
        </w:rPr>
        <w:t>84.17</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ascii="Times New Roman" w:hAnsi="Times New Roman" w:eastAsia="仿宋_GB2312" w:cs="仿宋_GB2312"/>
          <w:sz w:val="32"/>
          <w:szCs w:val="32"/>
        </w:rPr>
        <w:t>489.95</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ascii="Times New Roman" w:hAnsi="Times New Roman" w:eastAsia="仿宋_GB2312" w:cs="仿宋_GB2312"/>
          <w:sz w:val="32"/>
          <w:szCs w:val="32"/>
        </w:rPr>
        <w:t>84.17</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4"/>
      <w:r>
        <w:rPr>
          <w:rFonts w:hint="eastAsia" w:ascii="Times New Roman" w:hAnsi="Times New Roman" w:eastAsia="楷体_GB2312" w:cs="楷体_GB2312"/>
          <w:b/>
          <w:color w:val="auto"/>
          <w:sz w:val="32"/>
          <w:szCs w:val="32"/>
          <w:highlight w:val="none"/>
        </w:rPr>
        <w:t>（三）国有资产占有使用情况</w:t>
      </w:r>
      <w:bookmarkEnd w:id="6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w:t>
      </w:r>
      <w:r>
        <w:rPr>
          <w:rFonts w:hint="eastAsia" w:ascii="Times New Roman" w:hAnsi="Times New Roman" w:eastAsia="仿宋_GB2312" w:cs="仿宋_GB2312"/>
          <w:sz w:val="32"/>
          <w:szCs w:val="32"/>
        </w:rPr>
        <w:t>四川省民族地区经济开发中心</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ascii="Times New Roman" w:hAnsi="Times New Roman" w:eastAsia="仿宋_GB2312" w:cs="仿宋_GB2312"/>
          <w:sz w:val="32"/>
          <w:szCs w:val="32"/>
        </w:rPr>
        <w:t>1</w:t>
      </w:r>
      <w:r>
        <w:rPr>
          <w:rFonts w:hint="eastAsia" w:ascii="Times New Roman" w:hAnsi="Times New Roman" w:eastAsia="仿宋_GB2312" w:cs="仿宋_GB2312"/>
          <w:color w:val="auto"/>
          <w:kern w:val="2"/>
          <w:sz w:val="32"/>
          <w:szCs w:val="32"/>
          <w:highlight w:val="none"/>
          <w:lang w:val="en-US" w:eastAsia="zh-CN" w:bidi="ar-SA"/>
        </w:rPr>
        <w:t>辆，其中：主要负责人用车</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ascii="Times New Roman" w:hAnsi="Times New Roman" w:eastAsia="仿宋_GB2312" w:cs="仿宋_GB2312"/>
          <w:sz w:val="32"/>
          <w:szCs w:val="32"/>
        </w:rPr>
        <w:t>1</w:t>
      </w:r>
      <w:r>
        <w:rPr>
          <w:rFonts w:hint="eastAsia" w:ascii="Times New Roman" w:hAnsi="Times New Roman" w:eastAsia="仿宋_GB2312" w:cs="仿宋_GB2312"/>
          <w:color w:val="auto"/>
          <w:kern w:val="2"/>
          <w:sz w:val="32"/>
          <w:szCs w:val="32"/>
          <w:highlight w:val="none"/>
          <w:lang w:val="en-US" w:eastAsia="zh-CN" w:bidi="ar-SA"/>
        </w:rPr>
        <w:t>辆，其他用车主要是用于三州出差调研检查工作。单价100万元（含）以上设备（不含车辆）</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台（套）。</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根据预算绩效管理要求，本单位在2024年度预算编制阶段，组织对3个项目开展了预算事前绩效评估，对3个项目编制了绩效目标，预算执行过程中，选取3个项目开展绩效监控。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组织对2024年度一般公共预算开展绩效自评，形成四川省民族地区经济开发中心单位整体（含单位预算项目）绩效自评报告，自评得分为97.15分。绩效自评报告详见附件。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黑体"/>
          <w:color w:val="auto"/>
          <w:sz w:val="44"/>
          <w:szCs w:val="44"/>
          <w:highlight w:val="none"/>
        </w:rPr>
      </w:pPr>
      <w:bookmarkStart w:id="62" w:name="_Toc15396613"/>
      <w:bookmarkStart w:id="63" w:name="_Toc15377225"/>
      <w:r>
        <w:rPr>
          <w:rFonts w:hint="eastAsia" w:ascii="Times New Roman" w:hAnsi="Times New Roman" w:eastAsia="黑体"/>
          <w:color w:val="auto"/>
          <w:sz w:val="44"/>
          <w:szCs w:val="44"/>
          <w:highlight w:val="none"/>
        </w:rPr>
        <w:br w:type="page"/>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4" w:name="_Toc25047"/>
      <w:r>
        <w:rPr>
          <w:rFonts w:hint="eastAsia" w:ascii="Times New Roman" w:hAnsi="Times New Roman" w:eastAsia="黑体"/>
          <w:color w:val="auto"/>
          <w:sz w:val="44"/>
          <w:szCs w:val="44"/>
          <w:highlight w:val="none"/>
        </w:rPr>
        <w:t>第</w:t>
      </w:r>
      <w:r>
        <w:rPr>
          <w:rFonts w:hint="eastAsia" w:ascii="Times New Roman" w:hAnsi="Times New Roman"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2"/>
      <w:bookmarkEnd w:id="63"/>
      <w:bookmarkEnd w:id="64"/>
    </w:p>
    <w:p>
      <w:pPr>
        <w:spacing w:line="600" w:lineRule="exact"/>
        <w:jc w:val="left"/>
        <w:rPr>
          <w:rFonts w:ascii="Times New Roman" w:hAnsi="Times New Roman"/>
          <w:b/>
          <w:color w:val="auto"/>
          <w:sz w:val="44"/>
          <w:szCs w:val="44"/>
          <w:highlight w:val="none"/>
        </w:rPr>
      </w:pPr>
    </w:p>
    <w:p>
      <w:pPr>
        <w:spacing w:line="600" w:lineRule="exact"/>
        <w:ind w:firstLine="640"/>
        <w:outlineLvl w:val="1"/>
        <w:rPr>
          <w:rFonts w:hint="eastAsia" w:ascii="Times New Roman" w:hAnsi="Times New Roman" w:eastAsia="仿宋_GB2312" w:cs="仿宋_GB2312"/>
          <w:color w:val="auto"/>
          <w:kern w:val="2"/>
          <w:sz w:val="32"/>
          <w:szCs w:val="32"/>
          <w:highlight w:val="none"/>
          <w:lang w:val="en-US" w:eastAsia="zh-CN" w:bidi="ar-SA"/>
        </w:rPr>
      </w:pPr>
      <w:bookmarkStart w:id="65" w:name="_Toc1491"/>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bookmarkEnd w:id="65"/>
      <w:r>
        <w:rPr>
          <w:rFonts w:hint="eastAsia" w:ascii="Times New Roman" w:hAnsi="Times New Roman" w:eastAsia="仿宋_GB2312" w:cs="仿宋_GB2312"/>
          <w:color w:val="auto"/>
          <w:kern w:val="2"/>
          <w:sz w:val="32"/>
          <w:szCs w:val="32"/>
          <w:highlight w:val="none"/>
          <w:lang w:val="en-US" w:eastAsia="zh-CN" w:bidi="ar-SA"/>
        </w:rPr>
        <w:t xml:space="preserve">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2.一般公共服务（类）民族事务（款）行政运行（项）：反映行政单位（包括实行公务员管理的事业单位）的基本支出。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3.一般公共服务（类）民族事务（款）一般行政管理事务（项）：指反映行政单位（包括实行公务员管理的事业单位）未单独设置项级科目的其他项目支出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4.一般公共服务（类）民族事务（款）事业运行（项）：指反映单位的基本支出，不包括行政单位（包括实行公务员管理的事业单位）后勤服务中心、医务室等附属事业单位。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5.社会保障和就业（类）行政事业单位养老支出（款）行政单位离退休（项）：指反映行政单位（包括实行公务员管理的事业单位）开支的离退休经费。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6.社会保障和就业（类）行政事业单位养老支出（款）机关事业单位基本养老保险缴费支出（项）：指反映机关事业单位实施养老保险制度由单位缴纳的基本养老保险费支出。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7.卫生健康（类）行政单位事业医疗（款）行政单位医疗（项）：指反映财务部门安排的行政单位（包括实行公务员管理的事业单位，下同）基本医疗保险缴费经费，未参加医疗保险的行政单位的公费医疗经费，按国家规定享受离休人员、红军老战士待遇人员的医疗经费。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8.卫生健康（类）行政单位事业医疗（款）公务员医疗补助（项）：指反映财政部门安排的公务员医疗补助经费。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9.住房保障（类）住房改革支出（款）住房公积金（项）：指反映行政事业单位按人力资源和社会保障部、财政部规定的基本工资和津贴补贴以及规定比例为职工缴纳的住房公积金。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10.住房保障（类）住房改革支出（款）购房补贴（项）：指反映按房改政策规定，行政事业单位向符合条件职工（含离退休人员）、军队（含武警）向转役复员离退休人员发放的用于购买住房的补贴。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11.基本支出：指为保障机构正常运转、完成日常工作任务而发生的人员支出和公用支出。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12.项目支出：指在基本支出之外为完成特定行政任务和事业发展目标所发生的支出。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13.“三公”经费：指单位用财政拨款安排的公务用车购置及运行费和公务接待费。其中，公务用车购置及运行费反映单位公务用车燃料费、维修费、过路过桥费、保险费等支出；公务接待费反映单位按规定开支的各类公务接待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14.机关运行经费：为保障行政单位（含参照公务员法管理的事业单位）运行用于购买货物和服务的各项资金，包括办公及印刷费、邮电费、差旅费、会议费、福利费、日常维修费、办公用房水电费、办公用房物</w:t>
      </w:r>
      <w:bookmarkStart w:id="89" w:name="_GoBack"/>
      <w:bookmarkEnd w:id="89"/>
      <w:r>
        <w:rPr>
          <w:rFonts w:hint="eastAsia" w:ascii="Times New Roman" w:hAnsi="Times New Roman" w:eastAsia="仿宋_GB2312" w:cs="仿宋_GB2312"/>
          <w:color w:val="auto"/>
          <w:kern w:val="2"/>
          <w:sz w:val="32"/>
          <w:szCs w:val="32"/>
          <w:highlight w:val="none"/>
          <w:lang w:val="en-US" w:eastAsia="zh-CN" w:bidi="ar-SA"/>
        </w:rPr>
        <w:t>业管理费、公务用车运行维护费以及其他费用。</w:t>
      </w:r>
    </w:p>
    <w:p>
      <w:pPr>
        <w:rPr>
          <w:rFonts w:hint="eastAsia" w:ascii="Times New Roman" w:hAnsi="Times New Roman" w:eastAsia="黑体"/>
          <w:color w:val="auto"/>
          <w:sz w:val="44"/>
          <w:szCs w:val="44"/>
          <w:highlight w:val="none"/>
        </w:rPr>
      </w:pPr>
      <w:bookmarkStart w:id="66" w:name="_Toc15396614"/>
      <w:bookmarkStart w:id="67" w:name="_Toc15377226"/>
      <w:r>
        <w:rPr>
          <w:rFonts w:hint="eastAsia" w:ascii="Times New Roman" w:hAnsi="Times New Roman" w:eastAsia="黑体"/>
          <w:color w:val="auto"/>
          <w:sz w:val="44"/>
          <w:szCs w:val="44"/>
          <w:highlight w:val="none"/>
        </w:rPr>
        <w:br w:type="page"/>
      </w:r>
    </w:p>
    <w:p>
      <w:pPr>
        <w:spacing w:line="600" w:lineRule="exact"/>
        <w:jc w:val="center"/>
        <w:outlineLvl w:val="0"/>
        <w:rPr>
          <w:rStyle w:val="29"/>
          <w:rFonts w:hint="eastAsia" w:ascii="Times New Roman" w:hAnsi="Times New Roman" w:eastAsia="黑体"/>
          <w:b w:val="0"/>
          <w:color w:val="auto"/>
          <w:highlight w:val="none"/>
          <w:lang w:eastAsia="zh-CN"/>
        </w:rPr>
      </w:pPr>
      <w:bookmarkStart w:id="68" w:name="_Toc21427"/>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6"/>
      <w:bookmarkEnd w:id="68"/>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Times New Roman" w:hAnsi="Times New Roman" w:eastAsia="黑体" w:cs="方正小标宋简体"/>
          <w:color w:val="auto"/>
          <w:sz w:val="44"/>
          <w:szCs w:val="44"/>
          <w:highlight w:val="none"/>
          <w:lang w:val="en-US" w:eastAsia="zh-CN"/>
        </w:rPr>
      </w:pPr>
      <w:bookmarkStart w:id="69" w:name="_Toc17928"/>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9"/>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default" w:ascii="Times New Roman" w:hAnsi="Times New Roman" w:eastAsia="仿宋_GB2312" w:cs="Times New Roman"/>
          <w:sz w:val="32"/>
          <w:szCs w:val="32"/>
        </w:rPr>
      </w:pPr>
      <w:bookmarkStart w:id="70" w:name="_Toc32475"/>
      <w:r>
        <w:rPr>
          <w:rFonts w:hint="default" w:ascii="Times New Roman" w:hAnsi="Times New Roman" w:eastAsia="黑体" w:cs="Times New Roman"/>
          <w:color w:val="000000"/>
          <w:kern w:val="0"/>
          <w:sz w:val="32"/>
          <w:szCs w:val="32"/>
          <w:highlight w:val="none"/>
          <w:shd w:val="clear" w:color="auto" w:fill="FFFFFF"/>
          <w:lang w:val="zh-CN"/>
        </w:rPr>
        <w:t>一、部门（单位）基本情况</w:t>
      </w:r>
      <w:bookmarkEnd w:id="70"/>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ascii="Times New Roman" w:hAnsi="Times New Roman" w:eastAsia="仿宋_GB2312" w:cs="Times New Roman"/>
          <w:sz w:val="32"/>
          <w:szCs w:val="32"/>
          <w:lang w:val="en-US" w:eastAsia="zh-CN"/>
        </w:rPr>
        <w:t>四川省民族地区经济开发中心为四川省民族宗教事务委员会管理的公益一类事业单位，正处级。中心实行“核定收支、以事定费、分类保障”的预算管理办法。</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仿宋_GB2312" w:cs="Times New Roman"/>
          <w:sz w:val="32"/>
          <w:szCs w:val="32"/>
          <w:lang w:val="en-US" w:eastAsia="zh-CN"/>
        </w:rPr>
        <w:t>四川省民族地区经济开发中心贯彻落实党中央关于民族地区经济开发工作的方针政策和省委决策部署。主要职责：一是为机关提供支持保障的职能，二是面向社会提供公益服务的职能，三是完成省委省政府民族地区经济开发工作领导小组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r>
        <w:rPr>
          <w:rFonts w:hint="default"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年末，</w:t>
      </w:r>
      <w:r>
        <w:rPr>
          <w:rFonts w:hint="eastAsia" w:ascii="Times New Roman" w:hAnsi="Times New Roman" w:eastAsia="仿宋_GB2312" w:cs="Times New Roman"/>
          <w:sz w:val="32"/>
          <w:szCs w:val="32"/>
          <w:lang w:val="en-US" w:eastAsia="zh-CN"/>
        </w:rPr>
        <w:t>四川省民族地区经济开发中心事业</w:t>
      </w:r>
      <w:r>
        <w:rPr>
          <w:rFonts w:hint="default" w:ascii="Times New Roman" w:hAnsi="Times New Roman" w:eastAsia="仿宋_GB2312" w:cs="Times New Roman"/>
          <w:sz w:val="32"/>
          <w:szCs w:val="32"/>
        </w:rPr>
        <w:t>编制</w:t>
      </w:r>
      <w:r>
        <w:rPr>
          <w:rFonts w:hint="eastAsia" w:ascii="Times New Roman" w:hAnsi="Times New Roman" w:eastAsia="仿宋_GB2312" w:cs="Times New Roman"/>
          <w:sz w:val="32"/>
          <w:szCs w:val="32"/>
          <w:lang w:val="en-US" w:eastAsia="zh-CN"/>
        </w:rPr>
        <w:t>15名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年末实有人数</w:t>
      </w:r>
      <w:r>
        <w:rPr>
          <w:rFonts w:hint="eastAsia" w:ascii="Times New Roman" w:hAnsi="Times New Roman" w:eastAsia="仿宋_GB2312" w:cs="Times New Roman"/>
          <w:sz w:val="32"/>
          <w:szCs w:val="32"/>
          <w:lang w:val="en-US" w:eastAsia="zh-CN"/>
        </w:rPr>
        <w:t>13人。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rPr>
      </w:pPr>
      <w:bookmarkStart w:id="71" w:name="_Toc31200"/>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bookmarkEnd w:id="71"/>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eastAsia" w:ascii="Times New Roman" w:hAnsi="Times New Roman" w:eastAsia="仿宋_GB2312" w:cs="Times New Roman"/>
          <w:sz w:val="32"/>
          <w:szCs w:val="32"/>
          <w:lang w:val="en-US" w:eastAsia="zh-CN"/>
        </w:rPr>
        <w:t>2024年年初预算收入584.53万元、决算报表收入1084.56万元。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eastAsia" w:ascii="Times New Roman" w:hAnsi="Times New Roman" w:eastAsia="仿宋_GB2312" w:cs="Times New Roman"/>
          <w:sz w:val="32"/>
          <w:szCs w:val="32"/>
          <w:lang w:val="en-US" w:eastAsia="zh-CN"/>
        </w:rPr>
        <w:t>四川省民族地区经济开发中心</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年年初预算支出</w:t>
      </w:r>
      <w:r>
        <w:rPr>
          <w:rFonts w:hint="eastAsia" w:ascii="Times New Roman" w:hAnsi="Times New Roman" w:eastAsia="仿宋_GB2312" w:cs="Times New Roman"/>
          <w:sz w:val="32"/>
          <w:szCs w:val="32"/>
          <w:lang w:val="en-US" w:eastAsia="zh-CN"/>
        </w:rPr>
        <w:t>584.53万元</w:t>
      </w:r>
      <w:r>
        <w:rPr>
          <w:rFonts w:hint="default" w:ascii="Times New Roman" w:hAnsi="Times New Roman" w:eastAsia="仿宋_GB2312" w:cs="Times New Roman"/>
          <w:sz w:val="32"/>
          <w:szCs w:val="32"/>
          <w:lang w:val="en-US" w:eastAsia="zh-CN"/>
        </w:rPr>
        <w:t>、决算报表支出</w:t>
      </w:r>
      <w:r>
        <w:rPr>
          <w:rFonts w:hint="eastAsia" w:ascii="Times New Roman" w:hAnsi="Times New Roman" w:eastAsia="仿宋_GB2312" w:cs="Times New Roman"/>
          <w:sz w:val="32"/>
          <w:szCs w:val="32"/>
          <w:lang w:val="en-US" w:eastAsia="zh-CN"/>
        </w:rPr>
        <w:t>1084.56万元，主要完成的任务、达成的效果：</w:t>
      </w:r>
      <w:r>
        <w:rPr>
          <w:rFonts w:hint="default" w:ascii="Times New Roman" w:hAnsi="Times New Roman" w:eastAsia="仿宋_GB2312" w:cs="Times New Roman"/>
          <w:b/>
          <w:bCs/>
          <w:sz w:val="32"/>
          <w:szCs w:val="32"/>
          <w:lang w:val="en-US" w:eastAsia="zh-CN"/>
        </w:rPr>
        <w:t>一是科学分配资金。</w:t>
      </w:r>
      <w:r>
        <w:rPr>
          <w:rFonts w:hint="eastAsia" w:ascii="Times New Roman" w:hAnsi="Times New Roman" w:eastAsia="仿宋_GB2312" w:cs="Times New Roman"/>
          <w:sz w:val="32"/>
          <w:szCs w:val="32"/>
          <w:lang w:val="en-US" w:eastAsia="zh-CN"/>
        </w:rPr>
        <w:t>召开</w:t>
      </w:r>
      <w:r>
        <w:rPr>
          <w:rFonts w:hint="default" w:ascii="Times New Roman" w:hAnsi="Times New Roman" w:eastAsia="仿宋_GB2312" w:cs="Times New Roman"/>
          <w:sz w:val="32"/>
          <w:szCs w:val="32"/>
          <w:lang w:val="en-US" w:eastAsia="zh-CN"/>
        </w:rPr>
        <w:t>领导小组会，安排部署全年两资工作。分配下达2024年省级财政衔接推进乡村振兴补助资金（少数民族发展任务）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2024年度四川省民族地区开发资金。</w:t>
      </w:r>
      <w:r>
        <w:rPr>
          <w:rFonts w:hint="eastAsia" w:ascii="Times New Roman" w:hAnsi="Times New Roman" w:eastAsia="仿宋_GB2312" w:cs="Times New Roman"/>
          <w:b/>
          <w:bCs/>
          <w:sz w:val="32"/>
          <w:szCs w:val="32"/>
          <w:lang w:val="en-US" w:eastAsia="zh-CN"/>
        </w:rPr>
        <w:t>二是强化项目管理。</w:t>
      </w:r>
      <w:r>
        <w:rPr>
          <w:rFonts w:hint="default" w:ascii="Times New Roman" w:hAnsi="Times New Roman" w:eastAsia="仿宋_GB2312" w:cs="Times New Roman"/>
          <w:sz w:val="32"/>
          <w:szCs w:val="32"/>
          <w:lang w:val="en-US" w:eastAsia="zh-CN"/>
        </w:rPr>
        <w:t>严把项目入库、评审、备案、监管、评价的五个关口，不断提高项目管理和资金使用绩效。借助数字两资平台，采取“线上+线下”监管的方式，在线跟踪掌握资金项目最新状态，及时全面准确掌握资金项目管理情况，及时通报项目资金管理情况。</w:t>
      </w:r>
      <w:r>
        <w:rPr>
          <w:rFonts w:hint="eastAsia" w:ascii="Times New Roman" w:hAnsi="Times New Roman" w:eastAsia="仿宋_GB2312" w:cs="Times New Roman"/>
          <w:b/>
          <w:bCs/>
          <w:sz w:val="32"/>
          <w:szCs w:val="32"/>
          <w:lang w:val="en-US" w:eastAsia="zh-CN"/>
        </w:rPr>
        <w:t>三是加强沟通</w:t>
      </w:r>
      <w:r>
        <w:rPr>
          <w:rFonts w:hint="default" w:ascii="Times New Roman" w:hAnsi="Times New Roman" w:eastAsia="仿宋_GB2312" w:cs="Times New Roman"/>
          <w:b/>
          <w:bCs/>
          <w:sz w:val="32"/>
          <w:szCs w:val="32"/>
          <w:lang w:val="en-US" w:eastAsia="zh-CN"/>
        </w:rPr>
        <w:t>交流。</w:t>
      </w:r>
      <w:r>
        <w:rPr>
          <w:rFonts w:hint="default" w:ascii="Times New Roman" w:hAnsi="Times New Roman" w:eastAsia="仿宋_GB2312" w:cs="Times New Roman"/>
          <w:sz w:val="32"/>
          <w:szCs w:val="32"/>
          <w:lang w:val="en-US" w:eastAsia="zh-CN"/>
        </w:rPr>
        <w:t>召开全省两资工作会暨民族团结进步示范村现场会，举办2024年四川省新时代民族团结进步示范工程重点项目建设管理人才专题培训班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组织21个市（州）学习交流示范</w:t>
      </w:r>
      <w:r>
        <w:rPr>
          <w:rFonts w:hint="eastAsia" w:ascii="Times New Roman" w:hAnsi="Times New Roman" w:eastAsia="仿宋_GB2312" w:cs="Times New Roman"/>
          <w:sz w:val="32"/>
          <w:szCs w:val="32"/>
          <w:lang w:val="en-US" w:eastAsia="zh-CN"/>
        </w:rPr>
        <w:t>工作经验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四是积极开展活动。</w:t>
      </w:r>
      <w:r>
        <w:rPr>
          <w:rFonts w:hint="eastAsia" w:ascii="Times New Roman" w:hAnsi="Times New Roman" w:eastAsia="仿宋_GB2312" w:cs="Times New Roman"/>
          <w:sz w:val="32"/>
          <w:szCs w:val="32"/>
          <w:lang w:val="en-US" w:eastAsia="zh-CN"/>
        </w:rPr>
        <w:t>开展“同运动</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一家亲”活动和校园舞台剧活动，促进全省各族青少年交往、交流、交融。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sz w:val="32"/>
          <w:szCs w:val="32"/>
        </w:rPr>
        <w:t>结余分配和结转结余情况</w:t>
      </w:r>
      <w:r>
        <w:rPr>
          <w:rFonts w:hint="default" w:ascii="Times New Roman" w:hAnsi="Times New Roman" w:eastAsia="楷体_GB2312" w:cs="Times New Roman"/>
          <w:b/>
          <w:sz w:val="32"/>
          <w:szCs w:val="32"/>
          <w:lang w:eastAsia="zh-CN"/>
        </w:rPr>
        <w:t>。</w:t>
      </w:r>
      <w:r>
        <w:rPr>
          <w:rFonts w:hint="eastAsia" w:ascii="Times New Roman" w:hAnsi="Times New Roman" w:eastAsia="仿宋_GB2312" w:cs="Times New Roman"/>
          <w:sz w:val="32"/>
          <w:szCs w:val="32"/>
          <w:lang w:val="en-US" w:eastAsia="zh-CN"/>
        </w:rPr>
        <w:t>四川省民族地区经济开发中心</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年决算报表</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bookmarkStart w:id="72" w:name="_Toc22918"/>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bookmarkEnd w:id="7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r>
        <w:rPr>
          <w:rFonts w:hint="eastAsia" w:ascii="Times New Roman" w:hAnsi="Times New Roman" w:eastAsia="仿宋_GB2312" w:cs="Times New Roman"/>
          <w:sz w:val="32"/>
          <w:szCs w:val="32"/>
          <w:lang w:val="en-US" w:eastAsia="zh-CN"/>
        </w:rPr>
        <w:t>2024年共有7个核心职能目标，分别是：</w:t>
      </w:r>
      <w:r>
        <w:rPr>
          <w:rFonts w:hint="default" w:ascii="Times New Roman" w:hAnsi="Times New Roman" w:eastAsia="仿宋_GB2312" w:cs="Times New Roman"/>
          <w:sz w:val="32"/>
          <w:szCs w:val="32"/>
          <w:lang w:val="en-US" w:eastAsia="zh-CN"/>
        </w:rPr>
        <w:t>全省两资系统重要会议召开</w:t>
      </w:r>
      <w:r>
        <w:rPr>
          <w:rFonts w:hint="eastAsia" w:ascii="Times New Roman" w:hAnsi="Times New Roman" w:eastAsia="仿宋_GB2312" w:cs="Times New Roman"/>
          <w:sz w:val="32"/>
          <w:szCs w:val="32"/>
          <w:lang w:val="en-US" w:eastAsia="zh-CN"/>
        </w:rPr>
        <w:t>、重点项目指导和集中评审、提升新时代两项资金影响力、重大课题调研、两项资金绩效评价和重点项目跟踪评估服务、民族工作专项资金管理系统运维和升级、“同运动·一家亲”活动。年初目标设置总数22个，年终完成履职效果目标数量22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eastAsia" w:ascii="Times New Roman" w:hAnsi="Times New Roman" w:eastAsia="仿宋_GB2312" w:cs="Times New Roman"/>
          <w:color w:val="000000"/>
          <w:kern w:val="0"/>
          <w:sz w:val="32"/>
          <w:szCs w:val="32"/>
          <w:highlight w:val="none"/>
          <w:shd w:val="clear" w:color="auto" w:fill="FFFFFF"/>
          <w:lang w:val="zh-CN"/>
        </w:rPr>
        <w:t>）预算编制质量。</w:t>
      </w:r>
      <w:r>
        <w:rPr>
          <w:rFonts w:hint="eastAsia" w:ascii="Times New Roman" w:hAnsi="Times New Roman" w:eastAsia="仿宋_GB2312" w:cs="Times New Roman"/>
          <w:color w:val="000000"/>
          <w:kern w:val="0"/>
          <w:sz w:val="32"/>
          <w:szCs w:val="32"/>
          <w:highlight w:val="none"/>
          <w:shd w:val="clear" w:color="auto" w:fill="FFFFFF"/>
          <w:lang w:val="en-US" w:eastAsia="zh-CN"/>
        </w:rPr>
        <w:t>本单位严格按照要求编制年初部门预算，年初编制预算较科学、准确。2024年年初财政拨款584.53万元，预算执行数488.27万元。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eastAsia" w:ascii="Times New Roman" w:hAnsi="Times New Roman" w:eastAsia="仿宋_GB2312" w:cs="Times New Roman"/>
          <w:color w:val="000000"/>
          <w:kern w:val="0"/>
          <w:sz w:val="32"/>
          <w:szCs w:val="32"/>
          <w:highlight w:val="none"/>
          <w:shd w:val="clear" w:color="auto" w:fill="FFFFFF"/>
          <w:lang w:val="zh-CN"/>
        </w:rPr>
        <w:t>）单位收入统筹。</w:t>
      </w:r>
      <w:r>
        <w:rPr>
          <w:rFonts w:hint="eastAsia" w:ascii="Times New Roman" w:hAnsi="Times New Roman" w:eastAsia="仿宋_GB2312" w:cs="Times New Roman"/>
          <w:color w:val="000000"/>
          <w:kern w:val="0"/>
          <w:sz w:val="32"/>
          <w:szCs w:val="32"/>
          <w:highlight w:val="none"/>
          <w:shd w:val="clear" w:color="auto" w:fill="FFFFFF"/>
          <w:lang w:val="en-US" w:eastAsia="zh-CN"/>
        </w:rPr>
        <w:t>2024年不涉及自有收入、综合补助。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3</w:t>
      </w:r>
      <w:r>
        <w:rPr>
          <w:rFonts w:hint="eastAsia" w:ascii="Times New Roman" w:hAnsi="Times New Roman" w:eastAsia="仿宋_GB2312" w:cs="Times New Roman"/>
          <w:color w:val="000000"/>
          <w:kern w:val="0"/>
          <w:sz w:val="32"/>
          <w:szCs w:val="32"/>
          <w:highlight w:val="none"/>
          <w:shd w:val="clear" w:color="auto" w:fill="FFFFFF"/>
          <w:lang w:val="zh-CN"/>
        </w:rPr>
        <w:t>）支出执行进度。</w:t>
      </w:r>
      <w:r>
        <w:rPr>
          <w:rFonts w:hint="eastAsia" w:ascii="Times New Roman" w:hAnsi="Times New Roman" w:eastAsia="仿宋_GB2312" w:cs="Times New Roman"/>
          <w:color w:val="000000"/>
          <w:kern w:val="0"/>
          <w:sz w:val="32"/>
          <w:szCs w:val="32"/>
          <w:highlight w:val="none"/>
          <w:shd w:val="clear" w:color="auto" w:fill="FFFFFF"/>
          <w:lang w:val="en-US" w:eastAsia="zh-CN"/>
        </w:rPr>
        <w:t>2023年1至6月、1至10月预算执行合理、高效。2024年1-6月预算执行数325.01万元；1至6月支出预警金额3.6万元；1至6月支出违规金额0万元；1至10月预算执行数468.57万元；1至10月支出预警金额10.26万元；1至10月支出违规金额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eastAsia" w:ascii="Times New Roman" w:hAnsi="Times New Roman" w:eastAsia="仿宋_GB2312" w:cs="Times New Roman"/>
          <w:color w:val="000000"/>
          <w:kern w:val="0"/>
          <w:sz w:val="32"/>
          <w:szCs w:val="32"/>
          <w:highlight w:val="none"/>
          <w:shd w:val="clear" w:color="auto" w:fill="FFFFFF"/>
          <w:lang w:val="zh-CN"/>
        </w:rPr>
        <w:t>）预算年终结余。</w:t>
      </w:r>
      <w:r>
        <w:rPr>
          <w:rFonts w:hint="eastAsia" w:ascii="Times New Roman" w:hAnsi="Times New Roman" w:eastAsia="仿宋_GB2312" w:cs="Times New Roman"/>
          <w:color w:val="000000"/>
          <w:kern w:val="0"/>
          <w:sz w:val="32"/>
          <w:szCs w:val="32"/>
          <w:highlight w:val="none"/>
          <w:shd w:val="clear" w:color="auto" w:fill="FFFFFF"/>
          <w:lang w:val="en-US" w:eastAsia="zh-CN"/>
        </w:rPr>
        <w:t>2024年预算年终结余为0。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5</w:t>
      </w:r>
      <w:r>
        <w:rPr>
          <w:rFonts w:hint="eastAsia" w:ascii="Times New Roman" w:hAnsi="Times New Roman" w:eastAsia="仿宋_GB2312" w:cs="Times New Roman"/>
          <w:color w:val="000000"/>
          <w:kern w:val="0"/>
          <w:sz w:val="32"/>
          <w:szCs w:val="32"/>
          <w:highlight w:val="none"/>
          <w:shd w:val="clear" w:color="auto" w:fill="FFFFFF"/>
          <w:lang w:val="zh-CN"/>
        </w:rPr>
        <w:t>）严控一般性支出</w:t>
      </w:r>
      <w:r>
        <w:rPr>
          <w:rFonts w:hint="default" w:ascii="Times New Roman" w:hAnsi="Times New Roman" w:eastAsia="仿宋_GB2312" w:cs="Times New Roman"/>
          <w:color w:val="000000"/>
          <w:kern w:val="0"/>
          <w:sz w:val="32"/>
          <w:szCs w:val="32"/>
          <w:highlight w:val="none"/>
          <w:shd w:val="clear" w:color="auto" w:fill="FFFFFF"/>
          <w:lang w:val="zh-CN"/>
        </w:rPr>
        <w:t>进行绩效分析</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单位严控“三公”经费等支出情况。2023年“三公经费”年初预算为5.16万元，2024年一般性支出财政拨款年初预算为4.5万元，2024年较上年实现压减12%。2023年一般性支出财政拨款预算执行为4.3万元，2024年一般性支出财政拨款预算执行为3.55万元，2024年较上年实现压减17.53%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r>
        <w:rPr>
          <w:rFonts w:hint="eastAsia" w:ascii="Times New Roman" w:hAnsi="Times New Roman" w:eastAsia="仿宋_GB2312" w:cs="Times New Roman"/>
          <w:color w:val="000000"/>
          <w:kern w:val="0"/>
          <w:sz w:val="32"/>
          <w:szCs w:val="32"/>
          <w:highlight w:val="none"/>
          <w:shd w:val="clear" w:color="auto" w:fill="FFFFFF"/>
          <w:lang w:val="en-US" w:eastAsia="zh-CN"/>
        </w:rPr>
        <w:t>中心制定并严格落实</w:t>
      </w:r>
      <w:r>
        <w:rPr>
          <w:rFonts w:hint="eastAsia" w:ascii="Times New Roman" w:hAnsi="Times New Roman" w:eastAsia="仿宋_GB2312" w:cs="Times New Roman"/>
          <w:color w:val="000000"/>
          <w:kern w:val="0"/>
          <w:sz w:val="32"/>
          <w:szCs w:val="32"/>
          <w:highlight w:val="none"/>
          <w:shd w:val="clear" w:color="auto" w:fill="FFFFFF"/>
          <w:lang w:val="zh-CN"/>
        </w:rPr>
        <w:t>财务管理制度；</w:t>
      </w:r>
      <w:r>
        <w:rPr>
          <w:rFonts w:hint="eastAsia" w:ascii="Times New Roman" w:hAnsi="Times New Roman" w:eastAsia="仿宋_GB2312" w:cs="Times New Roman"/>
          <w:color w:val="000000"/>
          <w:kern w:val="0"/>
          <w:sz w:val="32"/>
          <w:szCs w:val="32"/>
          <w:highlight w:val="none"/>
          <w:shd w:val="clear" w:color="auto" w:fill="FFFFFF"/>
          <w:lang w:val="en-US" w:eastAsia="zh-CN"/>
        </w:rPr>
        <w:t>合理设置财务工作岗位，明确职责权限，并严格实行不相容岗位分离；使用资金符合相关财务管理制度规定。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eastAsia" w:ascii="Times New Roman" w:hAnsi="Times New Roman" w:eastAsia="仿宋_GB2312" w:cs="Times New Roman"/>
          <w:color w:val="000000"/>
          <w:kern w:val="0"/>
          <w:sz w:val="32"/>
          <w:szCs w:val="32"/>
          <w:highlight w:val="none"/>
          <w:shd w:val="clear" w:color="auto" w:fill="FFFFFF"/>
          <w:lang w:val="zh-CN"/>
        </w:rPr>
        <w:t>）人均资产变化率。</w:t>
      </w:r>
      <w:r>
        <w:rPr>
          <w:rFonts w:hint="eastAsia" w:ascii="Times New Roman" w:hAnsi="Times New Roman" w:eastAsia="仿宋_GB2312" w:cs="Times New Roman"/>
          <w:color w:val="000000"/>
          <w:kern w:val="0"/>
          <w:sz w:val="32"/>
          <w:szCs w:val="32"/>
          <w:highlight w:val="none"/>
          <w:shd w:val="clear" w:color="auto" w:fill="FFFFFF"/>
          <w:lang w:val="en-US" w:eastAsia="zh-CN"/>
        </w:rPr>
        <w:t>2024年</w:t>
      </w:r>
      <w:r>
        <w:rPr>
          <w:rFonts w:hint="eastAsia" w:ascii="Times New Roman" w:hAnsi="Times New Roman" w:eastAsia="仿宋_GB2312" w:cs="Times New Roman"/>
          <w:color w:val="000000"/>
          <w:kern w:val="0"/>
          <w:sz w:val="32"/>
          <w:szCs w:val="32"/>
          <w:highlight w:val="none"/>
          <w:shd w:val="clear" w:color="auto" w:fill="FFFFFF"/>
          <w:lang w:val="zh-CN" w:eastAsia="zh-CN"/>
        </w:rPr>
        <w:t>人</w:t>
      </w:r>
      <w:r>
        <w:rPr>
          <w:rFonts w:hint="eastAsia" w:ascii="Times New Roman" w:hAnsi="Times New Roman" w:eastAsia="仿宋_GB2312" w:cs="Times New Roman"/>
          <w:color w:val="000000"/>
          <w:kern w:val="0"/>
          <w:sz w:val="32"/>
          <w:szCs w:val="32"/>
          <w:highlight w:val="none"/>
          <w:shd w:val="clear" w:color="auto" w:fill="FFFFFF"/>
          <w:lang w:val="zh-CN"/>
        </w:rPr>
        <w:t>均资产变化率</w:t>
      </w:r>
      <w:r>
        <w:rPr>
          <w:rFonts w:hint="eastAsia" w:ascii="Times New Roman" w:hAnsi="Times New Roman" w:eastAsia="仿宋_GB2312" w:cs="Times New Roman"/>
          <w:color w:val="000000"/>
          <w:kern w:val="0"/>
          <w:sz w:val="32"/>
          <w:szCs w:val="32"/>
          <w:highlight w:val="none"/>
          <w:shd w:val="clear" w:color="auto" w:fill="FFFFFF"/>
          <w:lang w:val="en-US" w:eastAsia="zh-CN"/>
        </w:rPr>
        <w:t>为0。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eastAsia" w:ascii="Times New Roman" w:hAnsi="Times New Roman" w:eastAsia="仿宋_GB2312" w:cs="Times New Roman"/>
          <w:color w:val="000000"/>
          <w:kern w:val="0"/>
          <w:sz w:val="32"/>
          <w:szCs w:val="32"/>
          <w:highlight w:val="none"/>
          <w:shd w:val="clear" w:color="auto" w:fill="FFFFFF"/>
          <w:lang w:val="zh-CN"/>
        </w:rPr>
        <w:t>）资产利用率。</w:t>
      </w:r>
      <w:r>
        <w:rPr>
          <w:rFonts w:hint="eastAsia" w:ascii="Times New Roman" w:hAnsi="Times New Roman" w:eastAsia="仿宋_GB2312" w:cs="Times New Roman"/>
          <w:color w:val="000000"/>
          <w:kern w:val="0"/>
          <w:sz w:val="32"/>
          <w:szCs w:val="32"/>
          <w:highlight w:val="none"/>
          <w:shd w:val="clear" w:color="auto" w:fill="FFFFFF"/>
          <w:lang w:val="en-US" w:eastAsia="zh-CN"/>
        </w:rPr>
        <w:t>2024年办公家具账面价值2.79万元，超最低使用年限的办公家具账面价值2.79万元，办公家具超最低使用年限资产利用率为100%大于省直行政事业单位平均值；2024年办公设备账面价值19.49万元，超最低使用年限的办公设备账面价值19.49万元，办公设备超最低使用年限资产利用率为100%大于省直行政事业单位平均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3</w:t>
      </w:r>
      <w:r>
        <w:rPr>
          <w:rFonts w:hint="eastAsia" w:ascii="Times New Roman" w:hAnsi="Times New Roman" w:eastAsia="仿宋_GB2312" w:cs="Times New Roman"/>
          <w:color w:val="000000"/>
          <w:kern w:val="0"/>
          <w:sz w:val="32"/>
          <w:szCs w:val="32"/>
          <w:highlight w:val="none"/>
          <w:shd w:val="clear" w:color="auto" w:fill="FFFFFF"/>
          <w:lang w:val="zh-CN"/>
        </w:rPr>
        <w:t>）资产盘活率。</w:t>
      </w:r>
      <w:r>
        <w:rPr>
          <w:rFonts w:hint="eastAsia" w:ascii="Times New Roman" w:hAnsi="Times New Roman" w:eastAsia="仿宋_GB2312" w:cs="Times New Roman"/>
          <w:color w:val="000000"/>
          <w:kern w:val="0"/>
          <w:sz w:val="32"/>
          <w:szCs w:val="32"/>
          <w:highlight w:val="none"/>
          <w:shd w:val="clear" w:color="auto" w:fill="FFFFFF"/>
          <w:lang w:val="en-US" w:eastAsia="zh-CN"/>
        </w:rPr>
        <w:t>单位2024年度不存在闲置资产。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default" w:ascii="Times New Roman" w:hAnsi="Times New Roman" w:eastAsia="仿宋_GB2312" w:cs="Times New Roman"/>
          <w:color w:val="000000"/>
          <w:kern w:val="0"/>
          <w:sz w:val="32"/>
          <w:szCs w:val="32"/>
          <w:highlight w:val="none"/>
          <w:shd w:val="clear" w:color="auto" w:fill="FFFFFF"/>
          <w:lang w:val="zh-CN"/>
        </w:rPr>
        <w:t>围绕支持中小企业发展、采购执行率进行绩效分析。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eastAsia" w:ascii="Times New Roman" w:hAnsi="Times New Roman" w:eastAsia="仿宋_GB2312" w:cs="Times New Roman"/>
          <w:color w:val="000000"/>
          <w:kern w:val="0"/>
          <w:sz w:val="32"/>
          <w:szCs w:val="32"/>
          <w:highlight w:val="none"/>
          <w:shd w:val="clear" w:color="auto" w:fill="FFFFFF"/>
          <w:lang w:val="zh-CN"/>
        </w:rPr>
        <w:t>）支持中小企业发展。</w:t>
      </w:r>
      <w:r>
        <w:rPr>
          <w:rFonts w:hint="eastAsia" w:ascii="Times New Roman" w:hAnsi="Times New Roman" w:eastAsia="仿宋_GB2312" w:cs="Times New Roman"/>
          <w:color w:val="000000"/>
          <w:kern w:val="0"/>
          <w:sz w:val="32"/>
          <w:szCs w:val="32"/>
          <w:highlight w:val="none"/>
          <w:shd w:val="clear" w:color="auto" w:fill="FFFFFF"/>
          <w:lang w:val="en-US" w:eastAsia="zh-CN"/>
        </w:rPr>
        <w:t>单位严格执行政府采购促进中小企业发展相关管理办法，对适宜由中小企业提供的采购项目，预留采购份额专门向中小企业采购。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eastAsia" w:ascii="Times New Roman" w:hAnsi="Times New Roman" w:eastAsia="仿宋_GB2312" w:cs="Times New Roman"/>
          <w:color w:val="000000"/>
          <w:kern w:val="0"/>
          <w:sz w:val="32"/>
          <w:szCs w:val="32"/>
          <w:highlight w:val="none"/>
          <w:shd w:val="clear" w:color="auto" w:fill="FFFFFF"/>
          <w:lang w:val="zh-CN"/>
        </w:rPr>
        <w:t>）采购执行率。</w:t>
      </w:r>
      <w:r>
        <w:rPr>
          <w:rFonts w:hint="eastAsia" w:ascii="Times New Roman" w:hAnsi="Times New Roman" w:eastAsia="仿宋_GB2312" w:cs="Times New Roman"/>
          <w:color w:val="000000"/>
          <w:kern w:val="0"/>
          <w:sz w:val="32"/>
          <w:szCs w:val="32"/>
          <w:highlight w:val="none"/>
          <w:shd w:val="clear" w:color="auto" w:fill="FFFFFF"/>
          <w:lang w:val="en-US" w:eastAsia="zh-CN"/>
        </w:rPr>
        <w:t>2024年政府采购实际支付总金额582.05万元，2024年政府采购总预算数742.2万元；2024年已完成采购项目节约金额0.78万元。</w:t>
      </w:r>
    </w:p>
    <w:p>
      <w:pPr>
        <w:pageBreakBefore w:val="0"/>
        <w:widowControl w:val="0"/>
        <w:kinsoku/>
        <w:wordWrap/>
        <w:overflowPunct/>
        <w:topLinePunct w:val="0"/>
        <w:autoSpaceDE/>
        <w:autoSpaceDN/>
        <w:bidi w:val="0"/>
        <w:snapToGrid w:val="0"/>
        <w:spacing w:line="560" w:lineRule="exact"/>
        <w:jc w:val="left"/>
        <w:rPr>
          <w:rFonts w:hint="default" w:ascii="Times New Roman" w:hAnsi="Times New Roman" w:eastAsia="仿宋_GB2312" w:cs="Times New Roman"/>
          <w:kern w:val="2"/>
          <w:sz w:val="32"/>
          <w:szCs w:val="32"/>
          <w:lang w:val="zh-CN"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948.78</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63</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w:t>
      </w:r>
      <w:r>
        <w:rPr>
          <w:rFonts w:hint="eastAsia" w:ascii="Times New Roman" w:hAnsi="Times New Roman" w:eastAsia="仿宋_GB2312" w:cs="Times New Roman"/>
          <w:color w:val="000000"/>
          <w:kern w:val="0"/>
          <w:sz w:val="32"/>
          <w:szCs w:val="32"/>
          <w:highlight w:val="none"/>
          <w:shd w:val="clear" w:color="auto" w:fill="FFFFFF"/>
          <w:lang w:val="en-US" w:eastAsia="zh-CN"/>
        </w:rPr>
        <w:t>含</w:t>
      </w:r>
      <w:r>
        <w:rPr>
          <w:rFonts w:hint="default" w:ascii="Times New Roman" w:hAnsi="Times New Roman" w:eastAsia="仿宋_GB2312" w:cs="Times New Roman"/>
          <w:color w:val="000000"/>
          <w:kern w:val="0"/>
          <w:sz w:val="32"/>
          <w:szCs w:val="32"/>
          <w:highlight w:val="none"/>
          <w:shd w:val="clear" w:color="auto" w:fill="FFFFFF"/>
          <w:lang w:val="en-US" w:eastAsia="zh-CN"/>
        </w:rPr>
        <w:t>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150</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60.01</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eastAsia" w:ascii="Times New Roman" w:hAnsi="Times New Roman" w:eastAsia="仿宋_GB2312" w:cs="Times New Roman"/>
          <w:color w:val="000000"/>
          <w:kern w:val="0"/>
          <w:sz w:val="32"/>
          <w:szCs w:val="32"/>
          <w:highlight w:val="none"/>
          <w:shd w:val="clear" w:color="auto" w:fill="FFFFFF"/>
          <w:lang w:val="en-US" w:eastAsia="zh-CN"/>
        </w:rPr>
        <w:t>少数民族发展资金项目管理培训费项目、民族地区开发资金（“同运动·一家亲”）项目、民族地区开发资金（校园舞台剧展演）项目</w:t>
      </w:r>
      <w:r>
        <w:rPr>
          <w:rFonts w:hint="eastAsia" w:ascii="Times New Roman" w:hAnsi="Times New Roman" w:eastAsia="仿宋_GB2312" w:cs="Times New Roman"/>
          <w:color w:val="000000"/>
          <w:kern w:val="0"/>
          <w:sz w:val="32"/>
          <w:szCs w:val="32"/>
          <w:highlight w:val="none"/>
          <w:shd w:val="clear" w:color="auto" w:fill="FFFFFF"/>
          <w:lang w:val="zh-CN"/>
        </w:rPr>
        <w:t>决策程序</w:t>
      </w:r>
      <w:r>
        <w:rPr>
          <w:rFonts w:hint="eastAsia" w:ascii="Times New Roman" w:hAnsi="Times New Roman" w:eastAsia="仿宋_GB2312" w:cs="Times New Roman"/>
          <w:color w:val="000000"/>
          <w:kern w:val="0"/>
          <w:sz w:val="32"/>
          <w:szCs w:val="32"/>
          <w:highlight w:val="none"/>
          <w:shd w:val="clear" w:color="auto" w:fill="FFFFFF"/>
          <w:lang w:val="en-US" w:eastAsia="zh-CN"/>
        </w:rPr>
        <w:t>合法合规，按规定履行了评估论证、申报程序；</w:t>
      </w:r>
      <w:r>
        <w:rPr>
          <w:rFonts w:hint="eastAsia" w:ascii="Times New Roman" w:hAnsi="Times New Roman" w:eastAsia="仿宋_GB2312" w:cs="Times New Roman"/>
          <w:color w:val="000000"/>
          <w:kern w:val="0"/>
          <w:sz w:val="32"/>
          <w:szCs w:val="32"/>
          <w:highlight w:val="none"/>
          <w:shd w:val="clear" w:color="auto" w:fill="FFFFFF"/>
          <w:lang w:val="zh-CN"/>
        </w:rPr>
        <w:t>目标设置</w:t>
      </w:r>
      <w:r>
        <w:rPr>
          <w:rFonts w:hint="eastAsia" w:ascii="Times New Roman" w:hAnsi="Times New Roman" w:eastAsia="仿宋_GB2312" w:cs="Times New Roman"/>
          <w:color w:val="000000"/>
          <w:kern w:val="0"/>
          <w:sz w:val="32"/>
          <w:szCs w:val="32"/>
          <w:highlight w:val="none"/>
          <w:shd w:val="clear" w:color="auto" w:fill="FFFFFF"/>
          <w:lang w:val="en-US" w:eastAsia="zh-CN"/>
        </w:rPr>
        <w:t>科学合理、规范完整、量化细化；</w:t>
      </w:r>
      <w:r>
        <w:rPr>
          <w:rFonts w:hint="eastAsia" w:ascii="Times New Roman" w:hAnsi="Times New Roman" w:eastAsia="仿宋_GB2312" w:cs="Times New Roman"/>
          <w:color w:val="000000"/>
          <w:kern w:val="0"/>
          <w:sz w:val="32"/>
          <w:szCs w:val="32"/>
          <w:highlight w:val="none"/>
          <w:shd w:val="clear" w:color="auto" w:fill="FFFFFF"/>
          <w:lang w:val="zh-CN"/>
        </w:rPr>
        <w:t>项目入库</w:t>
      </w:r>
      <w:r>
        <w:rPr>
          <w:rFonts w:hint="eastAsia" w:ascii="Times New Roman" w:hAnsi="Times New Roman" w:eastAsia="仿宋_GB2312" w:cs="Times New Roman"/>
          <w:color w:val="000000"/>
          <w:kern w:val="0"/>
          <w:sz w:val="32"/>
          <w:szCs w:val="32"/>
          <w:highlight w:val="none"/>
          <w:shd w:val="clear" w:color="auto" w:fill="FFFFFF"/>
          <w:lang w:val="en-US" w:eastAsia="zh-CN"/>
        </w:rPr>
        <w:t>于2024年9月30日前完成</w:t>
      </w:r>
      <w:r>
        <w:rPr>
          <w:rFonts w:hint="eastAsia" w:ascii="Times New Roman" w:hAnsi="Times New Roman" w:eastAsia="仿宋_GB2312" w:cs="Times New Roman"/>
          <w:color w:val="0000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楷体_GB2312" w:hAnsi="楷体_GB2312" w:eastAsia="仿宋_GB2312" w:cs="楷体_GB2312"/>
          <w:color w:val="000000"/>
          <w:kern w:val="0"/>
          <w:sz w:val="32"/>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zh-CN"/>
        </w:rPr>
        <w:t>资金执行同向</w:t>
      </w:r>
      <w:r>
        <w:rPr>
          <w:rFonts w:hint="eastAsia" w:ascii="Times New Roman" w:hAnsi="Times New Roman" w:eastAsia="仿宋_GB2312" w:cs="Times New Roman"/>
          <w:color w:val="000000"/>
          <w:kern w:val="0"/>
          <w:sz w:val="32"/>
          <w:szCs w:val="32"/>
          <w:highlight w:val="none"/>
          <w:shd w:val="clear" w:color="auto" w:fill="FFFFFF"/>
          <w:lang w:val="en-US" w:eastAsia="zh-CN"/>
        </w:rPr>
        <w:t>方面</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项目实际列支内容与绩效目标设置方向相符；</w:t>
      </w:r>
      <w:r>
        <w:rPr>
          <w:rFonts w:hint="eastAsia" w:ascii="Times New Roman" w:hAnsi="Times New Roman" w:eastAsia="仿宋_GB2312" w:cs="Times New Roman"/>
          <w:color w:val="000000"/>
          <w:kern w:val="0"/>
          <w:sz w:val="32"/>
          <w:szCs w:val="32"/>
          <w:highlight w:val="none"/>
          <w:shd w:val="clear" w:color="auto" w:fill="FFFFFF"/>
          <w:lang w:val="zh-CN"/>
        </w:rPr>
        <w:t>项目调整</w:t>
      </w:r>
      <w:r>
        <w:rPr>
          <w:rFonts w:hint="eastAsia" w:ascii="Times New Roman" w:hAnsi="Times New Roman" w:eastAsia="仿宋_GB2312" w:cs="Times New Roman"/>
          <w:color w:val="000000"/>
          <w:kern w:val="0"/>
          <w:sz w:val="32"/>
          <w:szCs w:val="32"/>
          <w:highlight w:val="none"/>
          <w:shd w:val="clear" w:color="auto" w:fill="FFFFFF"/>
          <w:lang w:val="en-US" w:eastAsia="zh-CN"/>
        </w:rPr>
        <w:t>方面</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应采取未采取收回预算0万元、调整目标0项；</w:t>
      </w:r>
      <w:r>
        <w:rPr>
          <w:rFonts w:hint="eastAsia" w:ascii="Times New Roman" w:hAnsi="Times New Roman" w:eastAsia="仿宋_GB2312" w:cs="Times New Roman"/>
          <w:color w:val="000000"/>
          <w:kern w:val="0"/>
          <w:sz w:val="32"/>
          <w:szCs w:val="32"/>
          <w:highlight w:val="none"/>
          <w:shd w:val="clear" w:color="auto" w:fill="FFFFFF"/>
          <w:lang w:val="zh-CN"/>
        </w:rPr>
        <w:t>执行结果</w:t>
      </w:r>
      <w:r>
        <w:rPr>
          <w:rFonts w:hint="eastAsia" w:ascii="Times New Roman" w:hAnsi="Times New Roman" w:eastAsia="仿宋_GB2312" w:cs="Times New Roman"/>
          <w:color w:val="000000"/>
          <w:kern w:val="0"/>
          <w:sz w:val="32"/>
          <w:szCs w:val="32"/>
          <w:highlight w:val="none"/>
          <w:shd w:val="clear" w:color="auto" w:fill="FFFFFF"/>
          <w:lang w:val="en-US" w:eastAsia="zh-CN"/>
        </w:rPr>
        <w:t>方面，预算结余率小于10%的常年项目数量为2项，阶段性项目为1项，因该3项项目资金均属于财政厅中期追加资金，属于跨年项目，且已按照合同支付项目完成部分资金</w:t>
      </w:r>
      <w:r>
        <w:rPr>
          <w:rFonts w:hint="eastAsia" w:ascii="Times New Roman" w:hAnsi="Times New Roman" w:eastAsia="仿宋_GB2312" w:cs="Times New Roman"/>
          <w:color w:val="000000"/>
          <w:kern w:val="0"/>
          <w:sz w:val="32"/>
          <w:szCs w:val="32"/>
          <w:highlight w:val="none"/>
          <w:shd w:val="clear" w:color="auto" w:fill="FFFFFF"/>
          <w:lang w:val="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default" w:ascii="Times New Roman" w:hAnsi="Times New Roman" w:eastAsia="仿宋_GB2312" w:cs="Times New Roman"/>
          <w:color w:val="000000"/>
          <w:kern w:val="0"/>
          <w:sz w:val="32"/>
          <w:szCs w:val="32"/>
          <w:highlight w:val="none"/>
          <w:shd w:val="clear" w:color="auto" w:fill="FFFFFF"/>
          <w:lang w:val="zh-CN"/>
        </w:rPr>
        <w:t>2024年，省民族</w:t>
      </w:r>
      <w:r>
        <w:rPr>
          <w:rFonts w:hint="eastAsia" w:ascii="Times New Roman" w:hAnsi="Times New Roman" w:eastAsia="仿宋_GB2312" w:cs="Times New Roman"/>
          <w:color w:val="000000"/>
          <w:kern w:val="0"/>
          <w:sz w:val="32"/>
          <w:szCs w:val="32"/>
          <w:highlight w:val="none"/>
          <w:shd w:val="clear" w:color="auto" w:fill="FFFFFF"/>
          <w:lang w:val="zh-CN"/>
        </w:rPr>
        <w:t>地区</w:t>
      </w:r>
      <w:r>
        <w:rPr>
          <w:rFonts w:hint="default" w:ascii="Times New Roman" w:hAnsi="Times New Roman" w:eastAsia="仿宋_GB2312" w:cs="Times New Roman"/>
          <w:color w:val="000000"/>
          <w:kern w:val="0"/>
          <w:sz w:val="32"/>
          <w:szCs w:val="32"/>
          <w:highlight w:val="none"/>
          <w:shd w:val="clear" w:color="auto" w:fill="FFFFFF"/>
          <w:lang w:val="zh-CN"/>
        </w:rPr>
        <w:t>经济开发</w:t>
      </w:r>
      <w:r>
        <w:rPr>
          <w:rFonts w:hint="eastAsia" w:ascii="Times New Roman" w:hAnsi="Times New Roman" w:eastAsia="仿宋_GB2312" w:cs="Times New Roman"/>
          <w:color w:val="000000"/>
          <w:kern w:val="0"/>
          <w:sz w:val="32"/>
          <w:szCs w:val="32"/>
          <w:highlight w:val="none"/>
          <w:shd w:val="clear" w:color="auto" w:fill="FFFFFF"/>
          <w:lang w:val="zh-CN" w:eastAsia="zh-CN"/>
        </w:rPr>
        <w:t>中心</w:t>
      </w:r>
      <w:r>
        <w:rPr>
          <w:rFonts w:hint="default" w:ascii="Times New Roman" w:hAnsi="Times New Roman" w:eastAsia="仿宋_GB2312" w:cs="Times New Roman"/>
          <w:color w:val="000000"/>
          <w:kern w:val="0"/>
          <w:sz w:val="32"/>
          <w:szCs w:val="32"/>
          <w:highlight w:val="none"/>
          <w:shd w:val="clear" w:color="auto" w:fill="FFFFFF"/>
          <w:lang w:val="zh-CN"/>
        </w:rPr>
        <w:t>以两项资金为抓手，切实发挥好资金的示范带动作用，撬动更多社会资源，帮扶民族地区高质量发展。重点抓好民族团结进步示范村、民族地区特色优势产业提升、民族文化推进、民族地区乡村人居环境整治等项目的备案审核、评审、督导调研、绩效考评、效益宣传，管理培训等工作，切实把党中央、国务院及省委、省政府对我省民族地区和少数民族群众的特殊关心关怀政策落到实处。通过</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同运动</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一家亲</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活动</w:t>
      </w:r>
      <w:r>
        <w:rPr>
          <w:rFonts w:hint="default" w:ascii="Times New Roman" w:hAnsi="Times New Roman" w:eastAsia="仿宋_GB2312" w:cs="Times New Roman"/>
          <w:color w:val="000000"/>
          <w:kern w:val="0"/>
          <w:sz w:val="32"/>
          <w:szCs w:val="32"/>
          <w:highlight w:val="none"/>
          <w:shd w:val="clear" w:color="auto" w:fill="FFFFFF"/>
          <w:lang w:val="zh-CN"/>
        </w:rPr>
        <w:t>整合资源、创新方式，树立品牌、突出实效，积极搭建各族中小学生以体育运动交心交友的新平台，大力营造中华民族一家亲的社会氛围。通过</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校园舞台剧展演</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活动，让各族师生在创作、排练、表演中广泛交往、全面交流、深度交融，深刻领悟“四个共同”，不断增强“五个认同”，牢固树立正确的国家观、历史观、民族观、文化观、宗教观，自觉维护“平等、团结、互助、和谐”的社会主义新型民族关系，牢固树立休戚与共、荣辱与共、生死与共、命运与共的共同体理念，建设好以社会主义核心价值观和“中国梦”为引领的各族师生共有精神家园，筑就人心凝聚、团结奋进的强大精神纽带，为党的二十大胜利召开营造良好氛围。</w:t>
      </w:r>
      <w:r>
        <w:rPr>
          <w:rFonts w:hint="eastAsia" w:ascii="Times New Roman" w:hAnsi="Times New Roman" w:eastAsia="仿宋_GB2312" w:cs="Times New Roman"/>
          <w:color w:val="000000"/>
          <w:kern w:val="0"/>
          <w:sz w:val="32"/>
          <w:szCs w:val="32"/>
          <w:highlight w:val="none"/>
          <w:shd w:val="clear" w:color="auto" w:fill="FFFFFF"/>
          <w:lang w:val="en-US" w:eastAsia="zh-CN"/>
        </w:rPr>
        <w:t>3个项目的指标均已按采购合同要求及时完成，完成率100%；</w:t>
      </w:r>
      <w:r>
        <w:rPr>
          <w:rFonts w:hint="eastAsia" w:ascii="Times New Roman" w:hAnsi="Times New Roman" w:eastAsia="仿宋_GB2312" w:cs="Times New Roman"/>
          <w:color w:val="000000"/>
          <w:kern w:val="0"/>
          <w:sz w:val="32"/>
          <w:szCs w:val="32"/>
          <w:highlight w:val="none"/>
          <w:shd w:val="clear" w:color="auto" w:fill="FFFFFF"/>
          <w:lang w:val="zh-CN"/>
        </w:rPr>
        <w:t>目标偏离</w:t>
      </w:r>
      <w:r>
        <w:rPr>
          <w:rFonts w:hint="eastAsia" w:ascii="Times New Roman" w:hAnsi="Times New Roman" w:eastAsia="仿宋_GB2312" w:cs="Times New Roman"/>
          <w:color w:val="000000"/>
          <w:kern w:val="0"/>
          <w:sz w:val="32"/>
          <w:szCs w:val="32"/>
          <w:highlight w:val="none"/>
          <w:shd w:val="clear" w:color="auto" w:fill="FFFFFF"/>
          <w:lang w:val="en-US" w:eastAsia="zh-CN"/>
        </w:rPr>
        <w:t>方面，绩效目标实际完成值未偏离预期指标30%以上；</w:t>
      </w:r>
      <w:r>
        <w:rPr>
          <w:rFonts w:hint="eastAsia" w:ascii="Times New Roman" w:hAnsi="Times New Roman" w:eastAsia="仿宋_GB2312" w:cs="Times New Roman"/>
          <w:color w:val="000000"/>
          <w:kern w:val="0"/>
          <w:sz w:val="32"/>
          <w:szCs w:val="32"/>
          <w:highlight w:val="none"/>
          <w:shd w:val="clear" w:color="auto" w:fill="FFFFFF"/>
          <w:lang w:val="zh-CN"/>
        </w:rPr>
        <w:t>实现效果</w:t>
      </w:r>
      <w:r>
        <w:rPr>
          <w:rFonts w:hint="eastAsia" w:ascii="Times New Roman" w:hAnsi="Times New Roman" w:eastAsia="仿宋_GB2312" w:cs="Times New Roman"/>
          <w:color w:val="000000"/>
          <w:kern w:val="0"/>
          <w:sz w:val="32"/>
          <w:szCs w:val="32"/>
          <w:highlight w:val="none"/>
          <w:shd w:val="clear" w:color="auto" w:fill="FFFFFF"/>
          <w:lang w:val="en-US" w:eastAsia="zh-CN"/>
        </w:rPr>
        <w:t>方面，该项目完成绩效内容100%</w:t>
      </w:r>
      <w:r>
        <w:rPr>
          <w:rFonts w:hint="eastAsia" w:ascii="Times New Roman" w:hAnsi="Times New Roman" w:eastAsia="仿宋_GB2312" w:cs="Times New Roman"/>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sz w:val="32"/>
          <w:szCs w:val="32"/>
          <w:lang w:val="zh-CN"/>
        </w:rPr>
        <w:t>绩效结果应用情况。</w:t>
      </w:r>
      <w:r>
        <w:rPr>
          <w:rFonts w:hint="eastAsia" w:ascii="Times New Roman" w:hAnsi="Times New Roman" w:eastAsia="仿宋_GB2312" w:cs="Times New Roman"/>
          <w:color w:val="000000"/>
          <w:kern w:val="0"/>
          <w:sz w:val="32"/>
          <w:szCs w:val="32"/>
          <w:highlight w:val="none"/>
          <w:shd w:val="clear" w:color="auto" w:fill="FFFFFF"/>
          <w:lang w:val="zh-CN" w:eastAsia="zh-CN"/>
        </w:rPr>
        <w:t>按照“谁组织评价，谁进行公开”的原则，</w:t>
      </w:r>
      <w:r>
        <w:rPr>
          <w:rFonts w:hint="eastAsia" w:ascii="Times New Roman" w:hAnsi="Times New Roman" w:eastAsia="仿宋_GB2312" w:cs="Times New Roman"/>
          <w:color w:val="000000"/>
          <w:kern w:val="0"/>
          <w:sz w:val="32"/>
          <w:szCs w:val="32"/>
          <w:highlight w:val="none"/>
          <w:shd w:val="clear" w:color="auto" w:fill="FFFFFF"/>
          <w:lang w:val="en-US" w:eastAsia="zh-CN"/>
        </w:rPr>
        <w:t>及时</w:t>
      </w:r>
      <w:r>
        <w:rPr>
          <w:rFonts w:hint="eastAsia" w:ascii="Times New Roman" w:hAnsi="Times New Roman" w:eastAsia="仿宋_GB2312" w:cs="Times New Roman"/>
          <w:color w:val="000000"/>
          <w:kern w:val="0"/>
          <w:sz w:val="32"/>
          <w:szCs w:val="32"/>
          <w:highlight w:val="none"/>
          <w:shd w:val="clear" w:color="auto" w:fill="FFFFFF"/>
          <w:lang w:val="zh-CN" w:eastAsia="zh-CN"/>
        </w:rPr>
        <w:t>在</w:t>
      </w:r>
      <w:r>
        <w:rPr>
          <w:rFonts w:hint="eastAsia" w:ascii="Times New Roman" w:hAnsi="Times New Roman" w:eastAsia="仿宋_GB2312" w:cs="Times New Roman"/>
          <w:color w:val="000000"/>
          <w:kern w:val="0"/>
          <w:sz w:val="32"/>
          <w:szCs w:val="32"/>
          <w:highlight w:val="none"/>
          <w:shd w:val="clear" w:color="auto" w:fill="FFFFFF"/>
          <w:lang w:val="en-US" w:eastAsia="zh-CN"/>
        </w:rPr>
        <w:t>财政厅、省民族宗教委</w:t>
      </w:r>
      <w:r>
        <w:rPr>
          <w:rFonts w:hint="eastAsia" w:ascii="Times New Roman" w:hAnsi="Times New Roman" w:eastAsia="仿宋_GB2312" w:cs="Times New Roman"/>
          <w:color w:val="000000"/>
          <w:kern w:val="0"/>
          <w:sz w:val="32"/>
          <w:szCs w:val="32"/>
          <w:highlight w:val="none"/>
          <w:shd w:val="clear" w:color="auto" w:fill="FFFFFF"/>
          <w:lang w:val="zh-CN" w:eastAsia="zh-CN"/>
        </w:rPr>
        <w:t>门户网站上公开部门</w:t>
      </w:r>
      <w:r>
        <w:rPr>
          <w:rFonts w:hint="eastAsia" w:ascii="Times New Roman" w:hAnsi="Times New Roman" w:eastAsia="仿宋_GB2312" w:cs="Times New Roman"/>
          <w:color w:val="000000"/>
          <w:kern w:val="0"/>
          <w:sz w:val="32"/>
          <w:szCs w:val="32"/>
          <w:highlight w:val="none"/>
          <w:shd w:val="clear" w:color="auto" w:fill="FFFFFF"/>
          <w:lang w:val="en-US" w:eastAsia="zh-CN"/>
        </w:rPr>
        <w:t>预算、</w:t>
      </w:r>
      <w:r>
        <w:rPr>
          <w:rFonts w:hint="eastAsia" w:ascii="Times New Roman" w:hAnsi="Times New Roman" w:eastAsia="仿宋_GB2312" w:cs="Times New Roman"/>
          <w:color w:val="000000"/>
          <w:kern w:val="0"/>
          <w:sz w:val="32"/>
          <w:szCs w:val="32"/>
          <w:highlight w:val="none"/>
          <w:shd w:val="clear" w:color="auto" w:fill="FFFFFF"/>
          <w:lang w:val="zh-CN" w:eastAsia="zh-CN"/>
        </w:rPr>
        <w:t>决算</w:t>
      </w:r>
      <w:r>
        <w:rPr>
          <w:rFonts w:hint="eastAsia" w:ascii="Times New Roman" w:hAnsi="Times New Roman" w:eastAsia="仿宋_GB2312" w:cs="Times New Roman"/>
          <w:color w:val="000000"/>
          <w:kern w:val="0"/>
          <w:sz w:val="32"/>
          <w:szCs w:val="32"/>
          <w:highlight w:val="none"/>
          <w:shd w:val="clear" w:color="auto" w:fill="FFFFFF"/>
          <w:lang w:val="en-US" w:eastAsia="zh-CN"/>
        </w:rPr>
        <w:t>等</w:t>
      </w:r>
      <w:r>
        <w:rPr>
          <w:rFonts w:hint="eastAsia" w:ascii="Times New Roman" w:hAnsi="Times New Roman" w:eastAsia="仿宋_GB2312" w:cs="Times New Roman"/>
          <w:color w:val="000000"/>
          <w:kern w:val="0"/>
          <w:sz w:val="32"/>
          <w:szCs w:val="32"/>
          <w:highlight w:val="none"/>
          <w:shd w:val="clear" w:color="auto" w:fill="FFFFFF"/>
          <w:lang w:val="zh-CN" w:eastAsia="zh-CN"/>
        </w:rPr>
        <w:t>报告。</w:t>
      </w:r>
      <w:r>
        <w:rPr>
          <w:rFonts w:hint="eastAsia" w:ascii="Times New Roman" w:hAnsi="Times New Roman" w:eastAsia="仿宋_GB2312" w:cs="Times New Roman"/>
          <w:color w:val="000000"/>
          <w:kern w:val="0"/>
          <w:sz w:val="32"/>
          <w:szCs w:val="32"/>
          <w:highlight w:val="none"/>
          <w:shd w:val="clear" w:color="auto" w:fill="FFFFFF"/>
          <w:lang w:val="en-US" w:eastAsia="zh-CN"/>
        </w:rPr>
        <w:t>并</w:t>
      </w:r>
      <w:r>
        <w:rPr>
          <w:rFonts w:hint="eastAsia" w:ascii="Times New Roman" w:hAnsi="Times New Roman" w:eastAsia="仿宋_GB2312" w:cs="Times New Roman"/>
          <w:color w:val="000000"/>
          <w:kern w:val="0"/>
          <w:sz w:val="32"/>
          <w:szCs w:val="32"/>
          <w:highlight w:val="none"/>
          <w:shd w:val="clear" w:color="auto" w:fill="FFFFFF"/>
          <w:lang w:val="zh-CN" w:eastAsia="zh-CN"/>
        </w:rPr>
        <w:t>根据反馈的绩效评价结果，制定整改方案、落实整改责任、认真加以整改。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rPr>
      </w:pPr>
      <w:bookmarkStart w:id="73" w:name="_Toc17637"/>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bookmarkEnd w:id="73"/>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b w:val="0"/>
          <w:bCs w:val="0"/>
          <w:kern w:val="0"/>
          <w:position w:val="0"/>
          <w:sz w:val="32"/>
          <w:szCs w:val="32"/>
          <w:highlight w:val="none"/>
          <w:lang w:val="en-US" w:eastAsia="zh-CN" w:bidi="ar-SA"/>
        </w:rPr>
        <w:t>按照《部门预算绩效评价指标体系》计算，本中心2024年绩效评价共计97.15分。按照指标体系标准，我单位建立健全财务基础管理制度和约束机制，制定了单位内部财务监督制度，使用财政一体化系统进行会计核算，严格履行单位职责，保质保量完成下达的各项目标任务。</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仿宋_GB2312" w:hAnsi="仿宋_GB2312" w:eastAsia="仿宋_GB2312" w:cs="仿宋_GB2312"/>
          <w:b w:val="0"/>
          <w:bCs w:val="0"/>
          <w:kern w:val="0"/>
          <w:position w:val="0"/>
          <w:sz w:val="32"/>
          <w:szCs w:val="32"/>
          <w:highlight w:val="none"/>
          <w:lang w:val="zh-CN" w:eastAsia="zh-CN" w:bidi="ar-SA"/>
        </w:rPr>
        <w:t>有部分项目</w:t>
      </w:r>
      <w:r>
        <w:rPr>
          <w:rFonts w:hint="eastAsia" w:ascii="仿宋_GB2312" w:hAnsi="仿宋_GB2312" w:eastAsia="仿宋_GB2312" w:cs="仿宋_GB2312"/>
          <w:b w:val="0"/>
          <w:bCs w:val="0"/>
          <w:kern w:val="0"/>
          <w:position w:val="0"/>
          <w:sz w:val="32"/>
          <w:szCs w:val="32"/>
          <w:highlight w:val="none"/>
          <w:lang w:val="en-US" w:eastAsia="zh-CN" w:bidi="ar-SA"/>
        </w:rPr>
        <w:t>未能列入年初</w:t>
      </w:r>
      <w:r>
        <w:rPr>
          <w:rFonts w:hint="default" w:ascii="仿宋_GB2312" w:hAnsi="仿宋_GB2312" w:eastAsia="仿宋_GB2312" w:cs="仿宋_GB2312"/>
          <w:b w:val="0"/>
          <w:bCs w:val="0"/>
          <w:kern w:val="0"/>
          <w:position w:val="0"/>
          <w:sz w:val="32"/>
          <w:szCs w:val="32"/>
          <w:highlight w:val="none"/>
          <w:lang w:val="zh-CN" w:eastAsia="zh-CN" w:bidi="ar-SA"/>
        </w:rPr>
        <w:t>预算编制</w:t>
      </w:r>
      <w:r>
        <w:rPr>
          <w:rFonts w:hint="eastAsia" w:ascii="仿宋_GB2312" w:hAnsi="仿宋_GB2312" w:eastAsia="仿宋_GB2312" w:cs="仿宋_GB2312"/>
          <w:b w:val="0"/>
          <w:bCs w:val="0"/>
          <w:kern w:val="0"/>
          <w:position w:val="0"/>
          <w:sz w:val="32"/>
          <w:szCs w:val="32"/>
          <w:highlight w:val="none"/>
          <w:lang w:val="en-US" w:eastAsia="zh-CN" w:bidi="ar-SA"/>
        </w:rPr>
        <w:t>导致预算不准确</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default" w:ascii="仿宋_GB2312" w:hAnsi="仿宋_GB2312" w:eastAsia="仿宋_GB2312" w:cs="仿宋_GB2312"/>
          <w:b w:val="0"/>
          <w:bCs w:val="0"/>
          <w:kern w:val="0"/>
          <w:position w:val="0"/>
          <w:sz w:val="32"/>
          <w:szCs w:val="32"/>
          <w:highlight w:val="none"/>
          <w:lang w:val="zh-CN" w:eastAsia="zh-CN" w:bidi="ar-SA"/>
        </w:rPr>
        <w:t>未能及时</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default" w:ascii="仿宋_GB2312" w:hAnsi="仿宋_GB2312" w:eastAsia="仿宋_GB2312" w:cs="仿宋_GB2312"/>
          <w:b w:val="0"/>
          <w:bCs w:val="0"/>
          <w:kern w:val="0"/>
          <w:position w:val="0"/>
          <w:sz w:val="32"/>
          <w:szCs w:val="32"/>
          <w:highlight w:val="none"/>
          <w:lang w:val="zh-CN" w:eastAsia="zh-CN" w:bidi="ar-SA"/>
        </w:rPr>
        <w:t>准确的完成全年执行计划</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en-US" w:eastAsia="zh-CN" w:bidi="ar-SA"/>
        </w:rPr>
        <w:t>绩效结果运用情况需增强</w:t>
      </w:r>
      <w:r>
        <w:rPr>
          <w:rFonts w:hint="default" w:ascii="仿宋_GB2312" w:hAnsi="仿宋_GB2312" w:eastAsia="仿宋_GB2312" w:cs="仿宋_GB2312"/>
          <w:b w:val="0"/>
          <w:bCs w:val="0"/>
          <w:kern w:val="0"/>
          <w:position w:val="0"/>
          <w:sz w:val="32"/>
          <w:szCs w:val="32"/>
          <w:highlight w:val="none"/>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_GB2312" w:hAnsi="仿宋_GB2312" w:eastAsia="仿宋_GB2312" w:cs="仿宋_GB2312"/>
          <w:b w:val="0"/>
          <w:bCs w:val="0"/>
          <w:kern w:val="0"/>
          <w:position w:val="0"/>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b w:val="0"/>
          <w:bCs w:val="0"/>
          <w:kern w:val="0"/>
          <w:position w:val="0"/>
          <w:sz w:val="32"/>
          <w:szCs w:val="32"/>
          <w:highlight w:val="none"/>
          <w:lang w:val="en-US" w:eastAsia="zh-CN" w:bidi="ar-SA"/>
        </w:rPr>
        <w:t>一是各项目实施室应该合理安排工作进度，加快预算执行力度。二是在编制部门预算时，认真测算本部门支出，按支付进度安排资金，提高资金使用效益，切实提高本单位预算支出执行进度的绩效。三是综合室（财务）加强对支付进度的督导，并及时指导项目实施室填报预算绩效表格。</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br w:type="page"/>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628"/>
        <w:gridCol w:w="756"/>
        <w:gridCol w:w="756"/>
        <w:gridCol w:w="396"/>
        <w:gridCol w:w="486"/>
        <w:gridCol w:w="396"/>
        <w:gridCol w:w="756"/>
        <w:gridCol w:w="487"/>
        <w:gridCol w:w="487"/>
        <w:gridCol w:w="3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4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报表编号：510000_0013zp</w:t>
            </w:r>
          </w:p>
        </w:tc>
        <w:tc>
          <w:tcPr>
            <w:tcW w:w="13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03" w:type="pct"/>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3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5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51000022T000006879018-民族地区开发资金（“同运动·一家亲”）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四川省民族地区经济开发中心部门</w:t>
            </w:r>
          </w:p>
        </w:tc>
        <w:tc>
          <w:tcPr>
            <w:tcW w:w="26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四川省民族地区经济开发中心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6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38"/>
                <w:lang w:val="en-US" w:eastAsia="zh-CN" w:bidi="ar"/>
              </w:rPr>
              <w:t>通过整合资源、创新方式，树立品牌、突出实效，积极搭建各族中小学生以体育运动交心交友的新平台，大力营造中华民族一家亲的社会氛围，为实现中华民族伟大复兴中国梦凝聚磅礴力量。</w:t>
            </w:r>
            <w:r>
              <w:rPr>
                <w:rStyle w:val="39"/>
                <w:rFonts w:eastAsia="宋体"/>
                <w:lang w:val="en-US" w:eastAsia="zh-CN" w:bidi="ar"/>
              </w:rPr>
              <w:t xml:space="preserve">       </w:t>
            </w:r>
            <w:r>
              <w:rPr>
                <w:rStyle w:val="38"/>
                <w:lang w:val="en-US" w:eastAsia="zh-CN" w:bidi="ar"/>
              </w:rPr>
              <w:br w:type="textWrapping"/>
            </w:r>
            <w:r>
              <w:rPr>
                <w:rStyle w:val="39"/>
                <w:rFonts w:eastAsia="宋体"/>
                <w:lang w:val="en-US" w:eastAsia="zh-CN" w:bidi="ar"/>
              </w:rPr>
              <w:t xml:space="preserve">       </w:t>
            </w:r>
            <w:r>
              <w:rPr>
                <w:rStyle w:val="38"/>
                <w:lang w:val="en-US" w:eastAsia="zh-CN" w:bidi="ar"/>
              </w:rPr>
              <w:br w:type="textWrapping"/>
            </w:r>
            <w:r>
              <w:rPr>
                <w:rStyle w:val="39"/>
                <w:rFonts w:eastAsia="宋体"/>
                <w:lang w:val="en-US" w:eastAsia="zh-CN" w:bidi="ar"/>
              </w:rPr>
              <w:t xml:space="preserve">       </w:t>
            </w:r>
            <w:r>
              <w:rPr>
                <w:rStyle w:val="38"/>
                <w:lang w:val="en-US" w:eastAsia="zh-CN" w:bidi="ar"/>
              </w:rPr>
              <w:br w:type="textWrapping"/>
            </w:r>
            <w:r>
              <w:rPr>
                <w:rStyle w:val="39"/>
                <w:rFonts w:eastAsia="宋体"/>
                <w:lang w:val="en-US" w:eastAsia="zh-CN" w:bidi="ar"/>
              </w:rPr>
              <w:t xml:space="preserve">       </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同财政厅、教育厅、省体育局沟通协作，通过线上运动趣味挑战赛、城市嘉年华、冠军进校园、乒乓球和篮球友谊赛等活动，在参与活动的地域、领域、人数上实现新的突破，打造好“同运动·一家亲”活动品牌，推动各族群众交往交流交融，营造“中华民族一家亲”的良好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同运动·一家亲”为主题的品牌体系，建立完善符合各族群众喜好的竞赛项目运动库和趣味项目运动库，在全省中小学、寺庙、村寨、社区等范围内开展线下体育活动、城市路演嘉年华活动、冠军训练营和省队直通及线上云挑战等，结合活动实际开展情况，做好本年度活动总结和宣传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784.78</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489.35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62.36%</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784.78</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489.35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62.36%</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建立项目库数量</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线上运动征集人数</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城市嘉年华（每个市州一次）</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趣味投篮挑战人数</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乒乓球校园集训（学校数量）</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项目实施过程中遇到的实际情况（如各地民宗、教育、体育等部门配合度不够，商定时间、场地、参加人员不一致，特别是进校园组织开展活动难度大），与中标单位协商一致签订补充协议约定“将部分服务内容调整为：在全省总决赛乒乓球基础上增加篮球交流赛并对优秀参赛队伍进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子项目完成率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项目宣传覆盖率（包括微信公号、抖音、微博、省级官方媒体、今日头条等）</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活动当日现场最大人流量</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促进各族中小学生以体育运动交心交友</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参与活动人员满意度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8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运动·一家亲”项目自评100分，项目以民族团结进步创建工作与通用体育运动项目高度融合为抓手，子项目覆盖范围均较广、涵盖了四川省21个市州、每个市州参与学校达200余所，绩效数量指标保质保量完成，各族群众对项目的满意度、认可度和参与度较高，项目覆盖宣传率、活动当日现场最大人流量等指标完成度较好，社会效益较为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8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“同运动·一家亲”活动子项目较多，涉及多部门配合协调，各项活动开展不确定因素较大，在数量指标设置上应充分考虑不确定因素带来的影响，项目推进跨年度，绩效指标设置以自然年度进行较难量化评价。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8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设置时应结合本年度活动开展实际情况进行细化调整；加强项目过程监督，督促供应商严格按照项目计划进度开展项目建设，结合项目实施过程的环境状况调整项目实施方案，提高项目实施进度，多方协调及时促成“同运动·一家亲”项目的落地。</w:t>
            </w:r>
          </w:p>
        </w:tc>
      </w:tr>
    </w:tbl>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rPr>
          <w:rFonts w:hint="eastAsia" w:ascii="Times New Roman" w:hAnsi="Times New Roman" w:cs="Times New Roman"/>
          <w:sz w:val="32"/>
          <w:szCs w:val="32"/>
          <w:highlight w:val="yellow"/>
          <w:lang w:val="zh-CN" w:eastAsia="zh-CN"/>
        </w:rPr>
      </w:pPr>
      <w:r>
        <w:rPr>
          <w:rFonts w:hint="eastAsia" w:ascii="Times New Roman" w:hAnsi="Times New Roman" w:cs="Times New Roman"/>
          <w:sz w:val="32"/>
          <w:szCs w:val="32"/>
          <w:highlight w:val="yellow"/>
          <w:lang w:val="zh-CN" w:eastAsia="zh-CN"/>
        </w:rPr>
        <w:br w:type="page"/>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5"/>
        <w:gridCol w:w="1034"/>
        <w:gridCol w:w="1355"/>
        <w:gridCol w:w="396"/>
        <w:gridCol w:w="971"/>
        <w:gridCol w:w="396"/>
        <w:gridCol w:w="756"/>
        <w:gridCol w:w="486"/>
        <w:gridCol w:w="48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2"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报表编号：510000_0013zp</w:t>
            </w:r>
          </w:p>
        </w:tc>
        <w:tc>
          <w:tcPr>
            <w:tcW w:w="1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79" w:type="pct"/>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51000022T000006879082-民族地区开发资金（校园舞台剧展演）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四川省民族地区经济开发中心部门</w:t>
            </w:r>
          </w:p>
        </w:tc>
        <w:tc>
          <w:tcPr>
            <w:tcW w:w="39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四川省民族地区经济开发中心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校园舞台剧展演活动，让各族师生在创作、排练、表演中广泛交往、全面交流、深度交融，深刻领悟“四个共同”，不断增强“五个认同”，牢固树立正确的国家观、历史观、民族观、文化观、宗教观，自觉维护“平等、团结、互助、和谐”的社会主义新型民族关系，牢固树立休戚与共、荣辱与共、生死与共、命运与共的共同体理念，建设好以社会主义核心价值观和“中国梦”为引领的各族师生共有精神家园，筑就人心凝聚、团结奋进的强大精神纽带。</w:t>
            </w:r>
          </w:p>
        </w:tc>
        <w:tc>
          <w:tcPr>
            <w:tcW w:w="1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除了颁奖典礼延至2025年3月28日外，其他展演出活动内容都于2024年12月底前全部完成。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作品创作、排练、表演等，教育引导各族师生广泛交往、全面交流、深度交融中牢固树立休戚与共、荣辱与共、生死与共、命运与共的中华民族共同体理念。10月15日启动了基层校级选拔，如：12月1日起在成都市域内人员流动密集的14个公交站和10个轨道交通地铁站灯箱投放为期1个月的宣传广告，12月2日举行了新闻通气会，发布了活动形象宣传片，12月底前完成了省级比赛性展演（决赛），共有全省21个市州1029所各级各类学校的1795件作品报名参加，经过专家评审组的层层评选，共有668件作品获奖，其中563件作品分获一、二、三等奖及优秀奖，同时评选出105个单项奖。已确定2025年3月28日在成都东盟艺术剧场举行颁奖典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财政资金到位较晚，但12月前已完成所有比赛性展演，只是颁奖典礼因遇寒假、春节等来不及举行，稍延到3月举行。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展演暨颁奖典礼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Shruti" w:hAnsi="Shruti" w:eastAsia="Shruti" w:cs="Shruti"/>
                <w:i w:val="0"/>
                <w:iCs w:val="0"/>
                <w:color w:val="000000"/>
                <w:sz w:val="16"/>
                <w:szCs w:val="16"/>
                <w:u w:val="none"/>
              </w:rPr>
            </w:pPr>
            <w:r>
              <w:rPr>
                <w:rFonts w:hint="default" w:ascii="Shruti" w:hAnsi="Shruti" w:eastAsia="Shruti" w:cs="Shruti"/>
                <w:i w:val="0"/>
                <w:iCs w:val="0"/>
                <w:color w:val="000000"/>
                <w:kern w:val="0"/>
                <w:sz w:val="16"/>
                <w:szCs w:val="16"/>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财政资金到位较晚，但12月前已完成所有比赛性展演，只是颁奖典礼因遇寒假、春节等来不及举行，稍延到3月举行。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媒体宣传（广播电视新闻宣传、新媒体软文或视频推送、户外公共场所广告宣传）</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举行新闻通气会，超过</w:t>
            </w:r>
            <w:r>
              <w:rPr>
                <w:rStyle w:val="40"/>
                <w:lang w:val="en-US" w:eastAsia="zh-CN" w:bidi="ar"/>
              </w:rPr>
              <w:t>25</w:t>
            </w:r>
            <w:r>
              <w:rPr>
                <w:rFonts w:hint="eastAsia" w:ascii="微软雅黑" w:hAnsi="微软雅黑" w:eastAsia="微软雅黑" w:cs="微软雅黑"/>
                <w:i w:val="0"/>
                <w:iCs w:val="0"/>
                <w:color w:val="000000"/>
                <w:kern w:val="0"/>
                <w:sz w:val="12"/>
                <w:szCs w:val="12"/>
                <w:u w:val="none"/>
                <w:lang w:val="en-US" w:eastAsia="zh-CN" w:bidi="ar"/>
              </w:rPr>
              <w:t>家媒体参与报道。</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评委专家人数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hruti" w:hAnsi="Shruti" w:eastAsia="Shruti" w:cs="Shruti"/>
                <w:i w:val="0"/>
                <w:iCs w:val="0"/>
                <w:color w:val="000000"/>
                <w:sz w:val="12"/>
                <w:szCs w:val="12"/>
                <w:u w:val="none"/>
              </w:rPr>
            </w:pPr>
            <w:r>
              <w:rPr>
                <w:rFonts w:hint="default" w:ascii="Shruti" w:hAnsi="Shruti" w:eastAsia="Shruti" w:cs="Shruti"/>
                <w:i w:val="0"/>
                <w:iCs w:val="0"/>
                <w:color w:val="000000"/>
                <w:kern w:val="0"/>
                <w:sz w:val="12"/>
                <w:szCs w:val="12"/>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组织剧目及颁奖所需主要演员人数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hruti" w:hAnsi="Shruti" w:eastAsia="Shruti" w:cs="Shruti"/>
                <w:i w:val="0"/>
                <w:iCs w:val="0"/>
                <w:color w:val="000000"/>
                <w:sz w:val="12"/>
                <w:szCs w:val="12"/>
                <w:u w:val="none"/>
              </w:rPr>
            </w:pPr>
            <w:r>
              <w:rPr>
                <w:rFonts w:hint="default" w:ascii="Shruti" w:hAnsi="Shruti" w:eastAsia="Shruti" w:cs="Shruti"/>
                <w:i w:val="0"/>
                <w:iCs w:val="0"/>
                <w:color w:val="000000"/>
                <w:kern w:val="0"/>
                <w:sz w:val="12"/>
                <w:szCs w:val="12"/>
                <w:u w:val="none"/>
                <w:lang w:val="en-US" w:eastAsia="zh-CN" w:bidi="ar"/>
              </w:rPr>
              <w:t>35900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演出场地面积</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超过</w:t>
            </w:r>
            <w:r>
              <w:rPr>
                <w:rStyle w:val="40"/>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已初验</w:t>
            </w:r>
            <w:r>
              <w:rPr>
                <w:rStyle w:val="40"/>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hruti" w:hAnsi="Shruti" w:eastAsia="Shruti" w:cs="Shruti"/>
                <w:i w:val="0"/>
                <w:iCs w:val="0"/>
                <w:color w:val="000000"/>
                <w:sz w:val="12"/>
                <w:szCs w:val="12"/>
                <w:u w:val="none"/>
              </w:rPr>
            </w:pPr>
            <w:r>
              <w:rPr>
                <w:rStyle w:val="40"/>
                <w:lang w:val="en-US" w:eastAsia="zh-CN" w:bidi="ar"/>
              </w:rPr>
              <w:t>12</w:t>
            </w:r>
            <w:r>
              <w:rPr>
                <w:rFonts w:hint="eastAsia" w:ascii="微软雅黑" w:hAnsi="微软雅黑" w:eastAsia="微软雅黑" w:cs="微软雅黑"/>
                <w:i w:val="0"/>
                <w:iCs w:val="0"/>
                <w:color w:val="000000"/>
                <w:kern w:val="0"/>
                <w:sz w:val="12"/>
                <w:szCs w:val="12"/>
                <w:u w:val="none"/>
                <w:lang w:val="en-US" w:eastAsia="zh-CN" w:bidi="ar"/>
              </w:rPr>
              <w:t>月前完成了决赛</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社会反响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在校大、中、小学在校师生覆盖率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直接和间接参与超</w:t>
            </w:r>
            <w:r>
              <w:rPr>
                <w:rStyle w:val="40"/>
                <w:lang w:val="en-US" w:eastAsia="zh-CN"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参与活动人员满意度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超</w:t>
            </w:r>
            <w:r>
              <w:rPr>
                <w:rStyle w:val="40"/>
                <w:lang w:val="en-US" w:eastAsia="zh-CN" w:bidi="ar"/>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项目预算控制数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未超预算</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过作品创作、排练、表演等，教育引导各族大中小学生既立足课本，又“走出课本”，在更广更深的维度交往交流交融，让中华民族休戚与共、荣辱与共、生死与共、命运与共的共同体理念根植各族学生心灵深处。该活动旨在打造教育引导各族青少年“三交”、铸牢中华民族共同体意识的四川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一是财政资金到位晚，影响活动及时启动；二是各级各类学校参与压力大，组织、策划、排练时间较短；三是个别作品打磨不够精细。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一是加台与财政对接，争取项目资金尽早到位，按时启动；二是强化过程监管，确保活动按既定方案高质量开展；三是认真做好事后评估，总结好经验，精益求精。</w:t>
            </w:r>
          </w:p>
        </w:tc>
      </w:tr>
    </w:tbl>
    <w:p>
      <w:pPr>
        <w:rPr>
          <w:rFonts w:hint="eastAsia" w:ascii="Times New Roman" w:hAnsi="Times New Roman" w:cs="Times New Roman"/>
          <w:sz w:val="32"/>
          <w:szCs w:val="32"/>
          <w:highlight w:val="yellow"/>
          <w:lang w:val="zh-CN" w:eastAsia="zh-CN"/>
        </w:rPr>
      </w:pPr>
      <w:r>
        <w:rPr>
          <w:rFonts w:hint="eastAsia" w:ascii="Times New Roman" w:hAnsi="Times New Roman" w:cs="Times New Roman"/>
          <w:sz w:val="32"/>
          <w:szCs w:val="32"/>
          <w:highlight w:val="yellow"/>
          <w:lang w:val="zh-CN" w:eastAsia="zh-CN"/>
        </w:rPr>
        <w:br w:type="page"/>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1028"/>
        <w:gridCol w:w="1855"/>
        <w:gridCol w:w="396"/>
        <w:gridCol w:w="486"/>
        <w:gridCol w:w="396"/>
        <w:gridCol w:w="756"/>
        <w:gridCol w:w="486"/>
        <w:gridCol w:w="576"/>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654"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报表编号：510000_0013zp</w:t>
            </w:r>
          </w:p>
        </w:tc>
        <w:tc>
          <w:tcPr>
            <w:tcW w:w="1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8" w:type="pct"/>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9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51000021T000000144781-少数民族发展资金项目管理培训费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四川省民族地区经济开发中心部门</w:t>
            </w:r>
          </w:p>
        </w:tc>
        <w:tc>
          <w:tcPr>
            <w:tcW w:w="38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四川省民族地区经济开发中心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2024年，省民族经济开发中心将以两项资金为抓手，切实发挥好资金的示范带动作用，撬动更多社会资源，帮扶民族地区高质量发展。重点抓好民族团结进步示范村、民族地区特色优势产业提升、民族文化推进、民族地区乡村人居环境整治等项目的备案审核、评审、督导调研、绩效考评、效益宣传，管理培训等工作，切实把党中央、国务院及省委、省政府对我省民族地区和少数民族群众的特殊关心关怀政策落到实处。</w:t>
            </w:r>
          </w:p>
        </w:tc>
        <w:tc>
          <w:tcPr>
            <w:tcW w:w="16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民开中心以铸牢中华民族共同体意识为主线，以用好用活5亿元两项资金为抓手，深入推进民族团结进步示范工程，重点抓好民族团结进步示范村建设、民族地区特色优势产业提升等工作，有力助推民族地区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做好整体部署。在宣汉县召开省委省政府民族地区经济开发工作领导小组会，研究分析民族地区经济开发工作面临的新形势新情况，安排部署全年两资工作，确保示范工程项目在全省落实落地。二是科学分配资金。积极与财政厅有关处室沟通协调，多次与财政厅农业农村处对接协调，首次采取项目法做好2024年省级财政衔接推进乡村振兴补助资金（少数民族发展任务）0.5亿元的分配下达，完成2024年度四川省民族地区开发资金4.5亿元分配下达并要求1.18亿元统筹整合使用部分原则上不再统筹整合使用，牢牢掌握两项资金管理使用主动权。三是交流管理经验。继续采取“学习考察+经验交流+工作部署”形式，在绵阳市召开全省两资工作会暨民族团结进步示范村现场会，组织21个市（州）相互学习交流示范工程重点项目建设管理经验。在平武县举办2024年四川省新时代民族团结进步示范工程重点项目建设管理人才专题培训班，首次邀请基层乡镇干部给示范工程重点项目管理人员传授操作层面的工作经验。四是持续完善全生命周期管理机制，指导第三方成都信息工程大学对65个重点项目开展室内评估，对13个项目开展实地评估工作，对荥经县宝峰彝族乡田坝村等10个跟踪评估结果“好”的项目各给予50万元奖励性补助，引导各地转变“重建设轻管理”的使用理念，提高了资金使用的精准性、持续性和有效性。五是科学评审项目。坚持通过“基层初选把关、市州评审筛选、省级集中评审”的竞争立项方式，经过县（区）申报、市（州）审核，从四川省民族地区经济开发专家库中抽取农牧、文旅、医药等行业专家，首次对全省10个民族医药种植项目评审，继续对49个示范村项目评审，计划2025年投入1.51亿元支持27个示范村项目、2000万元支持5个民族医药种植项目。六是认真备案项目。严格要求各地执行政府投资项目基本程序，认真填写备案报告、实施方案、绩效目标等备案资料，完成271个开发资金项目备案，94个省级衔接资金（少数民族发展任务）项目备案。七是加强日常监管和绩效评价。借助数字两资平台，采取“线上+线下”监管的方式，主要对2023年和2024年项目进行全过程监管，扎实开展2024年绩效评价工作，对44个项目进行实地绩效评价，优化完善民族专项资金管理系统，持续做好两项资金宣传。八是强化宣传教育。持续开展“同运动·一家亲”活动。在全省大中小学校、村寨社区、宗教活动场所等开展普及程度高群众基础好的乒乓球、篮球、足球、锅庄等文体活动，吸引21个市（州）10000余所幼儿园和中小学、50多所高校、1000多所宗教场所、5000多个村寨的100万以上各族青少年、各族群众参与，活动受到广泛关注，40多家国内新闻媒体进行宣传报道，先后获得中央、省委主要领导肯定性批示，2024年获得中央统战部创新成果奖。特别是2023-2024年全省“同运动·一家亲”总结活动中，在成都主会场和宜宾珙县会场分别举办了青少年男女乒乓球交流赛和各族群众篮球交流赛，活动参与度越来越高、覆盖面越来越广，营造了“中华民族一家亲，同心共筑中国梦”的良好氛围。全力打造民族团结进步示范学校。重点推进52个示范学校建设，铸牢中华民族共同体意识进了学校党的建设和意识形态工作，进了教材，进了课堂，进了学校教育教学全过程各环节和教师、学生考评体系，引导广大青少年牢固树立休戚与共、荣辱与共、生死与共、命运与共的共同体理念，把中华民族共同体意识从小就植入广大青少年的心灵深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163.48</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存在民族工作专项资金管理系统数字化升级、两项资金宣传活动、两项资金项目管理信息系统运行维护、两项资金投入绩效与重点项目跟踪评估等跨年项目，已按合同约定进行2024年度经费支付。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163.48</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全省两资系统工作会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民族团结进步示范村现场会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民族地区经济开发工作专家座谈会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为保障科学进行项目评审，2024年首次对全省10个民族医药种植项目评审，将该项经费调剂到“重点项目指导和评审”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四川省新时代民族团结进步示范工程重点项目建设管理人才专题培训班</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省委省政府民族地区经济开发工作领导小组会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印制《四川省两项资金项目管理工作制度汇编》</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前期预算19080元，后为高效使用财政资金，调减至15600元，剩余经费调剂到“重点项目指导和评审”，用于保障2024年首次对全省10个民族医药种植项目评审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民族工作专项资金管理系统数字化升级</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两项资金宣传活动</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两项资金项目管理信息系统运行维护</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两项资金投入绩效与重点项目跟踪评估</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事前事中事后评估</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日常调研</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形成民族地区经济社会发展及两项资金项目管理调研报告</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重点项目指导和评审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两资项目绩效评价</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示范村现场会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两资绩效评价</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日常调研</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事前事中事后</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重点项目跟踪服务项目</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专家座谈会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为保障科学进行项目评审，2024年首次对全省10个民族医药种植项目评审，将该项经费调剂到“重点项目指导和评审”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示范村项目评审工作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领导小组会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示范工程专题培训班</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两资工作会</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7月</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资金管理系统数字化升级</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14项工作质量评价</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优良</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宣传两资典型人物、故事和经验，加强两资带动引领作用，激发少数民族群众感恩意识，铸牢中华民族共同体意识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优良</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  计</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Shruti" w:hAnsi="Shruti" w:eastAsia="Shruti" w:cs="Shruti"/>
                <w:i w:val="0"/>
                <w:iCs w:val="0"/>
                <w:color w:val="000000"/>
                <w:sz w:val="18"/>
                <w:szCs w:val="18"/>
                <w:u w:val="none"/>
              </w:rPr>
            </w:pPr>
            <w:r>
              <w:rPr>
                <w:rStyle w:val="41"/>
                <w:lang w:val="en-US" w:eastAsia="zh-CN" w:bidi="ar"/>
              </w:rPr>
              <w:t>2024</w:t>
            </w:r>
            <w:r>
              <w:rPr>
                <w:rFonts w:hint="eastAsia" w:ascii="微软雅黑" w:hAnsi="微软雅黑" w:eastAsia="微软雅黑" w:cs="微软雅黑"/>
                <w:i w:val="0"/>
                <w:iCs w:val="0"/>
                <w:color w:val="000000"/>
                <w:kern w:val="0"/>
                <w:sz w:val="18"/>
                <w:szCs w:val="18"/>
                <w:u w:val="none"/>
                <w:lang w:val="en-US" w:eastAsia="zh-CN" w:bidi="ar"/>
              </w:rPr>
              <w:t>年，省民开中心以铸牢中华民族共同体意识为主线，以用好用活</w:t>
            </w:r>
            <w:r>
              <w:rPr>
                <w:rStyle w:val="41"/>
                <w:lang w:val="en-US" w:eastAsia="zh-CN" w:bidi="ar"/>
              </w:rPr>
              <w:t>5</w:t>
            </w:r>
            <w:r>
              <w:rPr>
                <w:rFonts w:hint="eastAsia" w:ascii="微软雅黑" w:hAnsi="微软雅黑" w:eastAsia="微软雅黑" w:cs="微软雅黑"/>
                <w:i w:val="0"/>
                <w:iCs w:val="0"/>
                <w:color w:val="000000"/>
                <w:kern w:val="0"/>
                <w:sz w:val="18"/>
                <w:szCs w:val="18"/>
                <w:u w:val="none"/>
                <w:lang w:val="en-US" w:eastAsia="zh-CN" w:bidi="ar"/>
              </w:rPr>
              <w:t>亿元两项资金（四川省民族地区开发资金</w:t>
            </w:r>
            <w:r>
              <w:rPr>
                <w:rStyle w:val="41"/>
                <w:lang w:val="en-US" w:eastAsia="zh-CN" w:bidi="ar"/>
              </w:rPr>
              <w:t>4.5</w:t>
            </w:r>
            <w:r>
              <w:rPr>
                <w:rFonts w:hint="eastAsia" w:ascii="微软雅黑" w:hAnsi="微软雅黑" w:eastAsia="微软雅黑" w:cs="微软雅黑"/>
                <w:i w:val="0"/>
                <w:iCs w:val="0"/>
                <w:color w:val="000000"/>
                <w:kern w:val="0"/>
                <w:sz w:val="18"/>
                <w:szCs w:val="18"/>
                <w:u w:val="none"/>
                <w:lang w:val="en-US" w:eastAsia="zh-CN" w:bidi="ar"/>
              </w:rPr>
              <w:t>亿元和省级财政衔接推进乡村振兴补助资金少数民族发展任务</w:t>
            </w:r>
            <w:r>
              <w:rPr>
                <w:rStyle w:val="41"/>
                <w:lang w:val="en-US" w:eastAsia="zh-CN" w:bidi="ar"/>
              </w:rPr>
              <w:t>0.5</w:t>
            </w:r>
            <w:r>
              <w:rPr>
                <w:rFonts w:hint="eastAsia" w:ascii="微软雅黑" w:hAnsi="微软雅黑" w:eastAsia="微软雅黑" w:cs="微软雅黑"/>
                <w:i w:val="0"/>
                <w:iCs w:val="0"/>
                <w:color w:val="000000"/>
                <w:kern w:val="0"/>
                <w:sz w:val="18"/>
                <w:szCs w:val="18"/>
                <w:u w:val="none"/>
                <w:lang w:val="en-US" w:eastAsia="zh-CN" w:bidi="ar"/>
              </w:rPr>
              <w:t>亿元）为抓手，深入推进民族团结进步示范工程，重点抓好民族团结进步示范村建设、民族地区特色优势产业提升、民族文化推进、民族地区乡村人居环境整治等项目的备案审核、评审、督导调研、绩效考评、效益宣传、管理培训等工作，有力助推民族地区经济社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存在调剂经费预算的情况。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预算更加精准，减少调剂事项。</w:t>
            </w:r>
          </w:p>
        </w:tc>
      </w:tr>
    </w:tbl>
    <w:p>
      <w:pPr>
        <w:rPr>
          <w:rFonts w:hint="eastAsia"/>
          <w:lang w:val="zh-CN" w:eastAsia="zh-CN"/>
        </w:rPr>
      </w:pPr>
      <w:r>
        <w:rPr>
          <w:rFonts w:hint="eastAsia"/>
          <w:lang w:val="zh-CN" w:eastAsia="zh-CN"/>
        </w:rPr>
        <w:br w:type="page"/>
      </w:r>
    </w:p>
    <w:p>
      <w:pPr>
        <w:widowControl/>
        <w:jc w:val="center"/>
        <w:outlineLvl w:val="0"/>
        <w:rPr>
          <w:rFonts w:hint="eastAsia" w:ascii="Times New Roman" w:hAnsi="Times New Roman" w:eastAsia="仿宋"/>
          <w:b w:val="0"/>
          <w:color w:val="auto"/>
          <w:highlight w:val="none"/>
        </w:rPr>
      </w:pPr>
      <w:bookmarkStart w:id="74" w:name="_Toc11904"/>
      <w:bookmarkStart w:id="75"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7"/>
      <w:bookmarkEnd w:id="74"/>
      <w:bookmarkEnd w:id="75"/>
      <w:bookmarkStart w:id="76"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0"/>
      <w:r>
        <w:rPr>
          <w:rFonts w:hint="eastAsia" w:ascii="Times New Roman" w:hAnsi="Times New Roman" w:eastAsia="仿宋_GB2312" w:cs="仿宋_GB2312"/>
          <w:color w:val="auto"/>
          <w:sz w:val="32"/>
          <w:szCs w:val="32"/>
          <w:highlight w:val="none"/>
        </w:rPr>
        <w:t>二、收入决算表</w:t>
      </w:r>
      <w:bookmarkEnd w:id="7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1"/>
      <w:r>
        <w:rPr>
          <w:rFonts w:hint="eastAsia" w:ascii="Times New Roman" w:hAnsi="Times New Roman" w:eastAsia="仿宋_GB2312" w:cs="仿宋_GB2312"/>
          <w:color w:val="auto"/>
          <w:sz w:val="32"/>
          <w:szCs w:val="32"/>
          <w:highlight w:val="none"/>
        </w:rPr>
        <w:t>三、支出决算表</w:t>
      </w:r>
      <w:bookmarkEnd w:id="7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2"/>
      <w:r>
        <w:rPr>
          <w:rFonts w:hint="eastAsia" w:ascii="Times New Roman" w:hAnsi="Times New Roman" w:eastAsia="仿宋_GB2312" w:cs="仿宋_GB2312"/>
          <w:color w:val="auto"/>
          <w:sz w:val="32"/>
          <w:szCs w:val="32"/>
          <w:highlight w:val="none"/>
        </w:rPr>
        <w:t>四、财政拨款收入支出决算总表</w:t>
      </w:r>
      <w:bookmarkEnd w:id="7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3"/>
      <w:r>
        <w:rPr>
          <w:rFonts w:hint="eastAsia" w:ascii="Times New Roman" w:hAnsi="Times New Roman" w:eastAsia="仿宋_GB2312" w:cs="仿宋_GB2312"/>
          <w:color w:val="auto"/>
          <w:sz w:val="32"/>
          <w:szCs w:val="32"/>
          <w:highlight w:val="none"/>
        </w:rPr>
        <w:t>五、财政拨款支出决算明细表</w:t>
      </w:r>
      <w:bookmarkEnd w:id="80"/>
      <w:bookmarkStart w:id="81"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5"/>
      <w:r>
        <w:rPr>
          <w:rFonts w:hint="eastAsia" w:ascii="Times New Roman" w:hAnsi="Times New Roman" w:eastAsia="仿宋_GB2312" w:cs="仿宋_GB2312"/>
          <w:color w:val="auto"/>
          <w:sz w:val="32"/>
          <w:szCs w:val="32"/>
          <w:highlight w:val="none"/>
        </w:rPr>
        <w:t>七、一般公共预算财政拨款支出决算明细表</w:t>
      </w:r>
      <w:bookmarkEnd w:id="8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6"/>
      <w:r>
        <w:rPr>
          <w:rFonts w:hint="eastAsia" w:ascii="Times New Roman" w:hAnsi="Times New Roman" w:eastAsia="仿宋_GB2312" w:cs="仿宋_GB2312"/>
          <w:color w:val="auto"/>
          <w:sz w:val="32"/>
          <w:szCs w:val="32"/>
          <w:highlight w:val="none"/>
        </w:rPr>
        <w:t>八、一般公共预算财政拨款基本支出决算表</w:t>
      </w:r>
      <w:bookmarkEnd w:id="8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7"/>
      <w:r>
        <w:rPr>
          <w:rFonts w:hint="eastAsia" w:ascii="Times New Roman" w:hAnsi="Times New Roman" w:eastAsia="仿宋_GB2312" w:cs="仿宋_GB2312"/>
          <w:color w:val="auto"/>
          <w:sz w:val="32"/>
          <w:szCs w:val="32"/>
          <w:highlight w:val="none"/>
        </w:rPr>
        <w:t>九、一般公共预算财政拨款项目支出决算表</w:t>
      </w:r>
      <w:bookmarkEnd w:id="8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8"/>
      <w:r>
        <w:rPr>
          <w:rFonts w:hint="eastAsia" w:ascii="Times New Roman" w:hAnsi="Times New Roman" w:eastAsia="仿宋_GB2312" w:cs="仿宋_GB2312"/>
          <w:color w:val="auto"/>
          <w:sz w:val="32"/>
          <w:szCs w:val="32"/>
          <w:highlight w:val="none"/>
        </w:rPr>
        <w:t>十、</w:t>
      </w:r>
      <w:bookmarkEnd w:id="85"/>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9"/>
      <w:r>
        <w:rPr>
          <w:rFonts w:hint="eastAsia" w:ascii="Times New Roman" w:hAnsi="Times New Roman" w:eastAsia="仿宋_GB2312" w:cs="仿宋_GB2312"/>
          <w:color w:val="auto"/>
          <w:sz w:val="32"/>
          <w:szCs w:val="32"/>
          <w:highlight w:val="none"/>
        </w:rPr>
        <w:t>十一、</w:t>
      </w:r>
      <w:bookmarkEnd w:id="8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30"/>
      <w:r>
        <w:rPr>
          <w:rFonts w:hint="eastAsia" w:ascii="Times New Roman" w:hAnsi="Times New Roman" w:eastAsia="仿宋_GB2312" w:cs="仿宋_GB2312"/>
          <w:color w:val="auto"/>
          <w:sz w:val="32"/>
          <w:szCs w:val="32"/>
          <w:highlight w:val="none"/>
        </w:rPr>
        <w:t>十二、</w:t>
      </w:r>
      <w:bookmarkEnd w:id="8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8" w:name="_Toc15396631"/>
      <w:r>
        <w:rPr>
          <w:rFonts w:hint="eastAsia" w:ascii="Times New Roman" w:hAnsi="Times New Roman" w:eastAsia="仿宋_GB2312" w:cs="仿宋_GB2312"/>
          <w:color w:val="auto"/>
          <w:sz w:val="32"/>
          <w:szCs w:val="32"/>
          <w:highlight w:val="none"/>
        </w:rPr>
        <w:t>十三、</w:t>
      </w:r>
      <w:bookmarkEnd w:id="88"/>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lang w:eastAsia="zh-CN"/>
        </w:rPr>
      </w:pPr>
      <w:r>
        <w:rPr>
          <w:rFonts w:hint="eastAsia"/>
          <w:lang w:eastAsia="zh-CN"/>
        </w:rPr>
        <w:br w:type="page"/>
      </w:r>
    </w:p>
    <w:p>
      <w:pPr>
        <w:pStyle w:val="14"/>
        <w:rPr>
          <w:rFonts w:hint="eastAsia"/>
          <w:lang w:eastAsia="zh-CN"/>
        </w:rPr>
        <w:sectPr>
          <w:footerReference r:id="rId11" w:type="first"/>
          <w:footerReference r:id="rId10" w:type="default"/>
          <w:pgSz w:w="11906" w:h="16838"/>
          <w:pgMar w:top="2098" w:right="1474" w:bottom="1984" w:left="1587"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97"/>
        <w:gridCol w:w="516"/>
        <w:gridCol w:w="2070"/>
        <w:gridCol w:w="3899"/>
        <w:gridCol w:w="514"/>
        <w:gridCol w:w="2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2301"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19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9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499"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9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5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9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8"/>
        <w:gridCol w:w="426"/>
        <w:gridCol w:w="426"/>
        <w:gridCol w:w="2962"/>
        <w:gridCol w:w="903"/>
        <w:gridCol w:w="903"/>
        <w:gridCol w:w="562"/>
        <w:gridCol w:w="562"/>
        <w:gridCol w:w="562"/>
        <w:gridCol w:w="562"/>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10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0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11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44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76"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33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33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33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1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62"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1110"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62"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110"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162"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11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20123</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民族事务</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2012301</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251.69</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2012302</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177"/>
        <w:gridCol w:w="1421"/>
        <w:gridCol w:w="1421"/>
        <w:gridCol w:w="1424"/>
        <w:gridCol w:w="1379"/>
        <w:gridCol w:w="1325"/>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4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13"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57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145"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5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3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7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64"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1249"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64"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24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64"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2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2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2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4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347.13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251.69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民族事务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251.69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6"/>
        <w:gridCol w:w="436"/>
        <w:gridCol w:w="1234"/>
        <w:gridCol w:w="2916"/>
        <w:gridCol w:w="436"/>
        <w:gridCol w:w="1234"/>
        <w:gridCol w:w="1232"/>
        <w:gridCol w:w="1232"/>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1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2"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1702" w:type="pct"/>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53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3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3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3297" w:type="pct"/>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1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1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3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01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989.11</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989.11</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41.39</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41.39</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3"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3"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3"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531"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3482"/>
        <w:gridCol w:w="509"/>
        <w:gridCol w:w="944"/>
        <w:gridCol w:w="942"/>
        <w:gridCol w:w="804"/>
        <w:gridCol w:w="807"/>
        <w:gridCol w:w="589"/>
        <w:gridCol w:w="643"/>
        <w:gridCol w:w="646"/>
        <w:gridCol w:w="589"/>
        <w:gridCol w:w="643"/>
        <w:gridCol w:w="1539"/>
      </w:tblGrid>
      <w:tr>
        <w:tblPrEx>
          <w:tblCellMar>
            <w:top w:w="0" w:type="dxa"/>
            <w:left w:w="108" w:type="dxa"/>
            <w:bottom w:w="0" w:type="dxa"/>
            <w:right w:w="108" w:type="dxa"/>
          </w:tblCellMar>
        </w:tblPrEx>
        <w:trPr>
          <w:trHeight w:val="489"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财政拨款支出决算明细表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4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24"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36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47" w:type="pct"/>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24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64"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4"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724"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66"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2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134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9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347.13</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74.83</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74.83</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59.47</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59.47</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伙食补助费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781.41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781.41</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43.99</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手续费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13.25</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专用材料费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被装购置费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专用燃料费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665.35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665.35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663.08</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税金及附加费用</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退职（役）费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抚恤金</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救济费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代缴社会保险费</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其他个人和家庭的补助支出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国内债务付息</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国外债务付息</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国内债务发行费用</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国外债务发行费用</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资本性支出（基本建设）</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30905</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信息网络及软件购置更新</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其他基本建设支出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信息网络及软件购置更新</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土地补偿</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地上附着物和青苗补偿</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拆迁补偿</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对企业补助（基本建设）</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政府投资基金股权投资</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费用补贴</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31205</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利息补贴</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31206</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31302</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对社会保险基金补助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31303</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补充全国社会保障基金</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31304</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对机关事业单位职业年金的补助</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国家赔偿费用支出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对民间非营利组织和群众性自治组织补贴</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经常性赠与</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资本性赠与</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8"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注：本表反映部门本年度财政拨款支出情况。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527"/>
        <w:gridCol w:w="532"/>
        <w:gridCol w:w="3858"/>
        <w:gridCol w:w="2506"/>
        <w:gridCol w:w="2506"/>
        <w:gridCol w:w="2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8" w:type="pct"/>
            <w:gridSpan w:val="4"/>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966"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966" w:type="pct"/>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68" w:type="pct"/>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11"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148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6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11"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48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8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96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48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347.13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251.69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民族事务</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251.69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251.69</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center"/>
        <w:rPr>
          <w:rFonts w:hint="eastAsia"/>
          <w:lang w:eastAsia="zh-CN"/>
        </w:rPr>
      </w:pPr>
      <w:r>
        <w:rPr>
          <w:rFonts w:hint="eastAsia"/>
          <w:lang w:eastAsia="zh-CN"/>
        </w:rPr>
        <w:br w:type="page"/>
      </w:r>
      <w:r>
        <w:rPr>
          <w:rFonts w:hint="eastAsia" w:ascii="宋体" w:hAnsi="宋体" w:eastAsia="宋体" w:cs="宋体"/>
          <w:i w:val="0"/>
          <w:iCs w:val="0"/>
          <w:color w:val="000000"/>
          <w:kern w:val="0"/>
          <w:sz w:val="32"/>
          <w:szCs w:val="32"/>
          <w:u w:val="none"/>
          <w:lang w:val="en-US" w:eastAsia="zh-CN" w:bidi="ar"/>
        </w:rPr>
        <w:t>一般公共预算财政拨款支出决算明细表</w:t>
      </w:r>
    </w:p>
    <w:tbl>
      <w:tblPr>
        <w:tblStyle w:val="16"/>
        <w:tblpPr w:leftFromText="180" w:rightFromText="180" w:vertAnchor="text" w:horzAnchor="page" w:tblpX="11720" w:tblpY="676"/>
        <w:tblOverlap w:val="never"/>
        <w:tblW w:w="27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2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760"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bl>
    <w:p>
      <w:pPr>
        <w:pStyle w:val="8"/>
        <w:rPr>
          <w:rFonts w:hint="eastAsia"/>
          <w:lang w:eastAsia="zh-CN"/>
        </w:rPr>
      </w:pPr>
    </w:p>
    <w:p>
      <w:pPr>
        <w:pStyle w:val="14"/>
        <w:rPr>
          <w:rFonts w:hint="eastAsia"/>
          <w:lang w:eastAsia="zh-CN"/>
        </w:rPr>
      </w:pPr>
    </w:p>
    <w:p>
      <w:pPr>
        <w:rPr>
          <w:rFonts w:hint="eastAsia"/>
          <w:lang w:eastAsia="zh-CN"/>
        </w:rPr>
      </w:pPr>
    </w:p>
    <w:p>
      <w:pPr>
        <w:pStyle w:val="14"/>
        <w:rPr>
          <w:rFonts w:hint="eastAsia"/>
          <w:lang w:eastAsia="zh-CN"/>
        </w:rPr>
      </w:pPr>
    </w:p>
    <w:p>
      <w:pPr>
        <w:pStyle w:val="8"/>
        <w:rPr>
          <w:rFonts w:hint="eastAsia"/>
          <w:lang w:eastAsia="zh-CN"/>
        </w:rPr>
      </w:pP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5"/>
        <w:gridCol w:w="406"/>
        <w:gridCol w:w="406"/>
        <w:gridCol w:w="2707"/>
        <w:gridCol w:w="839"/>
        <w:gridCol w:w="687"/>
        <w:gridCol w:w="609"/>
        <w:gridCol w:w="609"/>
        <w:gridCol w:w="609"/>
        <w:gridCol w:w="530"/>
        <w:gridCol w:w="530"/>
        <w:gridCol w:w="609"/>
        <w:gridCol w:w="609"/>
        <w:gridCol w:w="609"/>
        <w:gridCol w:w="530"/>
        <w:gridCol w:w="530"/>
        <w:gridCol w:w="609"/>
        <w:gridCol w:w="530"/>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92" w:type="pct"/>
            <w:gridSpan w:val="4"/>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917" w:type="pct"/>
            <w:gridSpan w:val="1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65"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65"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8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8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2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1,084.56</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74.83</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59.47</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194.16</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51.73</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59.47</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民族事务</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989.11</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194.16</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51.73</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59.47</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194.16</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51.73</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59.47</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33.03</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6.68</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6.68</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23.10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23.10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pStyle w:val="8"/>
        <w:rPr>
          <w:rFonts w:hint="eastAsia"/>
          <w:lang w:eastAsia="zh-CN"/>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434"/>
        <w:gridCol w:w="434"/>
        <w:gridCol w:w="434"/>
        <w:gridCol w:w="434"/>
        <w:gridCol w:w="434"/>
        <w:gridCol w:w="435"/>
        <w:gridCol w:w="435"/>
        <w:gridCol w:w="435"/>
        <w:gridCol w:w="435"/>
        <w:gridCol w:w="490"/>
        <w:gridCol w:w="614"/>
        <w:gridCol w:w="614"/>
        <w:gridCol w:w="435"/>
        <w:gridCol w:w="490"/>
        <w:gridCol w:w="435"/>
        <w:gridCol w:w="435"/>
        <w:gridCol w:w="435"/>
        <w:gridCol w:w="435"/>
        <w:gridCol w:w="435"/>
        <w:gridCol w:w="490"/>
        <w:gridCol w:w="545"/>
        <w:gridCol w:w="435"/>
        <w:gridCol w:w="435"/>
        <w:gridCol w:w="435"/>
        <w:gridCol w:w="490"/>
        <w:gridCol w:w="435"/>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2"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6"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3"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3"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6"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6"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2"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6"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781.41</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665.35</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781.41</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6.59</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0.50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0.15</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19.25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28.26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665.35</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3.55</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781.41</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6.59</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0.50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0.15</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19.25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28.26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665.35</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3.55</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43.99</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663.08</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rPr>
          <w:rFonts w:hint="eastAsia"/>
          <w:lang w:val="en-US" w:eastAsia="zh-CN"/>
        </w:rPr>
      </w:pPr>
      <w:r>
        <w:rPr>
          <w:rFonts w:hint="eastAsia"/>
          <w:lang w:val="en-US"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996"/>
        <w:gridCol w:w="996"/>
        <w:gridCol w:w="996"/>
        <w:gridCol w:w="996"/>
        <w:gridCol w:w="996"/>
        <w:gridCol w:w="996"/>
        <w:gridCol w:w="996"/>
        <w:gridCol w:w="996"/>
        <w:gridCol w:w="996"/>
        <w:gridCol w:w="997"/>
        <w:gridCol w:w="997"/>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8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8"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int="eastAsia"/>
          <w:lang w:val="en-US" w:eastAsia="zh-CN"/>
        </w:rPr>
      </w:pP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718"/>
        <w:gridCol w:w="718"/>
        <w:gridCol w:w="718"/>
        <w:gridCol w:w="725"/>
        <w:gridCol w:w="718"/>
        <w:gridCol w:w="719"/>
        <w:gridCol w:w="719"/>
        <w:gridCol w:w="719"/>
        <w:gridCol w:w="719"/>
        <w:gridCol w:w="719"/>
        <w:gridCol w:w="719"/>
        <w:gridCol w:w="719"/>
        <w:gridCol w:w="719"/>
        <w:gridCol w:w="719"/>
        <w:gridCol w:w="719"/>
        <w:gridCol w:w="719"/>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88" w:type="pct"/>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611" w:type="pct"/>
            <w:gridSpan w:val="1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资本性支出（基本建设）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国内债务付息</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国外债务付息</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国内债务发行费用</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国外债务发行费用</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其他基本建设支出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8"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77"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80"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pStyle w:val="8"/>
        <w:rPr>
          <w:rFonts w:hint="eastAsia"/>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762"/>
        <w:gridCol w:w="762"/>
        <w:gridCol w:w="762"/>
        <w:gridCol w:w="763"/>
        <w:gridCol w:w="763"/>
        <w:gridCol w:w="763"/>
        <w:gridCol w:w="763"/>
        <w:gridCol w:w="763"/>
        <w:gridCol w:w="763"/>
        <w:gridCol w:w="763"/>
        <w:gridCol w:w="763"/>
        <w:gridCol w:w="763"/>
        <w:gridCol w:w="763"/>
        <w:gridCol w:w="763"/>
        <w:gridCol w:w="763"/>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土地补偿</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安置补助</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拆迁补偿</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94"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pStyle w:val="14"/>
        <w:rPr>
          <w:rFonts w:hint="eastAsia"/>
          <w:lang w:val="en-US" w:eastAsia="zh-CN"/>
        </w:rPr>
      </w:pP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876"/>
        <w:gridCol w:w="884"/>
        <w:gridCol w:w="605"/>
        <w:gridCol w:w="605"/>
        <w:gridCol w:w="605"/>
        <w:gridCol w:w="605"/>
        <w:gridCol w:w="605"/>
        <w:gridCol w:w="605"/>
        <w:gridCol w:w="623"/>
        <w:gridCol w:w="605"/>
        <w:gridCol w:w="605"/>
        <w:gridCol w:w="605"/>
        <w:gridCol w:w="615"/>
        <w:gridCol w:w="605"/>
        <w:gridCol w:w="605"/>
        <w:gridCol w:w="606"/>
        <w:gridCol w:w="606"/>
        <w:gridCol w:w="606"/>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749"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对企业补助（基本建设）</w:t>
            </w:r>
          </w:p>
        </w:tc>
        <w:tc>
          <w:tcPr>
            <w:tcW w:w="1750" w:type="pct"/>
            <w:gridSpan w:val="7"/>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1000"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对社会保障基金补助</w:t>
            </w:r>
          </w:p>
        </w:tc>
        <w:tc>
          <w:tcPr>
            <w:tcW w:w="1500" w:type="pct"/>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资本金注入</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其他对企业补助</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资本金注入</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政府投资基金股权投资</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费用补贴</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利息补贴</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其他资本性补助</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其他对企业补助</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对社会保险基金补助</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补充全国社会保障基金</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对机关事业单位职业年金的补助</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经常性赠与</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资本性赠与</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50"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50"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49"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50" w:type="pc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2792"/>
        <w:gridCol w:w="731"/>
        <w:gridCol w:w="645"/>
        <w:gridCol w:w="1933"/>
        <w:gridCol w:w="645"/>
        <w:gridCol w:w="645"/>
        <w:gridCol w:w="3479"/>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5"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17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488"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17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9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49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665" w:type="pct"/>
            <w:gridSpan w:val="3"/>
            <w:tcBorders>
              <w:top w:val="single" w:color="808080" w:sz="4" w:space="0"/>
              <w:left w:val="single" w:color="808080" w:sz="4" w:space="0"/>
              <w:bottom w:val="single" w:color="80808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34" w:type="pct"/>
            <w:gridSpan w:val="6"/>
            <w:tcBorders>
              <w:top w:val="single" w:color="808080" w:sz="4" w:space="0"/>
              <w:left w:val="single" w:color="000000" w:sz="4" w:space="0"/>
              <w:bottom w:val="single" w:color="808080" w:sz="4" w:space="0"/>
              <w:right w:val="single" w:color="80808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77"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97"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0"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77"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97"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0"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77"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97"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2" w:type="pct"/>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43.99</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58.84</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74.83</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59.47</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资本性支出</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23.65</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490"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303.14</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0" w:type="pct"/>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49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480"/>
        <w:gridCol w:w="485"/>
        <w:gridCol w:w="4395"/>
        <w:gridCol w:w="3557"/>
        <w:gridCol w:w="3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一般公共预算财政拨款项目支出决算表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7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51"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1371"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137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57"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9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7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37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5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7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7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5"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8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8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9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7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7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85"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9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20123</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民族事务</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2012302</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注：本表反映部门本年度一般公共预算财政拨款项目支出情况。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230"/>
        <w:gridCol w:w="1382"/>
        <w:gridCol w:w="1382"/>
        <w:gridCol w:w="1382"/>
        <w:gridCol w:w="1382"/>
        <w:gridCol w:w="1389"/>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pct"/>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5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5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5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5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88"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6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5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670"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5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88"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5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5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5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88"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29"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2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2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6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436"/>
        <w:gridCol w:w="436"/>
        <w:gridCol w:w="1902"/>
        <w:gridCol w:w="1851"/>
        <w:gridCol w:w="1333"/>
        <w:gridCol w:w="1333"/>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16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6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3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1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5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1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531"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71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1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1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1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795"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3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79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3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79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3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461"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注：本表反映部门本年度国有资本经营预算财政拨款收入、支出及结转和结余情况。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7"/>
        <w:gridCol w:w="4254"/>
        <w:gridCol w:w="2466"/>
        <w:gridCol w:w="2466"/>
        <w:gridCol w:w="2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64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95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95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95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3"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95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w:t>
            </w:r>
          </w:p>
        </w:tc>
        <w:tc>
          <w:tcPr>
            <w:tcW w:w="95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95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143"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2856"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03"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4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5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5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0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4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0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4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67"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6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6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4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rPr>
          <w:rFonts w:hint="eastAsia"/>
          <w:lang w:eastAsia="zh-CN"/>
        </w:rPr>
      </w:pPr>
      <w:r>
        <w:rPr>
          <w:rFonts w:hint="eastAsia"/>
          <w:lang w:eastAsia="zh-CN"/>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7"/>
        <w:gridCol w:w="610"/>
        <w:gridCol w:w="408"/>
        <w:gridCol w:w="606"/>
        <w:gridCol w:w="449"/>
        <w:gridCol w:w="622"/>
        <w:gridCol w:w="378"/>
        <w:gridCol w:w="460"/>
        <w:gridCol w:w="408"/>
        <w:gridCol w:w="561"/>
        <w:gridCol w:w="494"/>
        <w:gridCol w:w="622"/>
        <w:gridCol w:w="378"/>
        <w:gridCol w:w="865"/>
        <w:gridCol w:w="378"/>
        <w:gridCol w:w="581"/>
        <w:gridCol w:w="622"/>
        <w:gridCol w:w="622"/>
        <w:gridCol w:w="378"/>
        <w:gridCol w:w="865"/>
        <w:gridCol w:w="378"/>
        <w:gridCol w:w="581"/>
        <w:gridCol w:w="622"/>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2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9" w:type="pct"/>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单位名称：四川省民族地区经济开发中心</w:t>
            </w:r>
          </w:p>
        </w:tc>
        <w:tc>
          <w:tcPr>
            <w:tcW w:w="1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2"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2024年度</w:t>
            </w:r>
          </w:p>
        </w:tc>
        <w:tc>
          <w:tcPr>
            <w:tcW w:w="3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14" w:type="pct"/>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785" w:type="pct"/>
            <w:gridSpan w:val="18"/>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559" w:type="pct"/>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37"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559" w:type="pct"/>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37" w:type="pct"/>
            <w:vMerge w:val="restart"/>
            <w:tcBorders>
              <w:top w:val="nil"/>
              <w:left w:val="nil"/>
              <w:bottom w:val="single" w:color="000000" w:sz="4" w:space="0"/>
              <w:right w:val="nil"/>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316" w:type="pct"/>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其中：一般公共预算财政拨款</w:t>
            </w:r>
          </w:p>
        </w:tc>
        <w:tc>
          <w:tcPr>
            <w:tcW w:w="1351" w:type="pct"/>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4"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7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6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37"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18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237" w:type="pct"/>
            <w:vMerge w:val="continue"/>
            <w:tcBorders>
              <w:top w:val="nil"/>
              <w:left w:val="nil"/>
              <w:bottom w:val="single" w:color="000000" w:sz="4" w:space="0"/>
              <w:right w:val="nil"/>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04"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04"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4"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7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47"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7"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7" w:type="pct"/>
            <w:vMerge w:val="continue"/>
            <w:tcBorders>
              <w:top w:val="nil"/>
              <w:left w:val="nil"/>
              <w:bottom w:val="single" w:color="000000" w:sz="4" w:space="0"/>
              <w:right w:val="nil"/>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 w:type="pc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2" w:type="pc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237" w:type="pc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237"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 w:type="pc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2" w:type="pc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237" w:type="pc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32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2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31"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lang w:eastAsia="zh-CN"/>
        </w:rPr>
      </w:pPr>
    </w:p>
    <w:sectPr>
      <w:pgSz w:w="16838" w:h="11906" w:orient="landscape"/>
      <w:pgMar w:top="1587" w:right="2098" w:bottom="1474" w:left="198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hruti">
    <w:altName w:val="AlienCare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lienCaret">
    <w:panose1 w:val="02000500000000000000"/>
    <w:charset w:val="00"/>
    <w:family w:val="auto"/>
    <w:pitch w:val="default"/>
    <w:sig w:usb0="800000A7" w:usb1="5000004A" w:usb2="00000000" w:usb3="00000000" w:csb0="20000111"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-121285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55pt;height:144pt;width:144pt;mso-position-horizontal:outside;mso-position-horizontal-relative:margin;mso-wrap-style:none;z-index:251666432;mso-width-relative:page;mso-height-relative:page;" filled="f" stroked="f" coordsize="21600,21600" o:gfxdata="UEsDBAoAAAAAAIdO4kAAAAAAAAAAAAAAAAAEAAAAZHJzL1BLAwQUAAAACACHTuJAUYBFNt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rf5SBY3hQFX048bIsd&#10;yLqS/wvUP1BLAwQUAAAACACHTuJAYa2EcjMCAABjBAAADgAAAGRycy9lMm9Eb2MueG1srVTNjtMw&#10;EL4j8Q6W7zRt0a6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RgEU21QAAAAgBAAAPAAAAAAAAAAEAIAAAACIAAABkcnMvZG93bnJldi54bWxQ&#10;SwECFAAUAAAACACHTuJAYa2EcjMCAABjBAAADgAAAAAAAAABACAAAAAk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-121285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- 2 -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55pt;height:144pt;width:144pt;mso-position-horizontal:outside;mso-position-horizontal-relative:margin;mso-wrap-style:none;z-index:251660288;mso-width-relative:page;mso-height-relative:page;" filled="f" stroked="f" coordsize="21600,21600" o:gfxdata="UEsDBAoAAAAAAIdO4kAAAAAAAAAAAAAAAAAEAAAAZHJzL1BLAwQUAAAACACHTuJAUYBFNt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rf5SBY3hQFX048bIsd&#10;yLqS/wvUP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YBFNtUAAAAI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- 2 -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-121285</wp:posOffset>
              </wp:positionV>
              <wp:extent cx="841375" cy="2673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4137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- 1 -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55pt;height:21.05pt;width:66.25pt;mso-position-horizontal:outside;mso-position-horizontal-relative:margin;z-index:251662336;mso-width-relative:page;mso-height-relative:page;" filled="f" stroked="f" coordsize="21600,21600" o:gfxdata="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3+Rt91QAAAAcBAAAPAAAAAAAAAAEAIAAAACIAAABkcnMvZG93bnJl&#10;di54bWxQSwECFAAUAAAACACHTuJATBE1XjkCAABjBAAADgAAAAAAAAABACAAAAAkAQAAZHJzL2Uy&#10;b0RvYy54bWxQSwUGAAAAAAYABgBZAQAAzwUAAAAA&#10;">
              <v:fill on="f" focussize="0,0"/>
              <v:stroke on="f" weight="0.5pt"/>
              <v:imagedata o:title=""/>
              <o:lock v:ext="edit" aspectratio="f"/>
              <v:textbox inset="0mm,0mm,0mm,0mm">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- 1 -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-121285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- 2 -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55pt;height:144pt;width:144pt;mso-position-horizontal:outside;mso-position-horizontal-relative:margin;mso-wrap-style:none;z-index:251664384;mso-width-relative:page;mso-height-relative:page;" filled="f" stroked="f" coordsize="21600,21600" o:gfxdata="UEsDBAoAAAAAAIdO4kAAAAAAAAAAAAAAAAAEAAAAZHJzL1BLAwQUAAAACACHTuJAUYBFNt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rf5SBY3hQFX048bIsd&#10;yLqS/wvUP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YBFNtUAAAAI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- 2 -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v:textbox>
            </v:shape>
          </w:pict>
        </mc:Fallback>
      </mc:AlternateContent>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-121285</wp:posOffset>
              </wp:positionV>
              <wp:extent cx="841375" cy="2673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4137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- 1 -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55pt;height:21.05pt;width:66.25pt;mso-position-horizontal:outside;mso-position-horizontal-relative:margin;z-index:251665408;mso-width-relative:page;mso-height-relative:page;" filled="f" stroked="f" coordsize="21600,21600" o:gfxdata="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3+Rt91QAAAAcBAAAPAAAAAAAAAAEAIAAAACIAAABkcnMvZG93bnJl&#10;di54bWxQSwECFAAUAAAACACHTuJAiUdrWjkCAABjBAAADgAAAAAAAAABACAAAAAkAQAAZHJzL2Uy&#10;b0RvYy54bWxQSwUGAAAAAAYABgBZAQAAzwUAAAAA&#10;">
              <v:fill on="f" focussize="0,0"/>
              <v:stroke on="f" weight="0.5pt"/>
              <v:imagedata o:title=""/>
              <o:lock v:ext="edit" aspectratio="f"/>
              <v:textbox inset="0mm,0mm,0mm,0mm">
                <w:txbxContent>
                  <w:p>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- 1 -</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5A793"/>
    <w:multiLevelType w:val="singleLevel"/>
    <w:tmpl w:val="8395A793"/>
    <w:lvl w:ilvl="0" w:tentative="0">
      <w:start w:val="1"/>
      <w:numFmt w:val="chineseCounting"/>
      <w:suff w:val="nothing"/>
      <w:lvlText w:val="%1、"/>
      <w:lvlJc w:val="left"/>
      <w:rPr>
        <w:rFonts w:hint="eastAsia"/>
      </w:rPr>
    </w:lvl>
  </w:abstractNum>
  <w:abstractNum w:abstractNumId="1">
    <w:nsid w:val="76F3EA96"/>
    <w:multiLevelType w:val="singleLevel"/>
    <w:tmpl w:val="76F3EA9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00F1361C"/>
    <w:rsid w:val="000222C6"/>
    <w:rsid w:val="0002549F"/>
    <w:rsid w:val="000468DB"/>
    <w:rsid w:val="0006487A"/>
    <w:rsid w:val="00065F8F"/>
    <w:rsid w:val="00070A43"/>
    <w:rsid w:val="000749E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71FD"/>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17684"/>
    <w:rsid w:val="012670EA"/>
    <w:rsid w:val="012A5EC2"/>
    <w:rsid w:val="015975B8"/>
    <w:rsid w:val="01822573"/>
    <w:rsid w:val="018C11B6"/>
    <w:rsid w:val="02074A57"/>
    <w:rsid w:val="025F0B06"/>
    <w:rsid w:val="026223A4"/>
    <w:rsid w:val="02A12ECC"/>
    <w:rsid w:val="02A824AD"/>
    <w:rsid w:val="02DE5ECF"/>
    <w:rsid w:val="02F079B0"/>
    <w:rsid w:val="02FEBE30"/>
    <w:rsid w:val="034A6162"/>
    <w:rsid w:val="034B24F2"/>
    <w:rsid w:val="035418DD"/>
    <w:rsid w:val="03595555"/>
    <w:rsid w:val="039C3694"/>
    <w:rsid w:val="03A03184"/>
    <w:rsid w:val="04916F1E"/>
    <w:rsid w:val="04B36EE7"/>
    <w:rsid w:val="04CC1D57"/>
    <w:rsid w:val="052038B1"/>
    <w:rsid w:val="0532605E"/>
    <w:rsid w:val="054144F3"/>
    <w:rsid w:val="0580501B"/>
    <w:rsid w:val="05A52CD4"/>
    <w:rsid w:val="05E27A84"/>
    <w:rsid w:val="05EF03F3"/>
    <w:rsid w:val="060C2D53"/>
    <w:rsid w:val="061E35DE"/>
    <w:rsid w:val="062B705F"/>
    <w:rsid w:val="062C552C"/>
    <w:rsid w:val="066E0107"/>
    <w:rsid w:val="06B411BA"/>
    <w:rsid w:val="07462294"/>
    <w:rsid w:val="07943000"/>
    <w:rsid w:val="0797664C"/>
    <w:rsid w:val="07996F6E"/>
    <w:rsid w:val="079E00C6"/>
    <w:rsid w:val="07DFD8BA"/>
    <w:rsid w:val="0822060B"/>
    <w:rsid w:val="083B4AD6"/>
    <w:rsid w:val="08D13DE0"/>
    <w:rsid w:val="08DA4461"/>
    <w:rsid w:val="09867E8F"/>
    <w:rsid w:val="0995305F"/>
    <w:rsid w:val="09B72FD5"/>
    <w:rsid w:val="0A051BCB"/>
    <w:rsid w:val="0A195A3E"/>
    <w:rsid w:val="0A2032A3"/>
    <w:rsid w:val="0A342878"/>
    <w:rsid w:val="0A477BED"/>
    <w:rsid w:val="0A8C4462"/>
    <w:rsid w:val="0A913826"/>
    <w:rsid w:val="0AD4074E"/>
    <w:rsid w:val="0B163D2C"/>
    <w:rsid w:val="0B4453CD"/>
    <w:rsid w:val="0B5331D2"/>
    <w:rsid w:val="0BA852CC"/>
    <w:rsid w:val="0C590374"/>
    <w:rsid w:val="0C7B478E"/>
    <w:rsid w:val="0CA8290A"/>
    <w:rsid w:val="0CF40AA0"/>
    <w:rsid w:val="0CFD680C"/>
    <w:rsid w:val="0D2546FA"/>
    <w:rsid w:val="0D3112F1"/>
    <w:rsid w:val="0D35B1ED"/>
    <w:rsid w:val="0D5A4B6F"/>
    <w:rsid w:val="0D7511DD"/>
    <w:rsid w:val="0D8E6743"/>
    <w:rsid w:val="0E121122"/>
    <w:rsid w:val="0E254B6B"/>
    <w:rsid w:val="0E4312DC"/>
    <w:rsid w:val="0E794CFD"/>
    <w:rsid w:val="0EBB3568"/>
    <w:rsid w:val="0ED4462A"/>
    <w:rsid w:val="0F1467D4"/>
    <w:rsid w:val="0F98263C"/>
    <w:rsid w:val="0FB51D65"/>
    <w:rsid w:val="0FBF2BE4"/>
    <w:rsid w:val="0FDC5544"/>
    <w:rsid w:val="0FDD306A"/>
    <w:rsid w:val="101860EC"/>
    <w:rsid w:val="101D790A"/>
    <w:rsid w:val="101F47CC"/>
    <w:rsid w:val="106317C1"/>
    <w:rsid w:val="107B4C2B"/>
    <w:rsid w:val="10B14C22"/>
    <w:rsid w:val="10BC5375"/>
    <w:rsid w:val="10C055FF"/>
    <w:rsid w:val="11694EBD"/>
    <w:rsid w:val="11772AA4"/>
    <w:rsid w:val="118107EC"/>
    <w:rsid w:val="11CE35B2"/>
    <w:rsid w:val="126B2BAF"/>
    <w:rsid w:val="12713FFF"/>
    <w:rsid w:val="12CF49D4"/>
    <w:rsid w:val="12E24EE2"/>
    <w:rsid w:val="12EC0194"/>
    <w:rsid w:val="133E6515"/>
    <w:rsid w:val="136202C9"/>
    <w:rsid w:val="13693E46"/>
    <w:rsid w:val="136A730B"/>
    <w:rsid w:val="1384217A"/>
    <w:rsid w:val="13BD5E5A"/>
    <w:rsid w:val="13CB0BF4"/>
    <w:rsid w:val="13D50BC4"/>
    <w:rsid w:val="13EE1CEA"/>
    <w:rsid w:val="14B17F78"/>
    <w:rsid w:val="14DE3B0C"/>
    <w:rsid w:val="14DF145A"/>
    <w:rsid w:val="15AE7982"/>
    <w:rsid w:val="15C42D02"/>
    <w:rsid w:val="15CC70C4"/>
    <w:rsid w:val="15CE3B81"/>
    <w:rsid w:val="161B48EC"/>
    <w:rsid w:val="165E0673"/>
    <w:rsid w:val="16B831D5"/>
    <w:rsid w:val="16BB723D"/>
    <w:rsid w:val="16C94348"/>
    <w:rsid w:val="16DE7DF3"/>
    <w:rsid w:val="17237EFC"/>
    <w:rsid w:val="17E50567"/>
    <w:rsid w:val="180B10BC"/>
    <w:rsid w:val="182061EA"/>
    <w:rsid w:val="18602A8A"/>
    <w:rsid w:val="18610CDC"/>
    <w:rsid w:val="186504BB"/>
    <w:rsid w:val="188C387F"/>
    <w:rsid w:val="18D47700"/>
    <w:rsid w:val="199724DC"/>
    <w:rsid w:val="19A445FC"/>
    <w:rsid w:val="19FE255B"/>
    <w:rsid w:val="1A497C7A"/>
    <w:rsid w:val="1A646862"/>
    <w:rsid w:val="1A8B62C4"/>
    <w:rsid w:val="1A9829AF"/>
    <w:rsid w:val="1A98650B"/>
    <w:rsid w:val="1B2B737F"/>
    <w:rsid w:val="1B4A3CA9"/>
    <w:rsid w:val="1B9C202B"/>
    <w:rsid w:val="1BC62475"/>
    <w:rsid w:val="1BE8440E"/>
    <w:rsid w:val="1C3404B6"/>
    <w:rsid w:val="1C774562"/>
    <w:rsid w:val="1C9351F9"/>
    <w:rsid w:val="1C9378D2"/>
    <w:rsid w:val="1C9F3FF1"/>
    <w:rsid w:val="1CED6FE2"/>
    <w:rsid w:val="1CFC5477"/>
    <w:rsid w:val="1D155CEE"/>
    <w:rsid w:val="1D1638FE"/>
    <w:rsid w:val="1D4D182F"/>
    <w:rsid w:val="1D8411E0"/>
    <w:rsid w:val="1D8A4831"/>
    <w:rsid w:val="1D943902"/>
    <w:rsid w:val="1DC85359"/>
    <w:rsid w:val="1E14059F"/>
    <w:rsid w:val="1E1A5A9D"/>
    <w:rsid w:val="1E312DEB"/>
    <w:rsid w:val="1E740ACF"/>
    <w:rsid w:val="1E7B23CC"/>
    <w:rsid w:val="1EA77665"/>
    <w:rsid w:val="1EAB0F03"/>
    <w:rsid w:val="1EFF2FFD"/>
    <w:rsid w:val="1F067C7E"/>
    <w:rsid w:val="1F10520A"/>
    <w:rsid w:val="1F6812CD"/>
    <w:rsid w:val="1FF35744"/>
    <w:rsid w:val="1FF6BC77"/>
    <w:rsid w:val="2011428E"/>
    <w:rsid w:val="20AF5164"/>
    <w:rsid w:val="20B971DB"/>
    <w:rsid w:val="20FD17BE"/>
    <w:rsid w:val="213B2D65"/>
    <w:rsid w:val="218477E9"/>
    <w:rsid w:val="2186353C"/>
    <w:rsid w:val="222F3627"/>
    <w:rsid w:val="22AE1C1B"/>
    <w:rsid w:val="230E0D87"/>
    <w:rsid w:val="231B5F2B"/>
    <w:rsid w:val="233D2346"/>
    <w:rsid w:val="2366364A"/>
    <w:rsid w:val="236D2C2B"/>
    <w:rsid w:val="236E0751"/>
    <w:rsid w:val="237A70F6"/>
    <w:rsid w:val="23825FAA"/>
    <w:rsid w:val="23860B96"/>
    <w:rsid w:val="239B0E1A"/>
    <w:rsid w:val="23A20EDD"/>
    <w:rsid w:val="23A71402"/>
    <w:rsid w:val="23AB5501"/>
    <w:rsid w:val="23B1063E"/>
    <w:rsid w:val="23DA7B95"/>
    <w:rsid w:val="240371BF"/>
    <w:rsid w:val="241437AF"/>
    <w:rsid w:val="241E3F25"/>
    <w:rsid w:val="244F3473"/>
    <w:rsid w:val="248A5117"/>
    <w:rsid w:val="249B37C8"/>
    <w:rsid w:val="24B02C6C"/>
    <w:rsid w:val="24C97D99"/>
    <w:rsid w:val="24CE259C"/>
    <w:rsid w:val="24FA6740"/>
    <w:rsid w:val="25290DD3"/>
    <w:rsid w:val="25501529"/>
    <w:rsid w:val="25975E02"/>
    <w:rsid w:val="259A75DB"/>
    <w:rsid w:val="25A718F0"/>
    <w:rsid w:val="25BB59F6"/>
    <w:rsid w:val="25C24D84"/>
    <w:rsid w:val="25DF5936"/>
    <w:rsid w:val="260F557C"/>
    <w:rsid w:val="261849A4"/>
    <w:rsid w:val="2657371E"/>
    <w:rsid w:val="26591245"/>
    <w:rsid w:val="26970054"/>
    <w:rsid w:val="27280C17"/>
    <w:rsid w:val="273113E8"/>
    <w:rsid w:val="273F48DE"/>
    <w:rsid w:val="276205CD"/>
    <w:rsid w:val="27846795"/>
    <w:rsid w:val="279E59D1"/>
    <w:rsid w:val="27B5694E"/>
    <w:rsid w:val="27E014F2"/>
    <w:rsid w:val="27FA25B3"/>
    <w:rsid w:val="281408E2"/>
    <w:rsid w:val="282B6C11"/>
    <w:rsid w:val="28433F5A"/>
    <w:rsid w:val="28B22E8E"/>
    <w:rsid w:val="291476A5"/>
    <w:rsid w:val="295D54F0"/>
    <w:rsid w:val="296E1A34"/>
    <w:rsid w:val="29802F8C"/>
    <w:rsid w:val="29F37C02"/>
    <w:rsid w:val="29FD04D3"/>
    <w:rsid w:val="2A465F84"/>
    <w:rsid w:val="2A8B3997"/>
    <w:rsid w:val="2ADC3E28"/>
    <w:rsid w:val="2B0F45C8"/>
    <w:rsid w:val="2B177920"/>
    <w:rsid w:val="2B2B19E0"/>
    <w:rsid w:val="2B34402E"/>
    <w:rsid w:val="2BCC070B"/>
    <w:rsid w:val="2BFF7BC6"/>
    <w:rsid w:val="2C324A12"/>
    <w:rsid w:val="2C3A5674"/>
    <w:rsid w:val="2C3F0EDD"/>
    <w:rsid w:val="2C714E0E"/>
    <w:rsid w:val="2C8A61B5"/>
    <w:rsid w:val="2CDC2894"/>
    <w:rsid w:val="2D0363AE"/>
    <w:rsid w:val="2D23435A"/>
    <w:rsid w:val="2D502C75"/>
    <w:rsid w:val="2D7352E2"/>
    <w:rsid w:val="2D9214E0"/>
    <w:rsid w:val="2D9B65E7"/>
    <w:rsid w:val="2DD92C6B"/>
    <w:rsid w:val="2DF04E50"/>
    <w:rsid w:val="2E275878"/>
    <w:rsid w:val="2E4F31A1"/>
    <w:rsid w:val="2E586DFA"/>
    <w:rsid w:val="2EB37960"/>
    <w:rsid w:val="2EF266DA"/>
    <w:rsid w:val="2F040D46"/>
    <w:rsid w:val="2F195A15"/>
    <w:rsid w:val="2F2A5E74"/>
    <w:rsid w:val="2F3A598B"/>
    <w:rsid w:val="2F3D52F6"/>
    <w:rsid w:val="2F542EF1"/>
    <w:rsid w:val="2F6B035B"/>
    <w:rsid w:val="2F713AA3"/>
    <w:rsid w:val="2FA774C5"/>
    <w:rsid w:val="2FAE5751"/>
    <w:rsid w:val="2FB1A395"/>
    <w:rsid w:val="2FD9A7D8"/>
    <w:rsid w:val="2FDBF714"/>
    <w:rsid w:val="2FEF49C8"/>
    <w:rsid w:val="30AB6865"/>
    <w:rsid w:val="30E67B79"/>
    <w:rsid w:val="310E5321"/>
    <w:rsid w:val="314825E1"/>
    <w:rsid w:val="31554CFE"/>
    <w:rsid w:val="3174713F"/>
    <w:rsid w:val="31801811"/>
    <w:rsid w:val="319F7F4E"/>
    <w:rsid w:val="31AB491E"/>
    <w:rsid w:val="31AD1ACB"/>
    <w:rsid w:val="31ED3189"/>
    <w:rsid w:val="32472899"/>
    <w:rsid w:val="324A3757"/>
    <w:rsid w:val="32737B32"/>
    <w:rsid w:val="32BD1EF1"/>
    <w:rsid w:val="32E75E2A"/>
    <w:rsid w:val="3304709D"/>
    <w:rsid w:val="33501A8D"/>
    <w:rsid w:val="33631B0F"/>
    <w:rsid w:val="33723946"/>
    <w:rsid w:val="33A773CB"/>
    <w:rsid w:val="33B43F5E"/>
    <w:rsid w:val="340071A3"/>
    <w:rsid w:val="349D6851"/>
    <w:rsid w:val="34F34F5A"/>
    <w:rsid w:val="35154ED0"/>
    <w:rsid w:val="351647A5"/>
    <w:rsid w:val="35FE3BB6"/>
    <w:rsid w:val="360311CD"/>
    <w:rsid w:val="3608357B"/>
    <w:rsid w:val="361231BE"/>
    <w:rsid w:val="36AA5135"/>
    <w:rsid w:val="36BE0DA7"/>
    <w:rsid w:val="36DF7544"/>
    <w:rsid w:val="372300AF"/>
    <w:rsid w:val="37441A9D"/>
    <w:rsid w:val="376B6AA6"/>
    <w:rsid w:val="376D39B2"/>
    <w:rsid w:val="37865C12"/>
    <w:rsid w:val="379308C3"/>
    <w:rsid w:val="37E16F03"/>
    <w:rsid w:val="37F53A3B"/>
    <w:rsid w:val="38044D88"/>
    <w:rsid w:val="389B6C89"/>
    <w:rsid w:val="38B60778"/>
    <w:rsid w:val="38C764E2"/>
    <w:rsid w:val="38D469F0"/>
    <w:rsid w:val="38D66725"/>
    <w:rsid w:val="39023408"/>
    <w:rsid w:val="395C1320"/>
    <w:rsid w:val="39627CCD"/>
    <w:rsid w:val="397BAF1F"/>
    <w:rsid w:val="39B32F0A"/>
    <w:rsid w:val="39CA4CB2"/>
    <w:rsid w:val="39F03816"/>
    <w:rsid w:val="3A496E3B"/>
    <w:rsid w:val="3AA60379"/>
    <w:rsid w:val="3AB111F7"/>
    <w:rsid w:val="3AB79AF3"/>
    <w:rsid w:val="3AC70A1B"/>
    <w:rsid w:val="3ADB44C6"/>
    <w:rsid w:val="3AE834C0"/>
    <w:rsid w:val="3AED5FA8"/>
    <w:rsid w:val="3B0B3FA2"/>
    <w:rsid w:val="3B141786"/>
    <w:rsid w:val="3B351E28"/>
    <w:rsid w:val="3B5D137F"/>
    <w:rsid w:val="3B7D732B"/>
    <w:rsid w:val="3B7EF35A"/>
    <w:rsid w:val="3B897F4E"/>
    <w:rsid w:val="3B9FDB6C"/>
    <w:rsid w:val="3BA40D5C"/>
    <w:rsid w:val="3BC1190E"/>
    <w:rsid w:val="3BEB0739"/>
    <w:rsid w:val="3BEE647B"/>
    <w:rsid w:val="3BF5BC2F"/>
    <w:rsid w:val="3C103A96"/>
    <w:rsid w:val="3C1E0B0E"/>
    <w:rsid w:val="3C553E04"/>
    <w:rsid w:val="3CB74ABF"/>
    <w:rsid w:val="3CB7686D"/>
    <w:rsid w:val="3CEBA265"/>
    <w:rsid w:val="3D1E069A"/>
    <w:rsid w:val="3D2263DC"/>
    <w:rsid w:val="3D2C2DB7"/>
    <w:rsid w:val="3D98207C"/>
    <w:rsid w:val="3DA45043"/>
    <w:rsid w:val="3DC54FBA"/>
    <w:rsid w:val="3DEE7CF3"/>
    <w:rsid w:val="3E042481"/>
    <w:rsid w:val="3E263C6B"/>
    <w:rsid w:val="3E546A69"/>
    <w:rsid w:val="3E62374B"/>
    <w:rsid w:val="3E740A63"/>
    <w:rsid w:val="3E78745D"/>
    <w:rsid w:val="3ECA2888"/>
    <w:rsid w:val="3ECA28DD"/>
    <w:rsid w:val="3ED100BA"/>
    <w:rsid w:val="3EE17838"/>
    <w:rsid w:val="3EE6168C"/>
    <w:rsid w:val="3F0062A9"/>
    <w:rsid w:val="3F050055"/>
    <w:rsid w:val="3F161F71"/>
    <w:rsid w:val="3F4F7231"/>
    <w:rsid w:val="3F55381A"/>
    <w:rsid w:val="3F6C1B91"/>
    <w:rsid w:val="3F7F7599"/>
    <w:rsid w:val="3FBB6674"/>
    <w:rsid w:val="3FC01DCD"/>
    <w:rsid w:val="3FC27A03"/>
    <w:rsid w:val="3FDD4184"/>
    <w:rsid w:val="3FF4CAE0"/>
    <w:rsid w:val="3FF7B227"/>
    <w:rsid w:val="40CB5BF1"/>
    <w:rsid w:val="40DC03C8"/>
    <w:rsid w:val="40DC6E17"/>
    <w:rsid w:val="40E85247"/>
    <w:rsid w:val="411C3143"/>
    <w:rsid w:val="414A7205"/>
    <w:rsid w:val="41C50565"/>
    <w:rsid w:val="42785FB7"/>
    <w:rsid w:val="42D31F27"/>
    <w:rsid w:val="42E15EFC"/>
    <w:rsid w:val="42E87780"/>
    <w:rsid w:val="43120CA1"/>
    <w:rsid w:val="432D5ADB"/>
    <w:rsid w:val="436A63E7"/>
    <w:rsid w:val="436D4129"/>
    <w:rsid w:val="43911BC6"/>
    <w:rsid w:val="43F13A06"/>
    <w:rsid w:val="44242A3A"/>
    <w:rsid w:val="445552E9"/>
    <w:rsid w:val="445C1823"/>
    <w:rsid w:val="44676DCB"/>
    <w:rsid w:val="449A0F4E"/>
    <w:rsid w:val="44C63AF1"/>
    <w:rsid w:val="44DC50C3"/>
    <w:rsid w:val="44E268DA"/>
    <w:rsid w:val="44E73A68"/>
    <w:rsid w:val="44EC107E"/>
    <w:rsid w:val="450D13D7"/>
    <w:rsid w:val="452B604A"/>
    <w:rsid w:val="45482CDA"/>
    <w:rsid w:val="45506656"/>
    <w:rsid w:val="45735547"/>
    <w:rsid w:val="4582210E"/>
    <w:rsid w:val="45982F5F"/>
    <w:rsid w:val="45A71B75"/>
    <w:rsid w:val="45B549B8"/>
    <w:rsid w:val="45D24718"/>
    <w:rsid w:val="46130FB8"/>
    <w:rsid w:val="462036D5"/>
    <w:rsid w:val="462211FB"/>
    <w:rsid w:val="46333408"/>
    <w:rsid w:val="46696E2A"/>
    <w:rsid w:val="46B75DE7"/>
    <w:rsid w:val="46BF2EEE"/>
    <w:rsid w:val="46D87B0C"/>
    <w:rsid w:val="47615D53"/>
    <w:rsid w:val="476450CC"/>
    <w:rsid w:val="47985EF4"/>
    <w:rsid w:val="47D66741"/>
    <w:rsid w:val="47FD5DF2"/>
    <w:rsid w:val="48435459"/>
    <w:rsid w:val="48457423"/>
    <w:rsid w:val="48693111"/>
    <w:rsid w:val="486A6C7A"/>
    <w:rsid w:val="486F624E"/>
    <w:rsid w:val="48BD345D"/>
    <w:rsid w:val="49575660"/>
    <w:rsid w:val="49712F73"/>
    <w:rsid w:val="49724248"/>
    <w:rsid w:val="49885887"/>
    <w:rsid w:val="49F72B9B"/>
    <w:rsid w:val="4A627F82"/>
    <w:rsid w:val="4AA77F21"/>
    <w:rsid w:val="4AA91EEB"/>
    <w:rsid w:val="4B0E749A"/>
    <w:rsid w:val="4B2477C4"/>
    <w:rsid w:val="4B4F25DA"/>
    <w:rsid w:val="4B7F49FA"/>
    <w:rsid w:val="4BA15CE6"/>
    <w:rsid w:val="4BE068DB"/>
    <w:rsid w:val="4C324162"/>
    <w:rsid w:val="4C60482B"/>
    <w:rsid w:val="4C7B1665"/>
    <w:rsid w:val="4CA60154"/>
    <w:rsid w:val="4D027691"/>
    <w:rsid w:val="4D50664E"/>
    <w:rsid w:val="4D577224"/>
    <w:rsid w:val="4DBF1CEB"/>
    <w:rsid w:val="4DF0007C"/>
    <w:rsid w:val="4DF01BDF"/>
    <w:rsid w:val="4E2B70BB"/>
    <w:rsid w:val="4E3E294A"/>
    <w:rsid w:val="4E992290"/>
    <w:rsid w:val="4EAA7FE0"/>
    <w:rsid w:val="4EAB630A"/>
    <w:rsid w:val="4ECE2238"/>
    <w:rsid w:val="4EE31744"/>
    <w:rsid w:val="4F5A7C58"/>
    <w:rsid w:val="4F833267"/>
    <w:rsid w:val="4FAC7D88"/>
    <w:rsid w:val="4FE655F5"/>
    <w:rsid w:val="4FE9BD67"/>
    <w:rsid w:val="4FEA4767"/>
    <w:rsid w:val="4FF05EC6"/>
    <w:rsid w:val="4FFB052F"/>
    <w:rsid w:val="50334005"/>
    <w:rsid w:val="508F1B83"/>
    <w:rsid w:val="50AF7F64"/>
    <w:rsid w:val="50CD0660"/>
    <w:rsid w:val="5130487F"/>
    <w:rsid w:val="513149E8"/>
    <w:rsid w:val="51842D6A"/>
    <w:rsid w:val="522B1438"/>
    <w:rsid w:val="524F15CA"/>
    <w:rsid w:val="52595776"/>
    <w:rsid w:val="527B150D"/>
    <w:rsid w:val="52C8137C"/>
    <w:rsid w:val="530103EA"/>
    <w:rsid w:val="532E3BC0"/>
    <w:rsid w:val="537E6D0A"/>
    <w:rsid w:val="53871B01"/>
    <w:rsid w:val="53D54CD3"/>
    <w:rsid w:val="53F02939"/>
    <w:rsid w:val="53F74C96"/>
    <w:rsid w:val="546A2608"/>
    <w:rsid w:val="55170BA8"/>
    <w:rsid w:val="553218C9"/>
    <w:rsid w:val="5540344C"/>
    <w:rsid w:val="554A7E27"/>
    <w:rsid w:val="554F368F"/>
    <w:rsid w:val="55540CA5"/>
    <w:rsid w:val="557C1FAA"/>
    <w:rsid w:val="55825812"/>
    <w:rsid w:val="55C776C9"/>
    <w:rsid w:val="56293EE0"/>
    <w:rsid w:val="56614179"/>
    <w:rsid w:val="566C4F24"/>
    <w:rsid w:val="567E1AA5"/>
    <w:rsid w:val="56C3159C"/>
    <w:rsid w:val="56C71C3F"/>
    <w:rsid w:val="56E47B74"/>
    <w:rsid w:val="57144B90"/>
    <w:rsid w:val="57175D52"/>
    <w:rsid w:val="57877110"/>
    <w:rsid w:val="57BD3DD4"/>
    <w:rsid w:val="57BE32CF"/>
    <w:rsid w:val="5831588C"/>
    <w:rsid w:val="58670CF0"/>
    <w:rsid w:val="589A5311"/>
    <w:rsid w:val="58A9755A"/>
    <w:rsid w:val="58DA2985"/>
    <w:rsid w:val="58EB36CF"/>
    <w:rsid w:val="593257A1"/>
    <w:rsid w:val="594D4389"/>
    <w:rsid w:val="597C07CB"/>
    <w:rsid w:val="597D4C6F"/>
    <w:rsid w:val="59BB7545"/>
    <w:rsid w:val="5A046138"/>
    <w:rsid w:val="5A296BA4"/>
    <w:rsid w:val="5A3F0176"/>
    <w:rsid w:val="5A67147B"/>
    <w:rsid w:val="5A85561B"/>
    <w:rsid w:val="5A897643"/>
    <w:rsid w:val="5AA601F5"/>
    <w:rsid w:val="5AF92295"/>
    <w:rsid w:val="5B250254"/>
    <w:rsid w:val="5BCF3F2F"/>
    <w:rsid w:val="5BDD79E6"/>
    <w:rsid w:val="5BE31E0F"/>
    <w:rsid w:val="5BE75A38"/>
    <w:rsid w:val="5BF561CA"/>
    <w:rsid w:val="5BFF5DFC"/>
    <w:rsid w:val="5C6739B4"/>
    <w:rsid w:val="5C7165E1"/>
    <w:rsid w:val="5C8005D2"/>
    <w:rsid w:val="5CA93FCD"/>
    <w:rsid w:val="5CD71FC4"/>
    <w:rsid w:val="5CDD2694"/>
    <w:rsid w:val="5D0B2591"/>
    <w:rsid w:val="5D1F11B5"/>
    <w:rsid w:val="5D4A130C"/>
    <w:rsid w:val="5D4E1EAA"/>
    <w:rsid w:val="5D695134"/>
    <w:rsid w:val="5D8A140E"/>
    <w:rsid w:val="5DAE1B18"/>
    <w:rsid w:val="5DE7D9E5"/>
    <w:rsid w:val="5E0564FD"/>
    <w:rsid w:val="5E453881"/>
    <w:rsid w:val="5E56783C"/>
    <w:rsid w:val="5E652175"/>
    <w:rsid w:val="5E736640"/>
    <w:rsid w:val="5ECEC941"/>
    <w:rsid w:val="5F16521D"/>
    <w:rsid w:val="5F2636B2"/>
    <w:rsid w:val="5F610B8F"/>
    <w:rsid w:val="5FAC2176"/>
    <w:rsid w:val="5FBF9FF3"/>
    <w:rsid w:val="5FCD4E2C"/>
    <w:rsid w:val="5FEF394A"/>
    <w:rsid w:val="5FF67715"/>
    <w:rsid w:val="6008100A"/>
    <w:rsid w:val="600D03CE"/>
    <w:rsid w:val="60145C01"/>
    <w:rsid w:val="60253C2B"/>
    <w:rsid w:val="6028345A"/>
    <w:rsid w:val="60787F3E"/>
    <w:rsid w:val="61BF394A"/>
    <w:rsid w:val="622B7232"/>
    <w:rsid w:val="623E788B"/>
    <w:rsid w:val="62BF3928"/>
    <w:rsid w:val="62CA6624"/>
    <w:rsid w:val="62E713AB"/>
    <w:rsid w:val="62F835B8"/>
    <w:rsid w:val="63302D52"/>
    <w:rsid w:val="633F4D43"/>
    <w:rsid w:val="637F3391"/>
    <w:rsid w:val="6381535B"/>
    <w:rsid w:val="63A1155A"/>
    <w:rsid w:val="63B3701E"/>
    <w:rsid w:val="6410048D"/>
    <w:rsid w:val="641A03A6"/>
    <w:rsid w:val="64607554"/>
    <w:rsid w:val="647F5392"/>
    <w:rsid w:val="64CA2D32"/>
    <w:rsid w:val="64DD4813"/>
    <w:rsid w:val="65387C9C"/>
    <w:rsid w:val="65554CF2"/>
    <w:rsid w:val="65652A5B"/>
    <w:rsid w:val="65960E66"/>
    <w:rsid w:val="65E66580"/>
    <w:rsid w:val="660202AA"/>
    <w:rsid w:val="664B1D71"/>
    <w:rsid w:val="664B4E8E"/>
    <w:rsid w:val="665B2BEF"/>
    <w:rsid w:val="666176C6"/>
    <w:rsid w:val="67277B67"/>
    <w:rsid w:val="67550FD9"/>
    <w:rsid w:val="677345AC"/>
    <w:rsid w:val="677376B1"/>
    <w:rsid w:val="67AA3209"/>
    <w:rsid w:val="67B13D35"/>
    <w:rsid w:val="67DC5256"/>
    <w:rsid w:val="685F7C35"/>
    <w:rsid w:val="6888024C"/>
    <w:rsid w:val="68946C87"/>
    <w:rsid w:val="68A51AEC"/>
    <w:rsid w:val="68A65864"/>
    <w:rsid w:val="68B7537B"/>
    <w:rsid w:val="68D75A1D"/>
    <w:rsid w:val="690507DD"/>
    <w:rsid w:val="690C3919"/>
    <w:rsid w:val="69684BE4"/>
    <w:rsid w:val="698D0931"/>
    <w:rsid w:val="69B72366"/>
    <w:rsid w:val="69B95123"/>
    <w:rsid w:val="69DA7573"/>
    <w:rsid w:val="6A0665BA"/>
    <w:rsid w:val="6A2B6021"/>
    <w:rsid w:val="6A415844"/>
    <w:rsid w:val="6A7FE5F3"/>
    <w:rsid w:val="6AAA163C"/>
    <w:rsid w:val="6AC36259"/>
    <w:rsid w:val="6B053271"/>
    <w:rsid w:val="6BA63807"/>
    <w:rsid w:val="6BDD78B3"/>
    <w:rsid w:val="6C182AD8"/>
    <w:rsid w:val="6C246408"/>
    <w:rsid w:val="6C4A05C8"/>
    <w:rsid w:val="6C5A0E3F"/>
    <w:rsid w:val="6C692E30"/>
    <w:rsid w:val="6C8742B8"/>
    <w:rsid w:val="6C9003BD"/>
    <w:rsid w:val="6C944351"/>
    <w:rsid w:val="6CC4275D"/>
    <w:rsid w:val="6CF03552"/>
    <w:rsid w:val="6D317EC4"/>
    <w:rsid w:val="6D411D30"/>
    <w:rsid w:val="6DB30807"/>
    <w:rsid w:val="6DBF5E93"/>
    <w:rsid w:val="6DC76061"/>
    <w:rsid w:val="6DFF077E"/>
    <w:rsid w:val="6E3336F6"/>
    <w:rsid w:val="6E714EF0"/>
    <w:rsid w:val="6E7E3605"/>
    <w:rsid w:val="6E7FDCC7"/>
    <w:rsid w:val="6EC9405A"/>
    <w:rsid w:val="6ED6A62E"/>
    <w:rsid w:val="6EE00B15"/>
    <w:rsid w:val="6EE90351"/>
    <w:rsid w:val="6F6C3363"/>
    <w:rsid w:val="6F6FB3EB"/>
    <w:rsid w:val="6F8731EA"/>
    <w:rsid w:val="6FC36CFC"/>
    <w:rsid w:val="6FCA008A"/>
    <w:rsid w:val="6FCE6052"/>
    <w:rsid w:val="6FD57C00"/>
    <w:rsid w:val="6FEFFFD8"/>
    <w:rsid w:val="6FF5CC65"/>
    <w:rsid w:val="6FFB077C"/>
    <w:rsid w:val="6FFB47EC"/>
    <w:rsid w:val="6FFF034A"/>
    <w:rsid w:val="702E0619"/>
    <w:rsid w:val="70484440"/>
    <w:rsid w:val="706109EE"/>
    <w:rsid w:val="712A28F1"/>
    <w:rsid w:val="713559D7"/>
    <w:rsid w:val="71381023"/>
    <w:rsid w:val="71593474"/>
    <w:rsid w:val="715C0E4B"/>
    <w:rsid w:val="71777D9E"/>
    <w:rsid w:val="71992E7C"/>
    <w:rsid w:val="71F87130"/>
    <w:rsid w:val="72233669"/>
    <w:rsid w:val="7230071E"/>
    <w:rsid w:val="723637B5"/>
    <w:rsid w:val="723D2D95"/>
    <w:rsid w:val="72734D90"/>
    <w:rsid w:val="72D82ABE"/>
    <w:rsid w:val="72FF629D"/>
    <w:rsid w:val="73155AC0"/>
    <w:rsid w:val="73160E6D"/>
    <w:rsid w:val="7332FE48"/>
    <w:rsid w:val="73781BAB"/>
    <w:rsid w:val="738642C8"/>
    <w:rsid w:val="73AB61DA"/>
    <w:rsid w:val="73AD73D5"/>
    <w:rsid w:val="73B6EB34"/>
    <w:rsid w:val="73FA497D"/>
    <w:rsid w:val="744731E5"/>
    <w:rsid w:val="747F58E7"/>
    <w:rsid w:val="74886A94"/>
    <w:rsid w:val="74895730"/>
    <w:rsid w:val="74B3733F"/>
    <w:rsid w:val="74BBD01D"/>
    <w:rsid w:val="74C031EC"/>
    <w:rsid w:val="74CF1C9F"/>
    <w:rsid w:val="74ED5379"/>
    <w:rsid w:val="74FC0CE6"/>
    <w:rsid w:val="750B0F29"/>
    <w:rsid w:val="7516332D"/>
    <w:rsid w:val="755A1EB0"/>
    <w:rsid w:val="758609FB"/>
    <w:rsid w:val="75994786"/>
    <w:rsid w:val="75DEEEC2"/>
    <w:rsid w:val="75E32345"/>
    <w:rsid w:val="75F419BD"/>
    <w:rsid w:val="76197675"/>
    <w:rsid w:val="76595CC4"/>
    <w:rsid w:val="7662726E"/>
    <w:rsid w:val="76E3355F"/>
    <w:rsid w:val="76E77774"/>
    <w:rsid w:val="76FF5125"/>
    <w:rsid w:val="770E4D00"/>
    <w:rsid w:val="773A5AF5"/>
    <w:rsid w:val="776F6FFA"/>
    <w:rsid w:val="77862AE9"/>
    <w:rsid w:val="778769C8"/>
    <w:rsid w:val="77961E4C"/>
    <w:rsid w:val="779C40BA"/>
    <w:rsid w:val="77A75DCA"/>
    <w:rsid w:val="77C00736"/>
    <w:rsid w:val="77DC22F5"/>
    <w:rsid w:val="78034139"/>
    <w:rsid w:val="78093B6A"/>
    <w:rsid w:val="780D4FB8"/>
    <w:rsid w:val="780F0D30"/>
    <w:rsid w:val="782A3DBC"/>
    <w:rsid w:val="783E271A"/>
    <w:rsid w:val="783F0EE9"/>
    <w:rsid w:val="7855070D"/>
    <w:rsid w:val="78616DE9"/>
    <w:rsid w:val="78743289"/>
    <w:rsid w:val="78911745"/>
    <w:rsid w:val="78D43D28"/>
    <w:rsid w:val="78E875D7"/>
    <w:rsid w:val="79086DAD"/>
    <w:rsid w:val="792C5912"/>
    <w:rsid w:val="797572B9"/>
    <w:rsid w:val="79AF1C7D"/>
    <w:rsid w:val="79B871A5"/>
    <w:rsid w:val="79D7FD79"/>
    <w:rsid w:val="79EE5BA4"/>
    <w:rsid w:val="7A4D1FE3"/>
    <w:rsid w:val="7A894339"/>
    <w:rsid w:val="7AD284E8"/>
    <w:rsid w:val="7AD77D75"/>
    <w:rsid w:val="7ADF7C8D"/>
    <w:rsid w:val="7AFF7572"/>
    <w:rsid w:val="7B1560A0"/>
    <w:rsid w:val="7B452CBB"/>
    <w:rsid w:val="7B6C46EB"/>
    <w:rsid w:val="7B6C7DFB"/>
    <w:rsid w:val="7BBA5457"/>
    <w:rsid w:val="7BBFBED0"/>
    <w:rsid w:val="7BC3E394"/>
    <w:rsid w:val="7BF87D2D"/>
    <w:rsid w:val="7C110220"/>
    <w:rsid w:val="7C1F3737"/>
    <w:rsid w:val="7C2823C0"/>
    <w:rsid w:val="7C594C70"/>
    <w:rsid w:val="7C817D22"/>
    <w:rsid w:val="7C8340AC"/>
    <w:rsid w:val="7CA37C99"/>
    <w:rsid w:val="7CBFC87B"/>
    <w:rsid w:val="7CC06A9D"/>
    <w:rsid w:val="7CFE0F48"/>
    <w:rsid w:val="7D272ABC"/>
    <w:rsid w:val="7D31799A"/>
    <w:rsid w:val="7D3E5C13"/>
    <w:rsid w:val="7D4B0A1C"/>
    <w:rsid w:val="7D5C044C"/>
    <w:rsid w:val="7D7EC23E"/>
    <w:rsid w:val="7DA22646"/>
    <w:rsid w:val="7DC600E3"/>
    <w:rsid w:val="7DDC7906"/>
    <w:rsid w:val="7DE20C95"/>
    <w:rsid w:val="7DF20702"/>
    <w:rsid w:val="7E5A6A7D"/>
    <w:rsid w:val="7E8ADEBF"/>
    <w:rsid w:val="7E977CD1"/>
    <w:rsid w:val="7EC81C39"/>
    <w:rsid w:val="7ED92098"/>
    <w:rsid w:val="7EEF11D3"/>
    <w:rsid w:val="7EFE4840"/>
    <w:rsid w:val="7F0971A6"/>
    <w:rsid w:val="7F166E48"/>
    <w:rsid w:val="7F17632A"/>
    <w:rsid w:val="7F1A4F64"/>
    <w:rsid w:val="7F1D62E7"/>
    <w:rsid w:val="7F3217A8"/>
    <w:rsid w:val="7F3F679B"/>
    <w:rsid w:val="7F4FC4EF"/>
    <w:rsid w:val="7F5E4D54"/>
    <w:rsid w:val="7F6E0135"/>
    <w:rsid w:val="7F79F205"/>
    <w:rsid w:val="7F824029"/>
    <w:rsid w:val="7F8E2E82"/>
    <w:rsid w:val="7FA04963"/>
    <w:rsid w:val="7FA30C79"/>
    <w:rsid w:val="7FA79C44"/>
    <w:rsid w:val="7FAF8ABF"/>
    <w:rsid w:val="7FB7269E"/>
    <w:rsid w:val="7FC96657"/>
    <w:rsid w:val="7FDA9588"/>
    <w:rsid w:val="7FDF220F"/>
    <w:rsid w:val="7FEDC5F7"/>
    <w:rsid w:val="7FEDD9DE"/>
    <w:rsid w:val="7FF5890D"/>
    <w:rsid w:val="7FF8654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 w:type="character" w:customStyle="1" w:styleId="38">
    <w:name w:val="font41"/>
    <w:basedOn w:val="17"/>
    <w:uiPriority w:val="0"/>
    <w:rPr>
      <w:rFonts w:ascii="宋体" w:hAnsi="宋体" w:eastAsia="宋体" w:cs="宋体"/>
      <w:color w:val="000000"/>
      <w:sz w:val="18"/>
      <w:szCs w:val="18"/>
      <w:u w:val="none"/>
    </w:rPr>
  </w:style>
  <w:style w:type="character" w:customStyle="1" w:styleId="39">
    <w:name w:val="font81"/>
    <w:basedOn w:val="17"/>
    <w:uiPriority w:val="0"/>
    <w:rPr>
      <w:rFonts w:ascii="Arial" w:hAnsi="Arial" w:cs="Arial"/>
      <w:color w:val="000000"/>
      <w:sz w:val="18"/>
      <w:szCs w:val="18"/>
      <w:u w:val="none"/>
    </w:rPr>
  </w:style>
  <w:style w:type="character" w:customStyle="1" w:styleId="40">
    <w:name w:val="font91"/>
    <w:basedOn w:val="17"/>
    <w:qFormat/>
    <w:uiPriority w:val="0"/>
    <w:rPr>
      <w:rFonts w:hint="default" w:ascii="Shruti" w:hAnsi="Shruti" w:eastAsia="Shruti" w:cs="Shruti"/>
      <w:color w:val="000000"/>
      <w:sz w:val="12"/>
      <w:szCs w:val="12"/>
      <w:u w:val="none"/>
    </w:rPr>
  </w:style>
  <w:style w:type="character" w:customStyle="1" w:styleId="41">
    <w:name w:val="font71"/>
    <w:basedOn w:val="17"/>
    <w:uiPriority w:val="0"/>
    <w:rPr>
      <w:rFonts w:hint="default" w:ascii="Shruti" w:hAnsi="Shruti" w:eastAsia="Shruti" w:cs="Shruti"/>
      <w:color w:val="000000"/>
      <w:sz w:val="18"/>
      <w:szCs w:val="18"/>
      <w:u w:val="none"/>
    </w:rPr>
  </w:style>
  <w:style w:type="character" w:customStyle="1" w:styleId="4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收入、支出决算总计变动情况图</a:t>
            </a:r>
          </a:p>
        </c:rich>
      </c:tx>
      <c:layout>
        <c:manualLayout>
          <c:xMode val="edge"/>
          <c:yMode val="edge"/>
          <c:x val="0.245349118144479"/>
          <c:y val="0.02018699532511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817.5</c:v>
                </c:pt>
                <c:pt idx="1">
                  <c:v>1084.56</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817.5</c:v>
                </c:pt>
                <c:pt idx="1">
                  <c:v>1084.56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72654081"/>
        <c:axId val="90894833"/>
      </c:barChart>
      <c:catAx>
        <c:axId val="57265408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94833"/>
        <c:crosses val="autoZero"/>
        <c:auto val="1"/>
        <c:lblAlgn val="ctr"/>
        <c:lblOffset val="100"/>
        <c:noMultiLvlLbl val="0"/>
      </c:catAx>
      <c:valAx>
        <c:axId val="9089483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65408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c:v>
                </c:pt>
              </c:strCache>
            </c:strRef>
          </c:cat>
          <c:val>
            <c:numRef>
              <c:f>Sheet1!$B$2</c:f>
              <c:numCache>
                <c:formatCode>General</c:formatCode>
                <c:ptCount val="1"/>
                <c:pt idx="0">
                  <c:v>1084.56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347.13</c:v>
                </c:pt>
                <c:pt idx="1">
                  <c:v>737.42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财政拨款收入总计</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817.5</c:v>
                </c:pt>
                <c:pt idx="1">
                  <c:v>1084.56</c:v>
                </c:pt>
              </c:numCache>
            </c:numRef>
          </c:val>
        </c:ser>
        <c:ser>
          <c:idx val="1"/>
          <c:order val="1"/>
          <c:tx>
            <c:strRef>
              <c:f>Sheet1!$C$1</c:f>
              <c:strCache>
                <c:ptCount val="1"/>
                <c:pt idx="0">
                  <c:v>财政拨款支出总计</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817.5</c:v>
                </c:pt>
                <c:pt idx="1">
                  <c:v>1084.56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62087729"/>
        <c:axId val="144249991"/>
      </c:barChart>
      <c:catAx>
        <c:axId val="6620877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249991"/>
        <c:crosses val="autoZero"/>
        <c:auto val="1"/>
        <c:lblAlgn val="ctr"/>
        <c:lblOffset val="100"/>
        <c:noMultiLvlLbl val="0"/>
      </c:catAx>
      <c:valAx>
        <c:axId val="14424999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087729"/>
        <c:crosses val="autoZero"/>
        <c:crossBetween val="between"/>
      </c:valAx>
      <c:spPr>
        <a:noFill/>
        <a:ln>
          <a:noFill/>
        </a:ln>
        <a:effectLst/>
      </c:spPr>
    </c:plotArea>
    <c:legend>
      <c:legendPos val="b"/>
      <c:legendEntry>
        <c:idx val="2"/>
        <c:delete val="1"/>
      </c:legendEntry>
      <c:layout>
        <c:manualLayout>
          <c:xMode val="edge"/>
          <c:yMode val="edge"/>
          <c:x val="0.252657646774583"/>
          <c:y val="0.9005524861878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40541193525006"/>
          <c:y val="0.0985975350616235"/>
          <c:w val="0.930345494080696"/>
          <c:h val="0.63863153421164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817.5</c:v>
                </c:pt>
                <c:pt idx="1">
                  <c:v>1084.56</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817.5</c:v>
                </c:pt>
                <c:pt idx="1">
                  <c:v>1084.56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457411016"/>
        <c:axId val="530545453"/>
      </c:barChart>
      <c:catAx>
        <c:axId val="4574110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0545453"/>
        <c:crosses val="autoZero"/>
        <c:auto val="1"/>
        <c:lblAlgn val="ctr"/>
        <c:lblOffset val="100"/>
        <c:noMultiLvlLbl val="0"/>
      </c:catAx>
      <c:valAx>
        <c:axId val="53054545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7411016"/>
        <c:crosses val="autoZero"/>
        <c:crossBetween val="between"/>
      </c:valAx>
      <c:spPr>
        <a:noFill/>
        <a:ln>
          <a:noFill/>
        </a:ln>
        <a:effectLst/>
      </c:spPr>
    </c:plotArea>
    <c:legend>
      <c:legendPos val="b"/>
      <c:legendEntry>
        <c:idx val="2"/>
        <c:delete val="1"/>
      </c:legendEntry>
      <c:layout>
        <c:manualLayout>
          <c:xMode val="edge"/>
          <c:yMode val="edge"/>
          <c:x val="0.461645324957719"/>
          <c:y val="0.89290267743306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989.11</c:v>
                </c:pt>
                <c:pt idx="1">
                  <c:v>33.03</c:v>
                </c:pt>
                <c:pt idx="2">
                  <c:v>21.02</c:v>
                </c:pt>
                <c:pt idx="3">
                  <c:v>41.39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3.55</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7355</Words>
  <Characters>8020</Characters>
  <Lines>61</Lines>
  <Paragraphs>17</Paragraphs>
  <TotalTime>4</TotalTime>
  <ScaleCrop>false</ScaleCrop>
  <LinksUpToDate>false</LinksUpToDate>
  <CharactersWithSpaces>9384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吉阿梦：）</cp:lastModifiedBy>
  <cp:lastPrinted>2025-08-06T17:34:00Z</cp:lastPrinted>
  <dcterms:modified xsi:type="dcterms:W3CDTF">2025-08-27T02:48:27Z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04787F2533EB45DC91BCDE4AB213247F</vt:lpwstr>
  </property>
</Properties>
</file>