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highlight w:val="none"/>
        </w:rPr>
      </w:pPr>
      <w:r>
        <w:rPr>
          <w:rFonts w:hint="eastAsia" w:eastAsia="方正小标宋简体" w:cs="Times New Roman"/>
          <w:color w:val="auto"/>
          <w:kern w:val="0"/>
          <w:sz w:val="44"/>
          <w:szCs w:val="44"/>
          <w:lang w:eastAsia="zh-CN"/>
        </w:rPr>
        <w:t>202</w:t>
      </w:r>
      <w:r>
        <w:rPr>
          <w:rFonts w:hint="default" w:eastAsia="方正小标宋简体" w:cs="Times New Roman"/>
          <w:color w:val="auto"/>
          <w:kern w:val="0"/>
          <w:sz w:val="44"/>
          <w:szCs w:val="44"/>
          <w:lang w:val="en" w:eastAsia="zh-CN"/>
        </w:rPr>
        <w:t>6</w:t>
      </w:r>
      <w:r>
        <w:rPr>
          <w:rFonts w:hint="eastAsia" w:eastAsia="方正小标宋简体" w:cs="Times New Roman"/>
          <w:color w:val="auto"/>
          <w:kern w:val="0"/>
          <w:sz w:val="44"/>
          <w:szCs w:val="44"/>
          <w:lang w:eastAsia="zh-CN"/>
        </w:rPr>
        <w:t>年</w:t>
      </w:r>
      <w:r>
        <w:rPr>
          <w:rFonts w:hint="default" w:ascii="Times New Roman" w:hAnsi="Times New Roman" w:eastAsia="方正小标宋简体" w:cs="Times New Roman"/>
          <w:color w:val="auto"/>
          <w:kern w:val="0"/>
          <w:sz w:val="44"/>
          <w:szCs w:val="44"/>
        </w:rPr>
        <w:t>四川省政府</w:t>
      </w:r>
      <w:r>
        <w:rPr>
          <w:rFonts w:hint="eastAsia" w:eastAsia="方正小标宋简体" w:cs="Times New Roman"/>
          <w:color w:val="auto"/>
          <w:kern w:val="0"/>
          <w:sz w:val="44"/>
          <w:szCs w:val="44"/>
          <w:lang w:eastAsia="zh-CN"/>
        </w:rPr>
        <w:t>一般债券（二期）及专项债券（十二至十七期）</w:t>
      </w:r>
      <w:r>
        <w:rPr>
          <w:rFonts w:hint="default" w:ascii="Times New Roman" w:hAnsi="Times New Roman" w:eastAsia="方正小标宋简体" w:cs="Times New Roman"/>
          <w:color w:val="auto"/>
          <w:sz w:val="44"/>
          <w:szCs w:val="44"/>
          <w:highlight w:val="none"/>
        </w:rPr>
        <w:t>信息披露文件</w:t>
      </w:r>
    </w:p>
    <w:p>
      <w:pPr>
        <w:keepNext w:val="0"/>
        <w:keepLines w:val="0"/>
        <w:pageBreakBefore w:val="0"/>
        <w:widowControl w:val="0"/>
        <w:kinsoku/>
        <w:wordWrap/>
        <w:overflowPunct/>
        <w:topLinePunct w:val="0"/>
        <w:autoSpaceDE/>
        <w:autoSpaceDN/>
        <w:bidi w:val="0"/>
        <w:adjustRightInd/>
        <w:snapToGrid w:val="0"/>
        <w:spacing w:line="580" w:lineRule="exact"/>
        <w:ind w:firstLine="576" w:firstLineChars="192"/>
        <w:textAlignment w:val="auto"/>
        <w:outlineLvl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614" w:firstLineChars="192"/>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一、债券概况</w:t>
      </w:r>
      <w:bookmarkStart w:id="0" w:name="_GoBack"/>
      <w:bookmarkEnd w:id="0"/>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（一）基本情况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 w:eastAsia="zh-CN"/>
        </w:rPr>
        <w:t>6</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四川省政府一般债券（二期）及</w:t>
      </w:r>
      <w:r>
        <w:rPr>
          <w:rFonts w:hint="eastAsia" w:ascii="Times New Roman" w:hAnsi="Times New Roman" w:eastAsia="仿宋_GB2312" w:cs="Times New Roman"/>
          <w:color w:val="auto"/>
          <w:sz w:val="32"/>
          <w:szCs w:val="32"/>
          <w:highlight w:val="none"/>
          <w:lang w:val="en-US" w:eastAsia="zh-CN"/>
        </w:rPr>
        <w:t>专项债券（十二至十七期）</w:t>
      </w:r>
      <w:r>
        <w:rPr>
          <w:rFonts w:hint="default" w:ascii="Times New Roman" w:hAnsi="Times New Roman" w:eastAsia="仿宋_GB2312" w:cs="Times New Roman"/>
          <w:color w:val="auto"/>
          <w:sz w:val="32"/>
          <w:szCs w:val="32"/>
          <w:highlight w:val="none"/>
        </w:rPr>
        <w:t>发行总额</w:t>
      </w:r>
      <w:r>
        <w:rPr>
          <w:rFonts w:hint="eastAsia" w:ascii="Times New Roman" w:hAnsi="Times New Roman" w:eastAsia="仿宋_GB2312" w:cs="Times New Roman"/>
          <w:color w:val="auto"/>
          <w:sz w:val="32"/>
          <w:szCs w:val="32"/>
          <w:highlight w:val="none"/>
          <w:lang w:val="en-US" w:eastAsia="zh-CN"/>
        </w:rPr>
        <w:t>254.6008</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全部</w:t>
      </w:r>
      <w:r>
        <w:rPr>
          <w:rFonts w:hint="default" w:ascii="Times New Roman" w:hAnsi="Times New Roman" w:eastAsia="仿宋_GB2312" w:cs="Times New Roman"/>
          <w:color w:val="auto"/>
          <w:sz w:val="32"/>
          <w:szCs w:val="32"/>
        </w:rPr>
        <w:t>为</w:t>
      </w:r>
      <w:r>
        <w:rPr>
          <w:rFonts w:hint="eastAsia" w:ascii="Times New Roman" w:hAnsi="Times New Roman" w:eastAsia="仿宋_GB2312" w:cs="Times New Roman"/>
          <w:color w:val="auto"/>
          <w:sz w:val="32"/>
          <w:szCs w:val="32"/>
          <w:lang w:eastAsia="zh-CN"/>
        </w:rPr>
        <w:t>新增</w:t>
      </w:r>
      <w:r>
        <w:rPr>
          <w:rFonts w:hint="default" w:ascii="Times New Roman" w:hAnsi="Times New Roman" w:eastAsia="仿宋_GB2312" w:cs="Times New Roman"/>
          <w:color w:val="auto"/>
          <w:sz w:val="32"/>
          <w:szCs w:val="32"/>
        </w:rPr>
        <w:t>债券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期限</w:t>
      </w:r>
      <w:r>
        <w:rPr>
          <w:rFonts w:hint="eastAsia" w:ascii="Times New Roman" w:hAnsi="Times New Roman" w:eastAsia="仿宋_GB2312" w:cs="Times New Roman"/>
          <w:color w:val="auto"/>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5年、10年、15年、20年、30年</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5年期</w:t>
      </w:r>
      <w:r>
        <w:rPr>
          <w:rFonts w:hint="default" w:ascii="Times New Roman" w:hAnsi="Times New Roman" w:eastAsia="仿宋_GB2312" w:cs="Times New Roman"/>
          <w:color w:val="auto"/>
          <w:sz w:val="32"/>
          <w:szCs w:val="32"/>
          <w:highlight w:val="none"/>
          <w:lang w:eastAsia="zh-CN"/>
        </w:rPr>
        <w:t>债券利息按年支付</w:t>
      </w:r>
      <w:r>
        <w:rPr>
          <w:rFonts w:hint="eastAsia" w:ascii="Times New Roman" w:hAnsi="Times New Roman" w:eastAsia="仿宋_GB2312" w:cs="Times New Roman"/>
          <w:color w:val="auto"/>
          <w:sz w:val="32"/>
          <w:szCs w:val="32"/>
          <w:highlight w:val="none"/>
          <w:lang w:eastAsia="zh-CN"/>
        </w:rPr>
        <w:t>，其余债券利息按半年支付</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年四川省政府</w:t>
      </w:r>
      <w:r>
        <w:rPr>
          <w:rFonts w:hint="eastAsia" w:ascii="Times New Roman" w:hAnsi="Times New Roman" w:eastAsia="仿宋_GB2312" w:cs="Times New Roman"/>
          <w:color w:val="auto"/>
          <w:sz w:val="32"/>
          <w:szCs w:val="32"/>
          <w:highlight w:val="none"/>
          <w:lang w:val="en-US" w:eastAsia="zh-CN"/>
        </w:rPr>
        <w:t>专项债券（十六期）于2032年至2056年每年4月1日（节假日顺延、下同）偿还本金2600万元（占发行总额的4%），已兑付本金自本金兑付日起不另计利息，其余债券到期后一次性偿还本金并支付最后一次利息。各期</w:t>
      </w:r>
      <w:r>
        <w:rPr>
          <w:rFonts w:hint="default" w:ascii="Times New Roman" w:hAnsi="Times New Roman" w:eastAsia="仿宋_GB2312" w:cs="Times New Roman"/>
          <w:color w:val="auto"/>
          <w:sz w:val="32"/>
          <w:szCs w:val="32"/>
          <w:highlight w:val="none"/>
        </w:rPr>
        <w:t>债券发行后可按规定在全国银行间债券市场和证券交易所债券市场上市流通。</w:t>
      </w:r>
      <w:r>
        <w:rPr>
          <w:rFonts w:hint="eastAsia" w:ascii="Times New Roman" w:hAnsi="Times New Roman" w:eastAsia="仿宋_GB2312" w:cs="Times New Roman"/>
          <w:color w:val="auto"/>
          <w:sz w:val="32"/>
          <w:szCs w:val="32"/>
          <w:highlight w:val="none"/>
          <w:lang w:val="en-US" w:eastAsia="zh-CN"/>
        </w:rPr>
        <w:t>各期</w:t>
      </w:r>
      <w:r>
        <w:rPr>
          <w:rFonts w:hint="default" w:ascii="Times New Roman" w:hAnsi="Times New Roman" w:eastAsia="仿宋_GB2312" w:cs="Times New Roman"/>
          <w:color w:val="auto"/>
          <w:sz w:val="32"/>
          <w:szCs w:val="32"/>
          <w:highlight w:val="none"/>
        </w:rPr>
        <w:t>债券发行后可按规定在全国银行间债券市场和证券交易所债券市场上市流通。各期债券具体情况详见《四川省财政厅关于发行202</w:t>
      </w:r>
      <w:r>
        <w:rPr>
          <w:rFonts w:hint="default" w:ascii="Times New Roman" w:hAnsi="Times New Roman" w:eastAsia="仿宋_GB2312" w:cs="Times New Roman"/>
          <w:color w:val="auto"/>
          <w:sz w:val="32"/>
          <w:szCs w:val="32"/>
          <w:highlight w:val="none"/>
          <w:lang w:val="en"/>
        </w:rPr>
        <w:t>6</w:t>
      </w:r>
      <w:r>
        <w:rPr>
          <w:rFonts w:hint="default" w:ascii="Times New Roman" w:hAnsi="Times New Roman" w:eastAsia="仿宋_GB2312" w:cs="Times New Roman"/>
          <w:color w:val="auto"/>
          <w:sz w:val="32"/>
          <w:szCs w:val="32"/>
          <w:highlight w:val="none"/>
        </w:rPr>
        <w:t>年四川省政府一般债券（二期）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专项债券（</w:t>
      </w:r>
      <w:r>
        <w:rPr>
          <w:rFonts w:hint="eastAsia" w:ascii="Times New Roman" w:hAnsi="Times New Roman" w:eastAsia="仿宋_GB2312" w:cs="Times New Roman"/>
          <w:color w:val="auto"/>
          <w:sz w:val="32"/>
          <w:szCs w:val="32"/>
          <w:highlight w:val="none"/>
          <w:lang w:val="en-US" w:eastAsia="zh-CN"/>
        </w:rPr>
        <w:t>十二至十七期</w:t>
      </w:r>
      <w:r>
        <w:rPr>
          <w:rFonts w:hint="default" w:ascii="Times New Roman" w:hAnsi="Times New Roman" w:eastAsia="仿宋_GB2312" w:cs="Times New Roman"/>
          <w:color w:val="auto"/>
          <w:sz w:val="32"/>
          <w:szCs w:val="32"/>
          <w:highlight w:val="none"/>
        </w:rPr>
        <w:t>）有关事项的通知》。</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（二）发行方式</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default" w:ascii="Times New Roman" w:hAnsi="Times New Roman" w:eastAsia="仿宋_GB2312" w:cs="Times New Roman"/>
          <w:color w:val="auto"/>
          <w:sz w:val="32"/>
          <w:szCs w:val="32"/>
          <w:highlight w:val="none"/>
          <w:lang w:val="en" w:eastAsia="zh-CN"/>
        </w:rPr>
        <w:t>6</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四川省政府一般债券（二期）及</w:t>
      </w:r>
      <w:r>
        <w:rPr>
          <w:rFonts w:hint="eastAsia" w:ascii="Times New Roman" w:hAnsi="Times New Roman" w:eastAsia="仿宋_GB2312" w:cs="Times New Roman"/>
          <w:color w:val="auto"/>
          <w:sz w:val="32"/>
          <w:szCs w:val="32"/>
          <w:highlight w:val="none"/>
          <w:lang w:val="en-US" w:eastAsia="zh-CN"/>
        </w:rPr>
        <w:t>专项债券（十二至十七期）</w:t>
      </w:r>
      <w:r>
        <w:rPr>
          <w:rFonts w:hint="default" w:ascii="Times New Roman" w:hAnsi="Times New Roman" w:eastAsia="仿宋_GB2312" w:cs="Times New Roman"/>
          <w:color w:val="auto"/>
          <w:sz w:val="32"/>
          <w:szCs w:val="32"/>
          <w:highlight w:val="none"/>
        </w:rPr>
        <w:t>通过招标方式发行。</w:t>
      </w:r>
      <w:r>
        <w:rPr>
          <w:rFonts w:hint="default" w:ascii="Times New Roman" w:hAnsi="Times New Roman" w:eastAsia="仿宋_GB2312" w:cs="Times New Roman"/>
          <w:sz w:val="32"/>
          <w:szCs w:val="32"/>
          <w:highlight w:val="none"/>
        </w:rPr>
        <w:t>四川省财政厅于招标日通过财政部</w:t>
      </w:r>
      <w:r>
        <w:rPr>
          <w:rFonts w:hint="eastAsia" w:ascii="Times New Roman" w:hAnsi="Times New Roman" w:eastAsia="仿宋_GB2312" w:cs="Times New Roman"/>
          <w:sz w:val="32"/>
          <w:szCs w:val="32"/>
          <w:highlight w:val="none"/>
          <w:lang w:eastAsia="zh-CN"/>
        </w:rPr>
        <w:t>上海</w:t>
      </w:r>
      <w:r>
        <w:rPr>
          <w:rFonts w:hint="default" w:ascii="Times New Roman" w:hAnsi="Times New Roman" w:eastAsia="仿宋_GB2312" w:cs="Times New Roman"/>
          <w:sz w:val="32"/>
          <w:szCs w:val="32"/>
          <w:highlight w:val="none"/>
        </w:rPr>
        <w:t>证券交易所</w:t>
      </w:r>
      <w:r>
        <w:rPr>
          <w:rFonts w:hint="eastAsia" w:ascii="Times New Roman" w:hAnsi="Times New Roman" w:eastAsia="仿宋_GB2312" w:cs="Times New Roman"/>
          <w:sz w:val="32"/>
          <w:szCs w:val="32"/>
          <w:highlight w:val="none"/>
          <w:lang w:eastAsia="zh-CN"/>
        </w:rPr>
        <w:t>政府</w:t>
      </w:r>
      <w:r>
        <w:rPr>
          <w:rFonts w:hint="default" w:ascii="Times New Roman" w:hAnsi="Times New Roman" w:eastAsia="仿宋_GB2312" w:cs="Times New Roman"/>
          <w:sz w:val="32"/>
          <w:szCs w:val="32"/>
          <w:highlight w:val="none"/>
        </w:rPr>
        <w:t>债券发行系统组织招投标工作，</w:t>
      </w:r>
      <w:r>
        <w:rPr>
          <w:rFonts w:hint="default" w:ascii="Times New Roman" w:hAnsi="Times New Roman" w:eastAsia="仿宋_GB2312" w:cs="Times New Roman"/>
          <w:color w:val="auto"/>
          <w:sz w:val="32"/>
          <w:szCs w:val="32"/>
          <w:highlight w:val="none"/>
        </w:rPr>
        <w:t>参与机构为</w:t>
      </w:r>
      <w:r>
        <w:rPr>
          <w:rFonts w:hint="eastAsia" w:ascii="Times New Roman" w:hAnsi="Times New Roman" w:eastAsia="仿宋_GB2312" w:cs="Times New Roman"/>
          <w:color w:val="auto"/>
          <w:sz w:val="32"/>
          <w:szCs w:val="32"/>
          <w:highlight w:val="none"/>
          <w:lang w:val="en-US" w:eastAsia="zh-CN"/>
        </w:rPr>
        <w:t>2026年</w:t>
      </w:r>
      <w:r>
        <w:rPr>
          <w:rFonts w:hint="default" w:ascii="Times New Roman" w:hAnsi="Times New Roman" w:eastAsia="仿宋_GB2312" w:cs="Times New Roman"/>
          <w:color w:val="auto"/>
          <w:sz w:val="32"/>
          <w:szCs w:val="32"/>
          <w:highlight w:val="none"/>
        </w:rPr>
        <w:t>四川省政府债券承销团成员。招标发行具体安排详见四川省财政厅《关于印发〈四川省政府债券公开招标发行与兑付管理办法〉的通知》《关于印发〈四川省政府债券招标发行规则〉的通知》《四川省财政厅关于发行202</w:t>
      </w:r>
      <w:r>
        <w:rPr>
          <w:rFonts w:hint="default" w:ascii="Times New Roman" w:hAnsi="Times New Roman" w:eastAsia="仿宋_GB2312" w:cs="Times New Roman"/>
          <w:color w:val="auto"/>
          <w:sz w:val="32"/>
          <w:szCs w:val="32"/>
          <w:highlight w:val="none"/>
          <w:lang w:val="en"/>
        </w:rPr>
        <w:t>6</w:t>
      </w:r>
      <w:r>
        <w:rPr>
          <w:rFonts w:hint="default" w:ascii="Times New Roman" w:hAnsi="Times New Roman" w:eastAsia="仿宋_GB2312" w:cs="Times New Roman"/>
          <w:color w:val="auto"/>
          <w:sz w:val="32"/>
          <w:szCs w:val="32"/>
          <w:highlight w:val="none"/>
        </w:rPr>
        <w:t>年四川省政府一般债券（二期）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专项债券（</w:t>
      </w:r>
      <w:r>
        <w:rPr>
          <w:rFonts w:hint="eastAsia" w:ascii="Times New Roman" w:hAnsi="Times New Roman" w:eastAsia="仿宋_GB2312" w:cs="Times New Roman"/>
          <w:color w:val="auto"/>
          <w:sz w:val="32"/>
          <w:szCs w:val="32"/>
          <w:highlight w:val="none"/>
          <w:lang w:val="en-US" w:eastAsia="zh-CN"/>
        </w:rPr>
        <w:t>十二至十七期</w:t>
      </w:r>
      <w:r>
        <w:rPr>
          <w:rFonts w:hint="default" w:ascii="Times New Roman" w:hAnsi="Times New Roman" w:eastAsia="仿宋_GB2312" w:cs="Times New Roman"/>
          <w:color w:val="auto"/>
          <w:sz w:val="32"/>
          <w:szCs w:val="32"/>
          <w:highlight w:val="none"/>
        </w:rPr>
        <w:t>）有关事项的通知》等。</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募集资金投向说明</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outlineLvl w:val="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sz w:val="32"/>
          <w:szCs w:val="32"/>
        </w:rPr>
        <w:t>按照财政部要求，一般债券纳入一般公共预算管理，专项债券纳入政府性基金预算管理。本期一般债券募集资金用于交通基础设施、社会事业等领域。本批新增专项债券（</w:t>
      </w:r>
      <w:r>
        <w:rPr>
          <w:rFonts w:hint="eastAsia" w:ascii="Times New Roman" w:hAnsi="Times New Roman" w:eastAsia="仿宋_GB2312" w:cs="Times New Roman"/>
          <w:color w:val="auto"/>
          <w:sz w:val="32"/>
          <w:szCs w:val="32"/>
          <w:highlight w:val="none"/>
          <w:lang w:val="en-US" w:eastAsia="zh-CN"/>
        </w:rPr>
        <w:t>十二至十七期</w:t>
      </w:r>
      <w:r>
        <w:rPr>
          <w:rFonts w:hint="default" w:ascii="Times New Roman" w:hAnsi="Times New Roman" w:eastAsia="仿宋_GB2312" w:cs="Times New Roman"/>
          <w:sz w:val="32"/>
          <w:szCs w:val="32"/>
        </w:rPr>
        <w:t>）债券项目情况详见附件。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二、信用评级情况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有限公司综合评定，</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default" w:ascii="Times New Roman" w:hAnsi="Times New Roman" w:eastAsia="仿宋_GB2312" w:cs="Times New Roman"/>
          <w:color w:val="auto"/>
          <w:sz w:val="32"/>
          <w:szCs w:val="32"/>
          <w:highlight w:val="none"/>
          <w:lang w:val="en-US" w:eastAsia="zh-CN"/>
        </w:rPr>
        <w:t>一般债券（二期）及</w:t>
      </w:r>
      <w:r>
        <w:rPr>
          <w:rFonts w:hint="eastAsia" w:ascii="Times New Roman" w:hAnsi="Times New Roman" w:eastAsia="仿宋_GB2312" w:cs="Times New Roman"/>
          <w:color w:val="auto"/>
          <w:sz w:val="32"/>
          <w:szCs w:val="32"/>
          <w:highlight w:val="none"/>
          <w:lang w:eastAsia="zh-CN"/>
        </w:rPr>
        <w:t>专项债券</w:t>
      </w:r>
      <w:r>
        <w:rPr>
          <w:rFonts w:hint="eastAsia" w:ascii="Times New Roman" w:hAnsi="Times New Roman" w:eastAsia="仿宋_GB2312" w:cs="Times New Roman"/>
          <w:kern w:val="2"/>
          <w:sz w:val="32"/>
          <w:szCs w:val="32"/>
          <w:lang w:val="en-US" w:eastAsia="zh-CN" w:bidi="ar-SA"/>
        </w:rPr>
        <w:t>（十二至十七期）</w:t>
      </w:r>
      <w:r>
        <w:rPr>
          <w:rFonts w:hint="default" w:ascii="Times New Roman" w:hAnsi="Times New Roman" w:eastAsia="仿宋_GB2312" w:cs="Times New Roman"/>
          <w:color w:val="auto"/>
          <w:sz w:val="32"/>
          <w:szCs w:val="32"/>
          <w:highlight w:val="none"/>
        </w:rPr>
        <w:t>债券信用级别均为AAA。在</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w:t>
      </w:r>
      <w:r>
        <w:rPr>
          <w:rFonts w:hint="default" w:ascii="Times New Roman" w:hAnsi="Times New Roman" w:eastAsia="仿宋_GB2312" w:cs="Times New Roman"/>
          <w:color w:val="auto"/>
          <w:sz w:val="32"/>
          <w:szCs w:val="32"/>
          <w:highlight w:val="none"/>
          <w:lang w:val="en-US" w:eastAsia="zh-CN"/>
        </w:rPr>
        <w:t>一般债券（二期）及</w:t>
      </w:r>
      <w:r>
        <w:rPr>
          <w:rFonts w:hint="eastAsia" w:ascii="Times New Roman" w:hAnsi="Times New Roman" w:eastAsia="仿宋_GB2312" w:cs="Times New Roman"/>
          <w:color w:val="auto"/>
          <w:sz w:val="32"/>
          <w:szCs w:val="32"/>
          <w:highlight w:val="none"/>
          <w:lang w:eastAsia="zh-CN"/>
        </w:rPr>
        <w:t>专项债券</w:t>
      </w:r>
      <w:r>
        <w:rPr>
          <w:rFonts w:hint="eastAsia" w:ascii="Times New Roman" w:hAnsi="Times New Roman" w:eastAsia="仿宋_GB2312" w:cs="Times New Roman"/>
          <w:kern w:val="2"/>
          <w:sz w:val="32"/>
          <w:szCs w:val="32"/>
          <w:lang w:val="en-US" w:eastAsia="zh-CN" w:bidi="ar-SA"/>
        </w:rPr>
        <w:t>（十二至十七期）</w:t>
      </w:r>
      <w:r>
        <w:rPr>
          <w:rFonts w:hint="default" w:ascii="Times New Roman" w:hAnsi="Times New Roman" w:eastAsia="仿宋_GB2312" w:cs="Times New Roman"/>
          <w:color w:val="auto"/>
          <w:sz w:val="32"/>
          <w:szCs w:val="32"/>
          <w:highlight w:val="none"/>
        </w:rPr>
        <w:t>存续期内，四川省财政厅将委托</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有限公司每年开展一次跟踪评级。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三、全省中长期经济规划情况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已经四川省第十三届人民代表大会第四次会议批准。“十四五”时期四川将深入落实习近平总书记对四川工作系列重要指示精神，加快推动成渝地区双城经济圈建设，主动融入以国内大循环为主体、国内国际双循环相互促进的新发展格局，统筹发展和安全，推进治理体系和治理能力现代化，实现经济行稳致远、社会安定和谐。</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十四五”时期，四川经济社会发展的主要目标是：经济持续平稳增长，经济总量再跨上两个万亿台阶、年均增长6%，人均地区生产总值与全国差距进一步缩小，经济结构持续优化，发展质量和效益明显提升。重点领域和关键环节改革取得重大进展，高标准市场体系基本建成，“四向拓展、全域开放”立体全面开放态势更加巩固，更高水平开放型经济新体制基本形成。公共文化服务体系和文化产业体系更加健全，人民精神文化生活日益丰富，文化强省旅游强省基本建成。环境治理效果显著增强，绿色低碳生产生活方式基本形成，城乡人居环境明显改善。居民收入增长和经济增长基本同步，城乡居民人均可支配收入增速高于全国，分配结构明显改善。社会主义民主法治更加健全，更高水平的法治四川平安四川建设扎实推进，城乡基层治理制度创新和能力建设取得新成效，防范化解重大风险体制机制不断健全。</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三五年远景目标：经济实力大幅跃升，人均地区生产总值在二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年基础上翻一番。科技实力跻身全国前列，科技强省基本建成。治理体系和治理能力现代化基本实现，法治四川、法治政府、法治社会基本建成。长江、黄河上游生态安全屏障更加牢固，美丽四川建设目标基本实现。交通强省基本建成，对外开放优势明显增强。基本公共服务实现均等化，人的全面发展、全体人民共同富裕取得更为明显的实质性进展。</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三五年远景目标纲要》具体内容参见四川省发展和改革委员会网站。</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四川省经济、财政和债务有关数据</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120"/>
        <w:gridCol w:w="49"/>
        <w:gridCol w:w="463"/>
        <w:gridCol w:w="185"/>
        <w:gridCol w:w="465"/>
        <w:gridCol w:w="1031"/>
        <w:gridCol w:w="56"/>
        <w:gridCol w:w="1126"/>
        <w:gridCol w:w="596"/>
        <w:gridCol w:w="397"/>
        <w:gridCol w:w="2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9723" w:type="dxa"/>
            <w:gridSpan w:val="13"/>
            <w:shd w:val="clear" w:color="auto" w:fill="auto"/>
            <w:noWrap/>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一、地方经济状况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9723" w:type="dxa"/>
            <w:gridSpan w:val="13"/>
            <w:shd w:val="clear" w:color="auto" w:fill="auto"/>
            <w:noWrap/>
            <w:vAlign w:val="center"/>
          </w:tcPr>
          <w:p>
            <w:pPr>
              <w:widowControl/>
              <w:spacing w:line="400" w:lineRule="exact"/>
              <w:ind w:firstLine="482"/>
              <w:jc w:val="center"/>
              <w:rPr>
                <w:rFonts w:hint="default" w:ascii="Times New Roman" w:hAnsi="Times New Roman" w:cs="Times New Roman"/>
                <w:b/>
                <w:kern w:val="0"/>
                <w:sz w:val="24"/>
                <w:highlight w:val="none"/>
              </w:rPr>
            </w:pPr>
            <w:r>
              <w:rPr>
                <w:rFonts w:hint="default" w:ascii="Times New Roman" w:hAnsi="Times New Roman" w:eastAsia="仿宋_GB2312" w:cs="Times New Roman"/>
                <w:b/>
                <w:bCs/>
                <w:kern w:val="2"/>
                <w:sz w:val="24"/>
                <w:szCs w:val="21"/>
                <w:highlight w:val="none"/>
                <w:lang w:val="en-US" w:eastAsia="zh-CN" w:bidi="ar-SA"/>
              </w:rPr>
              <w:t>20</w:t>
            </w:r>
            <w:r>
              <w:rPr>
                <w:rFonts w:hint="default" w:ascii="Times New Roman" w:hAnsi="Times New Roman" w:cs="Times New Roman"/>
                <w:b/>
                <w:bCs/>
                <w:kern w:val="2"/>
                <w:sz w:val="24"/>
                <w:szCs w:val="21"/>
                <w:highlight w:val="none"/>
                <w:lang w:val="en-US" w:eastAsia="zh-CN" w:bidi="ar-SA"/>
              </w:rPr>
              <w:t>2</w:t>
            </w:r>
            <w:r>
              <w:rPr>
                <w:rFonts w:hint="eastAsia" w:cs="Times New Roman"/>
                <w:b/>
                <w:bCs/>
                <w:kern w:val="2"/>
                <w:sz w:val="24"/>
                <w:szCs w:val="21"/>
                <w:highlight w:val="none"/>
                <w:lang w:val="en-US" w:eastAsia="zh-CN" w:bidi="ar-SA"/>
              </w:rPr>
              <w:t>2</w:t>
            </w:r>
            <w:r>
              <w:rPr>
                <w:rFonts w:hint="default" w:ascii="Times New Roman" w:hAnsi="Times New Roman" w:eastAsia="仿宋_GB2312" w:cs="Times New Roman"/>
                <w:b/>
                <w:bCs/>
                <w:kern w:val="2"/>
                <w:sz w:val="24"/>
                <w:szCs w:val="21"/>
                <w:highlight w:val="none"/>
                <w:lang w:val="en-US" w:eastAsia="zh-CN" w:bidi="ar-SA"/>
              </w:rPr>
              <w:t>－202</w:t>
            </w:r>
            <w:r>
              <w:rPr>
                <w:rFonts w:hint="eastAsia" w:cs="Times New Roman"/>
                <w:b/>
                <w:bCs/>
                <w:kern w:val="2"/>
                <w:sz w:val="24"/>
                <w:szCs w:val="21"/>
                <w:highlight w:val="none"/>
                <w:lang w:val="en-US" w:eastAsia="zh-CN" w:bidi="ar-SA"/>
              </w:rPr>
              <w:t>4</w:t>
            </w:r>
            <w:r>
              <w:rPr>
                <w:rFonts w:hint="default" w:ascii="Times New Roman" w:hAnsi="Times New Roman" w:cs="Times New Roman"/>
                <w:b/>
                <w:kern w:val="0"/>
                <w:sz w:val="24"/>
                <w:highlight w:val="none"/>
              </w:rPr>
              <w:t>年经济基本状况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4915" w:type="dxa"/>
            <w:gridSpan w:val="5"/>
            <w:shd w:val="clear" w:color="auto" w:fill="auto"/>
            <w:noWrap/>
            <w:vAlign w:val="center"/>
          </w:tcPr>
          <w:p>
            <w:pPr>
              <w:widowControl/>
              <w:spacing w:line="400" w:lineRule="exact"/>
              <w:ind w:firstLine="2880" w:firstLineChars="1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3175</wp:posOffset>
                      </wp:positionV>
                      <wp:extent cx="3124835" cy="497840"/>
                      <wp:effectExtent l="635" t="4445" r="17780" b="12065"/>
                      <wp:wrapNone/>
                      <wp:docPr id="2" name="直接箭头连接符 2"/>
                      <wp:cNvGraphicFramePr/>
                      <a:graphic xmlns:a="http://schemas.openxmlformats.org/drawingml/2006/main">
                        <a:graphicData uri="http://schemas.microsoft.com/office/word/2010/wordprocessingShape">
                          <wps:wsp>
                            <wps:cNvCnPr/>
                            <wps:spPr>
                              <a:xfrm>
                                <a:off x="0" y="0"/>
                                <a:ext cx="3124835" cy="497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5pt;margin-top:0.25pt;height:39.2pt;width:246.05pt;z-index:251659264;mso-width-relative:page;mso-height-relative:page;" filled="f" stroked="t" coordsize="21600,21600" o:gfxdata="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qUYeHWAAAABwEAAA8AAAAAAAAAAQAgAAAAOAAAAGRycy9kb3ducmV2&#10;LnhtbFBLAQIUABQAAAAIAIdO4kBMT29s6AEAAKMDAAAOAAAAAAAAAAEAIAAAADs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cs="Times New Roman"/>
                <w:kern w:val="0"/>
                <w:sz w:val="24"/>
                <w:highlight w:val="none"/>
              </w:rPr>
              <w:t>年份</w:t>
            </w:r>
          </w:p>
          <w:p>
            <w:pPr>
              <w:widowControl/>
              <w:spacing w:line="400" w:lineRule="exact"/>
              <w:ind w:firstLine="1320" w:firstLineChars="55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项目</w:t>
            </w:r>
          </w:p>
        </w:tc>
        <w:tc>
          <w:tcPr>
            <w:tcW w:w="1552"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2022</w:t>
            </w:r>
            <w:r>
              <w:rPr>
                <w:rFonts w:hint="default" w:ascii="Times New Roman" w:hAnsi="Times New Roman" w:cs="Times New Roman"/>
                <w:kern w:val="0"/>
                <w:sz w:val="24"/>
                <w:highlight w:val="none"/>
                <w:lang w:val="en" w:eastAsia="zh-CN"/>
              </w:rPr>
              <w:t>年</w:t>
            </w:r>
          </w:p>
        </w:tc>
        <w:tc>
          <w:tcPr>
            <w:tcW w:w="1722"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default" w:ascii="Times New Roman" w:hAnsi="Times New Roman" w:cs="Times New Roman"/>
                <w:kern w:val="0"/>
                <w:sz w:val="24"/>
                <w:highlight w:val="none"/>
                <w:lang w:val="en-US" w:eastAsia="zh-CN"/>
              </w:rPr>
              <w:t>3</w:t>
            </w:r>
            <w:r>
              <w:rPr>
                <w:rFonts w:hint="default" w:ascii="Times New Roman" w:hAnsi="Times New Roman" w:cs="Times New Roman"/>
                <w:kern w:val="0"/>
                <w:sz w:val="24"/>
                <w:highlight w:val="none"/>
                <w:lang w:val="en" w:eastAsia="zh-CN"/>
              </w:rPr>
              <w:t>年</w:t>
            </w:r>
          </w:p>
        </w:tc>
        <w:tc>
          <w:tcPr>
            <w:tcW w:w="1534"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lang w:val="en" w:eastAsia="zh-CN"/>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4</w:t>
            </w:r>
            <w:r>
              <w:rPr>
                <w:rFonts w:hint="default" w:ascii="Times New Roman" w:hAnsi="Times New Roman"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地区生产总值（亿元）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56610.2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60132.</w:t>
            </w:r>
            <w:r>
              <w:rPr>
                <w:rFonts w:hint="default" w:ascii="Times New Roman" w:hAnsi="Times New Roman" w:cs="Times New Roman"/>
                <w:sz w:val="24"/>
                <w:highlight w:val="none"/>
                <w:lang w:val="en" w:eastAsia="zh-CN"/>
              </w:rPr>
              <w:t>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64697.0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地区生产总值增速（%）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default" w:ascii="Times New Roman" w:hAnsi="Times New Roman" w:cs="Times New Roman"/>
                <w:sz w:val="24"/>
                <w:highlight w:val="none"/>
                <w:lang w:val="en" w:eastAsia="zh-CN"/>
              </w:rPr>
              <w:t>2.</w:t>
            </w:r>
            <w:r>
              <w:rPr>
                <w:rFonts w:hint="default" w:cs="Times New Roman"/>
                <w:sz w:val="24"/>
                <w:highlight w:val="none"/>
                <w:lang w:val="en" w:eastAsia="zh-CN"/>
              </w:rPr>
              <w:t>9</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596</w:t>
            </w: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6056.64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5619.9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w:t>
            </w:r>
            <w:r>
              <w:rPr>
                <w:rFonts w:hint="default" w:ascii="Times New Roman" w:hAnsi="Times New Roman" w:cs="Times New Roman"/>
                <w:sz w:val="24"/>
                <w:highlight w:val="none"/>
                <w:lang w:val="en-US" w:eastAsia="zh-CN"/>
              </w:rPr>
              <w:t>0591.4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21306.70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22816.9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30053.3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32769.54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36260.2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产业结构</w:t>
            </w:r>
          </w:p>
        </w:tc>
        <w:tc>
          <w:tcPr>
            <w:tcW w:w="1552" w:type="dxa"/>
            <w:gridSpan w:val="3"/>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722" w:type="dxa"/>
            <w:gridSpan w:val="2"/>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534" w:type="dxa"/>
            <w:gridSpan w:val="3"/>
            <w:shd w:val="clear" w:color="auto" w:fill="auto"/>
            <w:noWrap/>
            <w:vAlign w:val="center"/>
          </w:tcPr>
          <w:p>
            <w:pPr>
              <w:spacing w:line="400" w:lineRule="exact"/>
              <w:ind w:left="640"/>
              <w:jc w:val="right"/>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36.</w:t>
            </w:r>
            <w:r>
              <w:rPr>
                <w:rFonts w:hint="default" w:ascii="Times New Roman" w:hAnsi="Times New Roman" w:cs="Times New Roman"/>
                <w:sz w:val="24"/>
                <w:highlight w:val="none"/>
                <w:lang w:val="en-US" w:eastAsia="zh-CN"/>
              </w:rPr>
              <w:t>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1</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54.5</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全社会固定资产投资增速（%）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8.4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进出口总额（亿元）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10076.8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9574.9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出口额（亿元）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6215.2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6033.9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6177.7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进口额（亿元）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3861.6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3541.0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4279.5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社会消费品零售总额（亿元）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24104.6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26313.4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8"/>
                <w:szCs w:val="28"/>
                <w:highlight w:val="yellow"/>
                <w:lang w:val="en-US" w:eastAsia="zh-CN" w:bidi="ar-SA"/>
              </w:rPr>
            </w:pPr>
            <w:r>
              <w:rPr>
                <w:rFonts w:hint="eastAsia" w:cs="Times New Roman"/>
                <w:sz w:val="24"/>
                <w:highlight w:val="none"/>
                <w:lang w:val="en-US" w:eastAsia="zh-CN"/>
              </w:rPr>
              <w:t>27709.8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城镇居民人均可支配收入（元）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43233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45227</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47336.0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18672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19978</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21303.0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居民消费价格指数（上年＝100）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102.0</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100.0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工业生产者出厂价格指数（上年＝100）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工业生产者购进价格指数（上年＝100）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金融机构各项存款余额（本外币）（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11</w:t>
            </w:r>
            <w:r>
              <w:rPr>
                <w:rFonts w:hint="eastAsia"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12</w:t>
            </w:r>
            <w:r>
              <w:rPr>
                <w:rFonts w:hint="eastAsia" w:cs="Times New Roman"/>
                <w:sz w:val="24"/>
                <w:highlight w:val="none"/>
                <w:lang w:val="en-US" w:eastAsia="zh-CN"/>
              </w:rPr>
              <w:t>.3</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金融机构各项贷款余额（本外币）（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9</w:t>
            </w:r>
            <w:r>
              <w:rPr>
                <w:rFonts w:hint="eastAsia" w:cs="Times New Roman"/>
                <w:kern w:val="2"/>
                <w:sz w:val="24"/>
                <w:szCs w:val="24"/>
                <w:highlight w:val="none"/>
                <w:lang w:val="en-US" w:eastAsia="zh-CN" w:bidi="ar-SA"/>
              </w:rPr>
              <w:t>.</w:t>
            </w:r>
            <w:r>
              <w:rPr>
                <w:rFonts w:hint="default" w:ascii="Times New Roman" w:hAnsi="Times New Roman"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w:t>
            </w:r>
            <w:r>
              <w:rPr>
                <w:rFonts w:hint="eastAsia" w:cs="Times New Roman"/>
                <w:sz w:val="24"/>
                <w:highlight w:val="none"/>
                <w:lang w:val="en-US" w:eastAsia="zh-CN"/>
              </w:rPr>
              <w:t>.6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 xml:space="preserve">  二、财政收支状况（亿元）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（一）近三年一般公共预算收支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3098" w:type="dxa"/>
            <w:vMerge w:val="restart"/>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-6350</wp:posOffset>
                      </wp:positionV>
                      <wp:extent cx="1960245" cy="610870"/>
                      <wp:effectExtent l="1270" t="4445" r="19685" b="13335"/>
                      <wp:wrapNone/>
                      <wp:docPr id="3" name="直接箭头连接符 3"/>
                      <wp:cNvGraphicFramePr/>
                      <a:graphic xmlns:a="http://schemas.openxmlformats.org/drawingml/2006/main">
                        <a:graphicData uri="http://schemas.microsoft.com/office/word/2010/wordprocessingShape">
                          <wps:wsp>
                            <wps:cNvCnPr/>
                            <wps:spPr>
                              <a:xfrm>
                                <a:off x="0" y="0"/>
                                <a:ext cx="1960245" cy="610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0.5pt;height:48.1pt;width:154.35pt;z-index:251660288;mso-width-relative:page;mso-height-relative:page;" filled="f" stroked="t" coordsize="21600,21600" o:gfxdata="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VycJdcAAAAIAQAADwAAAAAAAAABACAAAAA4AAAAZHJzL2Rvd25y&#10;ZXYueG1sUEsBAhQAFAAAAAgAh07iQFuMgjLpAQAAowMAAA4AAAAAAAAAAQAgAAAAPA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0"/>
                <w:sz w:val="24"/>
                <w:highlight w:val="none"/>
              </w:rPr>
              <w:t xml:space="preserve">           年份</w:t>
            </w:r>
          </w:p>
          <w:p>
            <w:pPr>
              <w:spacing w:line="4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项目</w:t>
            </w:r>
          </w:p>
        </w:tc>
        <w:tc>
          <w:tcPr>
            <w:tcW w:w="2282" w:type="dxa"/>
            <w:gridSpan w:val="5"/>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default" w:ascii="Times New Roman" w:hAnsi="Times New Roman" w:cs="Times New Roman"/>
                <w:kern w:val="0"/>
                <w:sz w:val="24"/>
                <w:highlight w:val="none"/>
                <w:lang w:val="en-US" w:eastAsia="zh-CN"/>
              </w:rPr>
              <w:t>3</w:t>
            </w:r>
            <w:r>
              <w:rPr>
                <w:rFonts w:hint="default" w:ascii="Times New Roman" w:hAnsi="Times New Roman" w:eastAsia="仿宋_GB2312" w:cs="Times New Roman"/>
                <w:kern w:val="0"/>
                <w:sz w:val="24"/>
                <w:highlight w:val="none"/>
              </w:rPr>
              <w:t>年</w:t>
            </w:r>
          </w:p>
        </w:tc>
        <w:tc>
          <w:tcPr>
            <w:tcW w:w="2213" w:type="dxa"/>
            <w:gridSpan w:val="3"/>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eastAsia" w:cs="Times New Roman"/>
                <w:kern w:val="0"/>
                <w:sz w:val="24"/>
                <w:highlight w:val="none"/>
                <w:lang w:val="en" w:eastAsia="zh-CN"/>
              </w:rPr>
              <w:t>202</w:t>
            </w:r>
            <w:r>
              <w:rPr>
                <w:rFonts w:hint="eastAsia" w:cs="Times New Roman"/>
                <w:kern w:val="0"/>
                <w:sz w:val="24"/>
                <w:highlight w:val="none"/>
                <w:lang w:val="en-US" w:eastAsia="zh-CN"/>
              </w:rPr>
              <w:t>4</w:t>
            </w:r>
            <w:r>
              <w:rPr>
                <w:rFonts w:hint="eastAsia" w:cs="Times New Roman"/>
                <w:kern w:val="0"/>
                <w:sz w:val="24"/>
                <w:highlight w:val="none"/>
                <w:lang w:val="en" w:eastAsia="zh-CN"/>
              </w:rPr>
              <w:t>年</w:t>
            </w:r>
          </w:p>
        </w:tc>
        <w:tc>
          <w:tcPr>
            <w:tcW w:w="2130" w:type="dxa"/>
            <w:gridSpan w:val="4"/>
            <w:shd w:val="clear" w:color="auto" w:fill="auto"/>
            <w:noWrap/>
            <w:vAlign w:val="center"/>
          </w:tcPr>
          <w:p>
            <w:pPr>
              <w:widowControl/>
              <w:spacing w:line="400" w:lineRule="exact"/>
              <w:ind w:firstLine="480" w:firstLineChars="0"/>
              <w:jc w:val="center"/>
              <w:rPr>
                <w:rFonts w:hint="eastAsia" w:ascii="Times New Roman" w:hAnsi="Times New Roman" w:eastAsia="仿宋_GB2312" w:cs="Times New Roman"/>
                <w:kern w:val="0"/>
                <w:sz w:val="24"/>
                <w:highlight w:val="none"/>
                <w:lang w:val="en" w:eastAsia="zh-CN"/>
              </w:rPr>
            </w:pPr>
            <w:r>
              <w:rPr>
                <w:rFonts w:hint="eastAsia" w:cs="Times New Roman"/>
                <w:kern w:val="0"/>
                <w:sz w:val="24"/>
                <w:highlight w:val="none"/>
                <w:lang w:val="en" w:eastAsia="zh-CN"/>
              </w:rPr>
              <w:t>202</w:t>
            </w:r>
            <w:r>
              <w:rPr>
                <w:rFonts w:hint="eastAsia" w:cs="Times New Roman"/>
                <w:kern w:val="0"/>
                <w:sz w:val="24"/>
                <w:highlight w:val="none"/>
                <w:lang w:val="en-US" w:eastAsia="zh-CN"/>
              </w:rPr>
              <w:t>5</w:t>
            </w:r>
            <w:r>
              <w:rPr>
                <w:rFonts w:hint="eastAsia"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3098" w:type="dxa"/>
            <w:vMerge w:val="continue"/>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p>
        </w:tc>
        <w:tc>
          <w:tcPr>
            <w:tcW w:w="1120"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62" w:type="dxa"/>
            <w:gridSpan w:val="4"/>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1031"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82"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993"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37"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一般公共预算收入</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993.</w:t>
            </w:r>
            <w:r>
              <w:rPr>
                <w:rFonts w:hint="default" w:ascii="Times New Roman" w:hAnsi="Times New Roman" w:cs="Times New Roman"/>
                <w:color w:val="auto"/>
                <w:kern w:val="0"/>
                <w:sz w:val="24"/>
                <w:highlight w:val="none"/>
                <w:lang w:val="en-US" w:eastAsia="zh-CN"/>
              </w:rPr>
              <w:t>5</w:t>
            </w:r>
          </w:p>
        </w:tc>
        <w:tc>
          <w:tcPr>
            <w:tcW w:w="1162" w:type="dxa"/>
            <w:gridSpan w:val="4"/>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5529.1</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975.</w:t>
            </w:r>
            <w:r>
              <w:rPr>
                <w:rFonts w:hint="default" w:cs="Times New Roman"/>
                <w:kern w:val="0"/>
                <w:sz w:val="24"/>
                <w:highlight w:val="none"/>
                <w:lang w:val="en" w:eastAsia="zh-CN"/>
              </w:rPr>
              <w:t>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5635.</w:t>
            </w:r>
            <w:r>
              <w:rPr>
                <w:rFonts w:hint="default" w:cs="Times New Roman"/>
                <w:kern w:val="0"/>
                <w:sz w:val="24"/>
                <w:highlight w:val="none"/>
                <w:lang w:val="en" w:eastAsia="zh-CN"/>
              </w:rPr>
              <w:t>6</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963.0</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一般公共预算支出</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2071</w:t>
            </w:r>
            <w:r>
              <w:rPr>
                <w:rFonts w:hint="default" w:ascii="Times New Roman" w:hAnsi="Times New Roman" w:cs="Times New Roman"/>
                <w:color w:val="auto"/>
                <w:kern w:val="0"/>
                <w:sz w:val="24"/>
                <w:highlight w:val="none"/>
                <w:lang w:val="en-US" w:eastAsia="zh-CN"/>
              </w:rPr>
              <w:t>.0</w:t>
            </w:r>
          </w:p>
        </w:tc>
        <w:tc>
          <w:tcPr>
            <w:tcW w:w="1162" w:type="dxa"/>
            <w:gridSpan w:val="4"/>
            <w:shd w:val="clear" w:color="auto" w:fill="auto"/>
            <w:vAlign w:val="center"/>
          </w:tcPr>
          <w:p>
            <w:pPr>
              <w:widowControl/>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auto"/>
                <w:kern w:val="0"/>
                <w:sz w:val="24"/>
                <w:highlight w:val="none"/>
                <w:lang w:val="en-US" w:eastAsia="zh-CN"/>
              </w:rPr>
              <w:t>1273</w:t>
            </w:r>
            <w:r>
              <w:rPr>
                <w:rFonts w:hint="default" w:ascii="Times New Roman" w:hAnsi="Times New Roman"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8</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2241.</w:t>
            </w:r>
            <w:r>
              <w:rPr>
                <w:rFonts w:hint="default" w:cs="Times New Roman"/>
                <w:kern w:val="0"/>
                <w:sz w:val="24"/>
                <w:highlight w:val="none"/>
                <w:lang w:val="en" w:eastAsia="zh-CN"/>
              </w:rPr>
              <w:t>9</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1344</w:t>
            </w:r>
            <w:r>
              <w:rPr>
                <w:rFonts w:hint="default" w:cs="Times New Roman"/>
                <w:kern w:val="0"/>
                <w:sz w:val="24"/>
                <w:highlight w:val="none"/>
                <w:lang w:val="en" w:eastAsia="zh-CN"/>
              </w:rPr>
              <w:t>7</w:t>
            </w:r>
            <w:r>
              <w:rPr>
                <w:rFonts w:hint="eastAsia" w:cs="Times New Roman"/>
                <w:kern w:val="0"/>
                <w:sz w:val="24"/>
                <w:highlight w:val="none"/>
                <w:lang w:val="en-US" w:eastAsia="zh-CN"/>
              </w:rPr>
              <w:t>.</w:t>
            </w:r>
            <w:r>
              <w:rPr>
                <w:rFonts w:hint="default" w:cs="Times New Roman"/>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2245.7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转移性收入</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764</w:t>
            </w:r>
            <w:r>
              <w:rPr>
                <w:rFonts w:hint="default" w:ascii="Times New Roman" w:hAnsi="Times New Roman" w:cs="Times New Roman"/>
                <w:kern w:val="0"/>
                <w:sz w:val="24"/>
                <w:highlight w:val="none"/>
                <w:lang w:val="en-US" w:eastAsia="zh-CN"/>
              </w:rPr>
              <w:t>5</w:t>
            </w:r>
            <w:r>
              <w:rPr>
                <w:rFonts w:hint="default" w:ascii="Times New Roman" w:hAnsi="Times New Roman" w:cs="Times New Roman"/>
                <w:kern w:val="0"/>
                <w:sz w:val="24"/>
                <w:highlight w:val="none"/>
                <w:lang w:val="en" w:eastAsia="zh-CN"/>
              </w:rPr>
              <w:t>.</w:t>
            </w:r>
            <w:r>
              <w:rPr>
                <w:rFonts w:hint="default" w:ascii="Times New Roman" w:hAnsi="Times New Roman" w:cs="Times New Roman"/>
                <w:kern w:val="0"/>
                <w:sz w:val="24"/>
                <w:highlight w:val="none"/>
                <w:lang w:val="en-US" w:eastAsia="zh-CN"/>
              </w:rPr>
              <w:t>5</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9404.0</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7863.</w:t>
            </w:r>
            <w:r>
              <w:rPr>
                <w:rFonts w:hint="default" w:cs="Times New Roman"/>
                <w:kern w:val="0"/>
                <w:sz w:val="24"/>
                <w:highlight w:val="none"/>
                <w:lang w:val="en" w:eastAsia="zh-CN"/>
              </w:rPr>
              <w:t>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9803.1</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6593.7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转移性支出</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73</w:t>
            </w:r>
            <w:r>
              <w:rPr>
                <w:rFonts w:hint="default" w:ascii="Times New Roman" w:hAnsi="Times New Roman" w:cs="Times New Roman"/>
                <w:kern w:val="0"/>
                <w:sz w:val="24"/>
                <w:highlight w:val="none"/>
                <w:lang w:val="en-US" w:eastAsia="zh-CN"/>
              </w:rPr>
              <w:t>59.0</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1042.7</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7197.8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929.8</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6223.4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地方政府一般债券收入</w:t>
            </w:r>
          </w:p>
        </w:tc>
        <w:tc>
          <w:tcPr>
            <w:tcW w:w="1120" w:type="dxa"/>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sz w:val="24"/>
                <w:highlight w:val="none"/>
                <w:lang w:val="en" w:eastAsia="zh-CN"/>
              </w:rPr>
              <w:t>1417.2</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1417.2</w:t>
            </w:r>
          </w:p>
        </w:tc>
        <w:tc>
          <w:tcPr>
            <w:tcW w:w="1031"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1061.7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1061.7</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（二）近三年政府性基金</w:t>
            </w:r>
            <w:r>
              <w:rPr>
                <w:rFonts w:hint="default" w:ascii="Times New Roman" w:hAnsi="Times New Roman" w:eastAsia="仿宋_GB2312" w:cs="Times New Roman"/>
                <w:b/>
                <w:kern w:val="0"/>
                <w:sz w:val="24"/>
                <w:highlight w:val="none"/>
                <w:lang w:eastAsia="zh-CN"/>
              </w:rPr>
              <w:t>预算</w:t>
            </w:r>
            <w:r>
              <w:rPr>
                <w:rFonts w:hint="default" w:ascii="Times New Roman" w:hAnsi="Times New Roman" w:eastAsia="仿宋_GB2312" w:cs="Times New Roman"/>
                <w:b/>
                <w:kern w:val="0"/>
                <w:sz w:val="24"/>
                <w:highlight w:val="none"/>
              </w:rPr>
              <w:t>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129.1</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4515.</w:t>
            </w:r>
            <w:r>
              <w:rPr>
                <w:rFonts w:hint="default" w:ascii="Times New Roman" w:hAnsi="Times New Roman" w:cs="Times New Roman"/>
                <w:color w:val="auto"/>
                <w:kern w:val="0"/>
                <w:sz w:val="24"/>
                <w:highlight w:val="none"/>
                <w:lang w:val="en-US" w:eastAsia="zh-CN"/>
              </w:rPr>
              <w:t>7</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US" w:eastAsia="zh-CN"/>
              </w:rPr>
            </w:pPr>
            <w:r>
              <w:rPr>
                <w:rFonts w:hint="eastAsia" w:cs="Times New Roman"/>
                <w:color w:val="auto"/>
                <w:kern w:val="0"/>
                <w:sz w:val="24"/>
                <w:highlight w:val="none"/>
                <w:lang w:val="en-US" w:eastAsia="zh-CN"/>
              </w:rPr>
              <w:t>131.9</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3761.</w:t>
            </w:r>
            <w:r>
              <w:rPr>
                <w:rFonts w:hint="default" w:cs="Times New Roman"/>
                <w:color w:val="auto"/>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121.7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3173.2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支出</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56.</w:t>
            </w:r>
            <w:r>
              <w:rPr>
                <w:rFonts w:hint="default" w:ascii="Times New Roman" w:hAnsi="Times New Roman" w:cs="Times New Roman"/>
                <w:color w:val="auto"/>
                <w:kern w:val="0"/>
                <w:sz w:val="24"/>
                <w:highlight w:val="none"/>
                <w:lang w:val="en-US" w:eastAsia="zh-CN"/>
              </w:rPr>
              <w:t>2</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6207</w:t>
            </w:r>
            <w:r>
              <w:rPr>
                <w:rFonts w:hint="default" w:ascii="Times New Roman" w:hAnsi="Times New Roman" w:cs="Times New Roman"/>
                <w:color w:val="auto"/>
                <w:kern w:val="0"/>
                <w:sz w:val="24"/>
                <w:highlight w:val="none"/>
                <w:lang w:val="en-US" w:eastAsia="zh-CN"/>
              </w:rPr>
              <w:t>.0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160.8</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60</w:t>
            </w:r>
            <w:r>
              <w:rPr>
                <w:rFonts w:hint="default" w:cs="Times New Roman"/>
                <w:color w:val="auto"/>
                <w:kern w:val="0"/>
                <w:sz w:val="24"/>
                <w:highlight w:val="none"/>
                <w:lang w:val="en" w:eastAsia="zh-CN"/>
              </w:rPr>
              <w:t>25.5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5096.3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地方政府专项债券收入</w:t>
            </w:r>
          </w:p>
        </w:tc>
        <w:tc>
          <w:tcPr>
            <w:tcW w:w="1169" w:type="dxa"/>
            <w:gridSpan w:val="2"/>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113" w:type="dxa"/>
            <w:gridSpan w:val="3"/>
            <w:shd w:val="clear" w:color="auto" w:fill="auto"/>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（三）近三年国有资本经营预算收支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30.6</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16</w:t>
            </w:r>
            <w:r>
              <w:rPr>
                <w:rFonts w:hint="default" w:ascii="Times New Roman" w:hAnsi="Times New Roman" w:cs="Times New Roman"/>
                <w:color w:val="auto"/>
                <w:kern w:val="0"/>
                <w:sz w:val="24"/>
                <w:highlight w:val="none"/>
                <w:lang w:val="en-US" w:eastAsia="zh-CN"/>
              </w:rPr>
              <w:t>4.0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31.3</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201.78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27</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国有资本经营预算支出</w:t>
            </w:r>
          </w:p>
        </w:tc>
        <w:tc>
          <w:tcPr>
            <w:tcW w:w="1169" w:type="dxa"/>
            <w:gridSpan w:val="2"/>
            <w:shd w:val="clear" w:color="auto" w:fill="auto"/>
            <w:noWrap/>
            <w:vAlign w:val="center"/>
          </w:tcPr>
          <w:p>
            <w:pPr>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sz w:val="24"/>
                <w:highlight w:val="none"/>
                <w:lang w:val="en-US" w:eastAsia="zh-CN"/>
              </w:rPr>
              <w:t>23.0</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8</w:t>
            </w:r>
            <w:r>
              <w:rPr>
                <w:rFonts w:hint="default" w:ascii="Times New Roman" w:hAnsi="Times New Roman" w:cs="Times New Roman"/>
                <w:color w:val="auto"/>
                <w:kern w:val="0"/>
                <w:sz w:val="24"/>
                <w:highlight w:val="none"/>
                <w:lang w:val="en-US" w:eastAsia="zh-CN"/>
              </w:rPr>
              <w:t>1</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16.4</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90.8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9723" w:type="dxa"/>
            <w:gridSpan w:val="13"/>
            <w:shd w:val="clear" w:color="auto" w:fill="auto"/>
            <w:vAlign w:val="center"/>
          </w:tcPr>
          <w:p>
            <w:pPr>
              <w:widowControl/>
              <w:spacing w:line="240" w:lineRule="exact"/>
              <w:ind w:right="840" w:firstLine="472" w:firstLineChars="196"/>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（四）近三年地方政府</w:t>
            </w:r>
            <w:r>
              <w:rPr>
                <w:rFonts w:hint="eastAsia" w:cs="Times New Roman"/>
                <w:b/>
                <w:kern w:val="0"/>
                <w:sz w:val="24"/>
                <w:highlight w:val="none"/>
                <w:lang w:eastAsia="zh-CN"/>
              </w:rPr>
              <w:t>债务</w:t>
            </w:r>
            <w:r>
              <w:rPr>
                <w:rFonts w:hint="default" w:ascii="Times New Roman" w:hAnsi="Times New Roman" w:eastAsia="仿宋_GB2312" w:cs="Times New Roman"/>
                <w:b/>
                <w:kern w:val="0"/>
                <w:sz w:val="24"/>
                <w:highlight w:val="none"/>
              </w:rPr>
              <w:t>还本支出情况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179.</w:t>
            </w:r>
            <w:r>
              <w:rPr>
                <w:rFonts w:hint="default" w:ascii="Times New Roman" w:hAnsi="Times New Roman" w:cs="Times New Roman"/>
                <w:kern w:val="0"/>
                <w:sz w:val="24"/>
                <w:highlight w:val="none"/>
                <w:lang w:val="en-US" w:eastAsia="zh-CN"/>
              </w:rPr>
              <w:t>4</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1097.3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sz w:val="24"/>
                <w:highlight w:val="none"/>
                <w:lang w:val="en-US" w:eastAsia="zh-CN"/>
              </w:rPr>
              <w:t>82.8</w:t>
            </w:r>
          </w:p>
        </w:tc>
        <w:tc>
          <w:tcPr>
            <w:tcW w:w="1126" w:type="dxa"/>
            <w:shd w:val="clear" w:color="auto" w:fill="auto"/>
            <w:vAlign w:val="center"/>
          </w:tcPr>
          <w:p>
            <w:pPr>
              <w:widowControl/>
              <w:spacing w:line="240" w:lineRule="exact"/>
              <w:jc w:val="center"/>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 xml:space="preserve">  731.7</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109.3</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0</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1067.5</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eastAsia" w:cs="Times New Roman"/>
                <w:sz w:val="24"/>
                <w:highlight w:val="none"/>
                <w:lang w:val="en-US" w:eastAsia="zh-CN"/>
              </w:rPr>
              <w:t>0</w:t>
            </w:r>
          </w:p>
        </w:tc>
        <w:tc>
          <w:tcPr>
            <w:tcW w:w="1126" w:type="dxa"/>
            <w:shd w:val="clear" w:color="auto" w:fill="auto"/>
            <w:vAlign w:val="center"/>
          </w:tcPr>
          <w:p>
            <w:pPr>
              <w:widowControl/>
              <w:spacing w:line="240" w:lineRule="exact"/>
              <w:jc w:val="right"/>
              <w:rPr>
                <w:rFonts w:hint="default" w:ascii="Times New Roman" w:hAnsi="Times New Roman" w:cs="Times New Roman"/>
                <w:color w:val="auto"/>
                <w:kern w:val="0"/>
                <w:sz w:val="24"/>
                <w:highlight w:val="none"/>
                <w:lang w:val="en" w:eastAsia="zh-CN"/>
              </w:rPr>
            </w:pPr>
            <w:r>
              <w:rPr>
                <w:rFonts w:hint="default" w:cs="Times New Roman"/>
                <w:color w:val="auto"/>
                <w:kern w:val="0"/>
                <w:sz w:val="24"/>
                <w:highlight w:val="none"/>
                <w:lang w:val="en" w:eastAsia="zh-CN"/>
              </w:rPr>
              <w:t>1977.4</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9723" w:type="dxa"/>
            <w:gridSpan w:val="13"/>
            <w:shd w:val="clear" w:color="auto" w:fill="auto"/>
            <w:noWrap/>
            <w:vAlign w:val="center"/>
          </w:tcPr>
          <w:p>
            <w:pPr>
              <w:widowControl/>
              <w:spacing w:line="24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三、地方政府债务状况（亿元）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截至202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年底地方政府债务余额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24028.9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年地方政府债务限额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26902.7</w:t>
            </w:r>
          </w:p>
        </w:tc>
      </w:tr>
    </w:tbl>
    <w:p>
      <w:pPr>
        <w:pStyle w:val="4"/>
        <w:snapToGrid w:val="0"/>
        <w:spacing w:line="300" w:lineRule="exact"/>
        <w:ind w:left="735" w:hanging="735" w:hangingChars="350"/>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注：1、经济数据</w:t>
      </w:r>
      <w:r>
        <w:rPr>
          <w:rFonts w:hint="default" w:ascii="Times New Roman" w:hAnsi="Times New Roman" w:eastAsia="仿宋_GB2312" w:cs="Times New Roman"/>
          <w:color w:val="000000" w:themeColor="text1"/>
          <w:highlight w:val="none"/>
          <w:lang w:eastAsia="zh-CN"/>
          <w14:textFill>
            <w14:solidFill>
              <w14:schemeClr w14:val="tx1"/>
            </w14:solidFill>
          </w14:textFill>
        </w:rPr>
        <w:t>来源于四川省统计局</w:t>
      </w:r>
    </w:p>
    <w:p>
      <w:pPr>
        <w:pStyle w:val="4"/>
        <w:snapToGrid w:val="0"/>
        <w:spacing w:line="300" w:lineRule="exact"/>
        <w:ind w:firstLine="42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000000" w:themeColor="text1"/>
          <w:highlight w:val="none"/>
          <w14:textFill>
            <w14:solidFill>
              <w14:schemeClr w14:val="tx1"/>
            </w14:solidFill>
          </w14:textFill>
        </w:rPr>
        <w:t>2、财政数据中202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highlight w:val="none"/>
          <w14:textFill>
            <w14:solidFill>
              <w14:schemeClr w14:val="tx1"/>
            </w14:solidFill>
          </w14:textFill>
        </w:rPr>
        <w:t>年</w:t>
      </w:r>
      <w:r>
        <w:rPr>
          <w:rFonts w:hint="default" w:ascii="Times New Roman" w:hAnsi="Times New Roman" w:eastAsia="仿宋_GB2312" w:cs="Times New Roman"/>
          <w:color w:val="000000" w:themeColor="text1"/>
          <w:highlight w:val="none"/>
          <w:lang w:eastAsia="zh-CN"/>
          <w14:textFill>
            <w14:solidFill>
              <w14:schemeClr w14:val="tx1"/>
            </w14:solidFill>
          </w14:textFill>
        </w:rPr>
        <w:t>为决算数，</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年</w:t>
      </w:r>
      <w:r>
        <w:rPr>
          <w:rFonts w:hint="default" w:ascii="Times New Roman" w:hAnsi="Times New Roman" w:eastAsia="仿宋_GB2312" w:cs="Times New Roman"/>
          <w:color w:val="000000" w:themeColor="text1"/>
          <w:highlight w:val="none"/>
          <w14:textFill>
            <w14:solidFill>
              <w14:schemeClr w14:val="tx1"/>
            </w14:solidFill>
          </w14:textFill>
        </w:rPr>
        <w:t>为</w:t>
      </w:r>
      <w:r>
        <w:rPr>
          <w:rFonts w:hint="eastAsia" w:ascii="Times New Roman" w:hAnsi="Times New Roman" w:eastAsia="仿宋_GB2312" w:cs="Times New Roman"/>
          <w:color w:val="000000" w:themeColor="text1"/>
          <w:highlight w:val="none"/>
          <w:lang w:eastAsia="zh-CN"/>
          <w14:textFill>
            <w14:solidFill>
              <w14:schemeClr w14:val="tx1"/>
            </w14:solidFill>
          </w14:textFill>
        </w:rPr>
        <w:t>决算数</w:t>
      </w:r>
      <w:r>
        <w:rPr>
          <w:rFonts w:hint="default" w:ascii="Times New Roman" w:hAnsi="Times New Roman" w:eastAsia="仿宋_GB2312" w:cs="Times New Roman"/>
          <w:color w:val="000000" w:themeColor="text1"/>
          <w:highlight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2025年</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为预算数</w:t>
      </w:r>
      <w:r>
        <w:rPr>
          <w:rFonts w:hint="default" w:ascii="Times New Roman" w:hAnsi="Times New Roman" w:eastAsia="仿宋_GB2312" w:cs="Times New Roman"/>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五、四川省地方政府债务管理情况</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（一）四川省地方政府债务基本情况。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rPr>
        <w:t>全省</w:t>
      </w:r>
      <w:r>
        <w:rPr>
          <w:rFonts w:hint="default" w:ascii="Times New Roman" w:hAnsi="Times New Roman" w:eastAsia="仿宋_GB2312" w:cs="Times New Roman"/>
          <w:color w:val="auto"/>
          <w:sz w:val="32"/>
          <w:szCs w:val="32"/>
          <w:highlight w:val="none"/>
        </w:rPr>
        <w:t>债务余额为</w:t>
      </w:r>
      <w:r>
        <w:rPr>
          <w:rFonts w:hint="eastAsia" w:ascii="Times New Roman" w:hAnsi="Times New Roman" w:eastAsia="仿宋_GB2312" w:cs="Times New Roman"/>
          <w:color w:val="auto"/>
          <w:sz w:val="32"/>
          <w:szCs w:val="32"/>
          <w:highlight w:val="none"/>
          <w:lang w:val="en-US" w:eastAsia="zh-CN"/>
        </w:rPr>
        <w:t>24028.9</w:t>
      </w:r>
      <w:r>
        <w:rPr>
          <w:rFonts w:hint="default" w:ascii="Times New Roman" w:hAnsi="Times New Roman" w:eastAsia="仿宋_GB2312" w:cs="Times New Roman"/>
          <w:color w:val="auto"/>
          <w:sz w:val="32"/>
          <w:szCs w:val="32"/>
          <w:highlight w:val="none"/>
        </w:rPr>
        <w:t>亿元，控制在国务院</w:t>
      </w:r>
      <w:r>
        <w:rPr>
          <w:rFonts w:hint="default" w:ascii="Times New Roman" w:hAnsi="Times New Roman" w:eastAsia="仿宋_GB2312" w:cs="Times New Roman"/>
          <w:color w:val="auto"/>
          <w:sz w:val="32"/>
          <w:szCs w:val="32"/>
          <w:highlight w:val="none"/>
          <w:lang w:val="en-US" w:eastAsia="zh-CN"/>
        </w:rPr>
        <w:t>批准</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26902.7</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元限额内，债务风险总体可控。</w:t>
      </w:r>
      <w:r>
        <w:rPr>
          <w:rFonts w:hint="default" w:ascii="Times New Roman" w:hAnsi="Times New Roman" w:eastAsia="仿宋_GB2312" w:cs="Times New Roman"/>
          <w:color w:val="auto"/>
          <w:sz w:val="32"/>
          <w:szCs w:val="32"/>
          <w:highlight w:val="none"/>
          <w:lang w:val="en-US" w:eastAsia="zh-CN"/>
        </w:rPr>
        <w:t>分类型看：全省一般债务限额</w:t>
      </w:r>
      <w:r>
        <w:rPr>
          <w:rFonts w:hint="eastAsia" w:ascii="Times New Roman" w:hAnsi="Times New Roman" w:eastAsia="仿宋_GB2312" w:cs="Times New Roman"/>
          <w:color w:val="auto"/>
          <w:sz w:val="32"/>
          <w:szCs w:val="32"/>
          <w:highlight w:val="none"/>
          <w:lang w:val="en-US" w:eastAsia="zh-CN"/>
        </w:rPr>
        <w:t>8301.4</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8074.3</w:t>
      </w:r>
      <w:r>
        <w:rPr>
          <w:rFonts w:hint="default" w:ascii="Times New Roman" w:hAnsi="Times New Roman" w:eastAsia="仿宋_GB2312" w:cs="Times New Roman"/>
          <w:color w:val="auto"/>
          <w:sz w:val="32"/>
          <w:szCs w:val="32"/>
          <w:highlight w:val="none"/>
          <w:lang w:val="en-US" w:eastAsia="zh-CN"/>
        </w:rPr>
        <w:t>亿元；专项债务限额</w:t>
      </w:r>
      <w:r>
        <w:rPr>
          <w:rFonts w:hint="eastAsia" w:ascii="Times New Roman" w:hAnsi="Times New Roman" w:eastAsia="仿宋_GB2312" w:cs="Times New Roman"/>
          <w:color w:val="auto"/>
          <w:sz w:val="32"/>
          <w:szCs w:val="32"/>
          <w:highlight w:val="none"/>
          <w:lang w:val="en-US" w:eastAsia="zh-CN"/>
        </w:rPr>
        <w:t>18601.3</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15954.6</w:t>
      </w:r>
      <w:r>
        <w:rPr>
          <w:rFonts w:hint="default" w:ascii="Times New Roman" w:hAnsi="Times New Roman" w:eastAsia="仿宋_GB2312" w:cs="Times New Roman"/>
          <w:color w:val="auto"/>
          <w:sz w:val="32"/>
          <w:szCs w:val="32"/>
          <w:highlight w:val="none"/>
          <w:lang w:val="en-US" w:eastAsia="zh-CN"/>
        </w:rPr>
        <w:t>亿元。分级次看：省级债务限额</w:t>
      </w:r>
      <w:r>
        <w:rPr>
          <w:rFonts w:hint="eastAsia" w:ascii="Times New Roman" w:hAnsi="Times New Roman" w:eastAsia="仿宋_GB2312" w:cs="Times New Roman"/>
          <w:color w:val="auto"/>
          <w:sz w:val="32"/>
          <w:szCs w:val="32"/>
          <w:highlight w:val="none"/>
          <w:lang w:val="en-US" w:eastAsia="zh-CN"/>
        </w:rPr>
        <w:t>1536.8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1406.5</w:t>
      </w:r>
      <w:r>
        <w:rPr>
          <w:rFonts w:hint="default" w:ascii="Times New Roman" w:hAnsi="Times New Roman" w:eastAsia="仿宋_GB2312" w:cs="Times New Roman"/>
          <w:color w:val="auto"/>
          <w:sz w:val="32"/>
          <w:szCs w:val="32"/>
          <w:highlight w:val="none"/>
          <w:lang w:val="en-US" w:eastAsia="zh-CN"/>
        </w:rPr>
        <w:t>亿元；市级债务限额</w:t>
      </w:r>
      <w:r>
        <w:rPr>
          <w:rFonts w:hint="eastAsia" w:ascii="Times New Roman" w:hAnsi="Times New Roman" w:eastAsia="仿宋_GB2312" w:cs="Times New Roman"/>
          <w:color w:val="auto"/>
          <w:sz w:val="32"/>
          <w:szCs w:val="32"/>
          <w:highlight w:val="none"/>
          <w:lang w:val="en-US" w:eastAsia="zh-CN"/>
        </w:rPr>
        <w:t>7504.1</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6866.8</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val="en" w:eastAsia="zh-CN"/>
        </w:rPr>
        <w:t>;县</w:t>
      </w:r>
      <w:r>
        <w:rPr>
          <w:rFonts w:hint="default" w:ascii="Times New Roman" w:hAnsi="Times New Roman" w:eastAsia="仿宋_GB2312" w:cs="Times New Roman"/>
          <w:color w:val="auto"/>
          <w:sz w:val="32"/>
          <w:szCs w:val="32"/>
          <w:highlight w:val="none"/>
          <w:lang w:val="en-US" w:eastAsia="zh-CN"/>
        </w:rPr>
        <w:t>级债务限额</w:t>
      </w:r>
      <w:r>
        <w:rPr>
          <w:rFonts w:hint="eastAsia" w:ascii="Times New Roman" w:hAnsi="Times New Roman" w:eastAsia="仿宋_GB2312" w:cs="Times New Roman"/>
          <w:color w:val="auto"/>
          <w:sz w:val="32"/>
          <w:szCs w:val="32"/>
          <w:highlight w:val="none"/>
          <w:lang w:val="en-US" w:eastAsia="zh-CN"/>
        </w:rPr>
        <w:t>17861.8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15755.6</w:t>
      </w:r>
      <w:r>
        <w:rPr>
          <w:rFonts w:hint="default" w:ascii="Times New Roman" w:hAnsi="Times New Roman" w:eastAsia="仿宋_GB2312" w:cs="Times New Roman"/>
          <w:color w:val="auto"/>
          <w:sz w:val="32"/>
          <w:szCs w:val="32"/>
          <w:highlight w:val="none"/>
          <w:lang w:val="en-US" w:eastAsia="zh-CN"/>
        </w:rPr>
        <w:t>亿元。</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年，全省新增政府债券主要聚焦</w:t>
      </w:r>
      <w:r>
        <w:rPr>
          <w:rFonts w:hint="eastAsia" w:ascii="Times New Roman" w:hAnsi="Times New Roman" w:eastAsia="仿宋_GB2312" w:cs="Times New Roman"/>
          <w:color w:val="auto"/>
          <w:sz w:val="32"/>
          <w:szCs w:val="32"/>
          <w:highlight w:val="none"/>
          <w:lang w:val="en-US" w:eastAsia="zh-CN"/>
        </w:rPr>
        <w:t>交通、社会事业、产业园区</w:t>
      </w:r>
      <w:r>
        <w:rPr>
          <w:rFonts w:hint="default" w:ascii="Times New Roman" w:hAnsi="Times New Roman" w:eastAsia="仿宋_GB2312" w:cs="Times New Roman"/>
          <w:color w:val="auto"/>
          <w:sz w:val="32"/>
          <w:szCs w:val="32"/>
          <w:highlight w:val="none"/>
          <w:lang w:val="en-US" w:eastAsia="zh-CN"/>
        </w:rPr>
        <w:t>等领域，有力支持了</w:t>
      </w:r>
      <w:r>
        <w:rPr>
          <w:rFonts w:hint="eastAsia" w:ascii="Times New Roman" w:hAnsi="Times New Roman" w:eastAsia="仿宋_GB2312" w:cs="Times New Roman"/>
          <w:color w:val="auto"/>
          <w:sz w:val="32"/>
          <w:szCs w:val="32"/>
          <w:highlight w:val="none"/>
          <w:lang w:val="en-US" w:eastAsia="zh-CN"/>
        </w:rPr>
        <w:t>成达万铁路、岷江龙溪口航电枢纽</w:t>
      </w:r>
      <w:r>
        <w:rPr>
          <w:rFonts w:hint="default" w:ascii="Times New Roman" w:hAnsi="Times New Roman" w:eastAsia="仿宋_GB2312" w:cs="Times New Roman"/>
          <w:color w:val="auto"/>
          <w:sz w:val="32"/>
          <w:szCs w:val="32"/>
          <w:highlight w:val="none"/>
          <w:lang w:val="en-US" w:eastAsia="zh-CN"/>
        </w:rPr>
        <w:t>等重大项目建设</w:t>
      </w:r>
      <w:r>
        <w:rPr>
          <w:rFonts w:hint="default" w:ascii="Times New Roman" w:hAnsi="Times New Roman" w:eastAsia="仿宋_GB2312" w:cs="Times New Roman"/>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（二）四川省加强债务管理、防范化解政府债务风险采取的主要措施。</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四川省委、省政府高度重视政府债务管理工作，积极采取有效措施完善相关制度机制，切实防范和化解地方政府债务风险。</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加强统筹部署，完善政府债务管理。</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完善管理制度机制</w:t>
      </w:r>
      <w:r>
        <w:rPr>
          <w:rFonts w:hint="default"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建立发改、财政双牵头，主管部门分工负责的“2+N”债券管理新机制，</w:t>
      </w:r>
      <w:r>
        <w:rPr>
          <w:rFonts w:hint="default" w:ascii="Times New Roman" w:hAnsi="Times New Roman" w:eastAsia="仿宋_GB2312" w:cs="Times New Roman"/>
          <w:color w:val="auto"/>
          <w:sz w:val="32"/>
          <w:szCs w:val="32"/>
          <w:highlight w:val="none"/>
        </w:rPr>
        <w:t>印发《四川省债券项目全生命周期管理工作机制》</w:t>
      </w:r>
      <w:r>
        <w:rPr>
          <w:rFonts w:hint="eastAsia" w:ascii="Times New Roman" w:hAnsi="Times New Roman" w:eastAsia="仿宋_GB2312" w:cs="Times New Roman"/>
          <w:color w:val="auto"/>
          <w:sz w:val="32"/>
          <w:szCs w:val="32"/>
          <w:highlight w:val="none"/>
          <w:lang w:val="en-US" w:eastAsia="zh-CN"/>
        </w:rPr>
        <w:t>作为管总文件，配套出台审核标准、行业分工、工作流程等，加强专项债券“借、用、管、还”全生命周期管理</w:t>
      </w:r>
      <w:r>
        <w:rPr>
          <w:rFonts w:hint="default" w:ascii="Times New Roman" w:hAnsi="Times New Roman" w:eastAsia="仿宋_GB2312"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强化债券资金监管</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建立专项债券专户管理，</w:t>
      </w:r>
      <w:r>
        <w:rPr>
          <w:rFonts w:hint="default" w:ascii="Times New Roman" w:hAnsi="Times New Roman" w:eastAsia="仿宋_GB2312" w:cs="Times New Roman"/>
          <w:color w:val="auto"/>
          <w:sz w:val="32"/>
          <w:szCs w:val="32"/>
          <w:highlight w:val="none"/>
          <w:lang w:val="en-US" w:eastAsia="zh-CN"/>
        </w:rPr>
        <w:t>债券资金专款专用</w:t>
      </w:r>
      <w:r>
        <w:rPr>
          <w:rFonts w:hint="eastAsia" w:ascii="Times New Roman" w:hAnsi="Times New Roman" w:eastAsia="仿宋_GB2312" w:cs="Times New Roman"/>
          <w:color w:val="auto"/>
          <w:sz w:val="32"/>
          <w:szCs w:val="32"/>
          <w:highlight w:val="none"/>
          <w:lang w:val="en-US" w:eastAsia="zh-CN"/>
        </w:rPr>
        <w:t>。针对发现的各类债券项目资金管理问题，印发专项工作方案，从事前准入把关、事中监测调度、事后运营管理、全程监督问效四个方面强化管理要求，提高专项债券资金使用效益</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方正楷体简体"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.聚焦重点领域，加力促投资稳增长。</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（1）积极落实中央和省委安排部署。</w:t>
      </w:r>
      <w:r>
        <w:rPr>
          <w:rFonts w:hint="default" w:ascii="Times New Roman" w:hAnsi="Times New Roman" w:eastAsia="仿宋_GB2312" w:cs="Times New Roman"/>
          <w:color w:val="auto"/>
          <w:sz w:val="32"/>
          <w:szCs w:val="32"/>
          <w:highlight w:val="none"/>
          <w:lang w:val="en-US" w:eastAsia="zh-CN"/>
        </w:rPr>
        <w:t>坚持“资金跟着项目走”原则，聚焦成渝地区双城经济圈建设、重大基础设施、</w:t>
      </w:r>
      <w:r>
        <w:rPr>
          <w:rFonts w:hint="eastAsia" w:ascii="Times New Roman" w:hAnsi="Times New Roman" w:eastAsia="仿宋_GB2312" w:cs="Times New Roman"/>
          <w:color w:val="auto"/>
          <w:sz w:val="32"/>
          <w:szCs w:val="32"/>
          <w:highlight w:val="none"/>
          <w:lang w:val="en-US" w:eastAsia="zh-CN"/>
        </w:rPr>
        <w:t>科技和产业发展</w:t>
      </w:r>
      <w:r>
        <w:rPr>
          <w:rFonts w:hint="default" w:ascii="Times New Roman" w:hAnsi="Times New Roman" w:eastAsia="仿宋_GB2312" w:cs="Times New Roman"/>
          <w:color w:val="auto"/>
          <w:sz w:val="32"/>
          <w:szCs w:val="32"/>
          <w:highlight w:val="none"/>
          <w:lang w:val="en-US" w:eastAsia="zh-CN"/>
        </w:rPr>
        <w:t>、民生保障等</w:t>
      </w:r>
      <w:r>
        <w:rPr>
          <w:rFonts w:hint="eastAsia" w:ascii="Times New Roman" w:hAnsi="Times New Roman" w:eastAsia="仿宋_GB2312" w:cs="Times New Roman"/>
          <w:color w:val="auto"/>
          <w:sz w:val="32"/>
          <w:szCs w:val="32"/>
          <w:highlight w:val="none"/>
          <w:lang w:val="en-US" w:eastAsia="zh-CN"/>
        </w:rPr>
        <w:t>领域</w:t>
      </w:r>
      <w:r>
        <w:rPr>
          <w:rFonts w:hint="default" w:ascii="Times New Roman" w:hAnsi="Times New Roman" w:eastAsia="仿宋_GB2312" w:cs="Times New Roman"/>
          <w:color w:val="auto"/>
          <w:sz w:val="32"/>
          <w:szCs w:val="32"/>
          <w:highlight w:val="none"/>
          <w:lang w:val="en-US" w:eastAsia="zh-CN"/>
        </w:rPr>
        <w:t>，优先支持省委省政府明确的</w:t>
      </w:r>
      <w:r>
        <w:rPr>
          <w:rFonts w:hint="eastAsia" w:ascii="Times New Roman" w:hAnsi="Times New Roman" w:eastAsia="仿宋_GB2312" w:cs="Times New Roman"/>
          <w:color w:val="auto"/>
          <w:sz w:val="32"/>
          <w:szCs w:val="32"/>
          <w:highlight w:val="none"/>
          <w:lang w:val="en-US" w:eastAsia="zh-CN"/>
        </w:rPr>
        <w:t>重大项目</w:t>
      </w:r>
      <w:r>
        <w:rPr>
          <w:rFonts w:hint="default" w:ascii="Times New Roman" w:hAnsi="Times New Roman" w:eastAsia="仿宋_GB2312" w:cs="Times New Roman"/>
          <w:color w:val="auto"/>
          <w:sz w:val="32"/>
          <w:szCs w:val="32"/>
          <w:highlight w:val="none"/>
          <w:lang w:val="en-US" w:eastAsia="zh-CN"/>
        </w:rPr>
        <w:t>，增强对重大战略决策的支撑力度，充分发挥债券资金逆周期调节、“补短板、惠民生、促消费、扩内需”的积极作用。</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（2）精心优选债券发行项目。</w:t>
      </w:r>
      <w:r>
        <w:rPr>
          <w:rFonts w:hint="default" w:ascii="Times New Roman" w:hAnsi="Times New Roman" w:eastAsia="仿宋_GB2312" w:cs="Times New Roman"/>
          <w:color w:val="auto"/>
          <w:sz w:val="32"/>
          <w:szCs w:val="32"/>
          <w:highlight w:val="none"/>
          <w:lang w:val="en-US" w:eastAsia="zh-CN"/>
        </w:rPr>
        <w:t>坚持专项债券用于有一定收益的公益性项目，</w:t>
      </w:r>
      <w:r>
        <w:rPr>
          <w:rFonts w:hint="eastAsia" w:ascii="Times New Roman" w:hAnsi="Times New Roman" w:eastAsia="仿宋_GB2312" w:cs="Times New Roman"/>
          <w:color w:val="auto"/>
          <w:sz w:val="32"/>
          <w:szCs w:val="32"/>
          <w:highlight w:val="none"/>
          <w:lang w:val="en-US" w:eastAsia="zh-CN"/>
        </w:rPr>
        <w:t>聚焦投向领域、建设内容、前期准备等，加强项目合规性审核。同时，围绕项目成熟度加强发行前</w:t>
      </w:r>
      <w:r>
        <w:rPr>
          <w:rFonts w:hint="default" w:ascii="Times New Roman" w:hAnsi="Times New Roman" w:eastAsia="仿宋_GB2312" w:cs="Times New Roman"/>
          <w:color w:val="auto"/>
          <w:sz w:val="32"/>
          <w:szCs w:val="32"/>
          <w:highlight w:val="none"/>
          <w:lang w:val="en-US" w:eastAsia="zh-CN"/>
        </w:rPr>
        <w:t>把关，</w:t>
      </w:r>
      <w:r>
        <w:rPr>
          <w:rFonts w:hint="eastAsia" w:ascii="Times New Roman" w:hAnsi="Times New Roman" w:eastAsia="仿宋_GB2312" w:cs="Times New Roman"/>
          <w:color w:val="auto"/>
          <w:sz w:val="32"/>
          <w:szCs w:val="32"/>
          <w:highlight w:val="none"/>
          <w:lang w:val="en-US" w:eastAsia="zh-CN"/>
        </w:rPr>
        <w:t>推动专项债券资金用于在建项目和成熟度高的新项目，实现“早发快用”</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（3）加快债券使用进度。</w:t>
      </w:r>
      <w:r>
        <w:rPr>
          <w:rFonts w:hint="default" w:ascii="Times New Roman" w:hAnsi="Times New Roman" w:eastAsia="仿宋_GB2312" w:cs="Times New Roman"/>
          <w:color w:val="auto"/>
          <w:sz w:val="32"/>
          <w:szCs w:val="32"/>
          <w:highlight w:val="none"/>
          <w:lang w:val="en-US" w:eastAsia="zh-CN"/>
        </w:rPr>
        <w:t>提前做好资金拨付方案，确保新增债券资金及时拨付至市县；建立</w:t>
      </w:r>
      <w:r>
        <w:rPr>
          <w:rFonts w:hint="eastAsia" w:ascii="Times New Roman" w:hAnsi="Times New Roman" w:eastAsia="仿宋_GB2312" w:cs="Times New Roman"/>
          <w:color w:val="auto"/>
          <w:sz w:val="32"/>
          <w:szCs w:val="32"/>
          <w:highlight w:val="none"/>
          <w:lang w:val="en-US" w:eastAsia="zh-CN"/>
        </w:rPr>
        <w:t>定期监测通报</w:t>
      </w:r>
      <w:r>
        <w:rPr>
          <w:rFonts w:hint="default" w:ascii="Times New Roman" w:hAnsi="Times New Roman" w:eastAsia="仿宋_GB2312" w:cs="Times New Roman"/>
          <w:color w:val="auto"/>
          <w:sz w:val="32"/>
          <w:szCs w:val="32"/>
          <w:highlight w:val="none"/>
          <w:lang w:val="en-US" w:eastAsia="zh-CN"/>
        </w:rPr>
        <w:t>机制，“点对点”提示进度明显落后地区</w:t>
      </w:r>
      <w:r>
        <w:rPr>
          <w:rFonts w:hint="eastAsia" w:ascii="Times New Roman" w:hAnsi="Times New Roman" w:eastAsia="仿宋_GB2312" w:cs="Times New Roman"/>
          <w:color w:val="auto"/>
          <w:sz w:val="32"/>
          <w:szCs w:val="32"/>
          <w:highlight w:val="none"/>
          <w:lang w:val="en-US" w:eastAsia="zh-CN"/>
        </w:rPr>
        <w:t>；发挥“2+N”机制作用开展专项督导，</w:t>
      </w:r>
      <w:r>
        <w:rPr>
          <w:rFonts w:hint="default" w:ascii="Times New Roman" w:hAnsi="Times New Roman" w:eastAsia="仿宋_GB2312" w:cs="Times New Roman"/>
          <w:color w:val="auto"/>
          <w:sz w:val="32"/>
          <w:szCs w:val="32"/>
          <w:highlight w:val="none"/>
          <w:lang w:val="en-US" w:eastAsia="zh-CN"/>
        </w:rPr>
        <w:t>督促市县</w:t>
      </w:r>
      <w:r>
        <w:rPr>
          <w:rFonts w:hint="eastAsia" w:ascii="Times New Roman" w:hAnsi="Times New Roman" w:eastAsia="仿宋_GB2312" w:cs="Times New Roman"/>
          <w:color w:val="auto"/>
          <w:sz w:val="32"/>
          <w:szCs w:val="32"/>
          <w:highlight w:val="none"/>
          <w:lang w:val="en-US" w:eastAsia="zh-CN"/>
        </w:rPr>
        <w:t>债券资金拨付进度与项目实施进度相匹配。</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3.强化风险防控，牢牢守住防范风险底线。</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（1）严格债务限额管理。</w:t>
      </w:r>
      <w:r>
        <w:rPr>
          <w:rFonts w:hint="default" w:ascii="Times New Roman" w:hAnsi="Times New Roman" w:eastAsia="仿宋_GB2312" w:cs="Times New Roman"/>
          <w:b w:val="0"/>
          <w:bCs w:val="0"/>
          <w:color w:val="auto"/>
          <w:sz w:val="32"/>
          <w:szCs w:val="32"/>
          <w:highlight w:val="none"/>
          <w:lang w:val="en-US" w:eastAsia="zh-CN"/>
        </w:rPr>
        <w:t>加快构建同高质量发展相适应的政府债务管理长效机制</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风险等因素科学分配市县新增</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限额，对</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风险较高地区适当限制新增债券额度，引导地方政府加大化债力度，控制</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风险水平。</w:t>
      </w:r>
      <w:r>
        <w:rPr>
          <w:rFonts w:hint="eastAsia" w:ascii="Times New Roman" w:hAnsi="Times New Roman" w:eastAsia="仿宋_GB2312" w:cs="Times New Roman"/>
          <w:b w:val="0"/>
          <w:bCs w:val="0"/>
          <w:color w:val="auto"/>
          <w:sz w:val="32"/>
          <w:szCs w:val="32"/>
          <w:highlight w:val="none"/>
          <w:lang w:val="en-US" w:eastAsia="zh-CN"/>
        </w:rPr>
        <w:t>2025</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全省政府</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余额严格控制在财政部核定我省</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限额以内，</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风险总体可控</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（2）全面完成到期政府债务偿还。</w:t>
      </w:r>
      <w:r>
        <w:rPr>
          <w:rFonts w:hint="default" w:ascii="Times New Roman" w:hAnsi="Times New Roman" w:eastAsia="仿宋_GB2312" w:cs="Times New Roman"/>
          <w:color w:val="auto"/>
          <w:sz w:val="32"/>
          <w:szCs w:val="32"/>
          <w:highlight w:val="none"/>
          <w:lang w:val="en-US" w:eastAsia="zh-CN"/>
        </w:rPr>
        <w:t>依法落实法定债券偿还责任，按照“谁使用、谁偿还”的原则，严格落实偿债资金来源，提高自有资金偿债比例，切实维护了省政府信誉。</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（3）强化债务风险监测预警。</w:t>
      </w:r>
      <w:r>
        <w:rPr>
          <w:rFonts w:hint="eastAsia" w:ascii="Times New Roman" w:hAnsi="Times New Roman" w:eastAsia="仿宋_GB2312" w:cs="Times New Roman"/>
          <w:b w:val="0"/>
          <w:bCs w:val="0"/>
          <w:color w:val="auto"/>
          <w:sz w:val="32"/>
          <w:szCs w:val="32"/>
          <w:highlight w:val="none"/>
          <w:lang w:val="en-US" w:eastAsia="zh-CN"/>
        </w:rPr>
        <w:t>实施全口径地方债务监测监管，</w:t>
      </w:r>
      <w:r>
        <w:rPr>
          <w:rFonts w:hint="default" w:ascii="Times New Roman" w:hAnsi="Times New Roman" w:eastAsia="仿宋_GB2312" w:cs="Times New Roman"/>
          <w:b w:val="0"/>
          <w:bCs w:val="0"/>
          <w:color w:val="auto"/>
          <w:sz w:val="32"/>
          <w:szCs w:val="32"/>
          <w:highlight w:val="none"/>
        </w:rPr>
        <w:t>定期开展</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风险评估，及时通报评估结果</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督促指导风险较高市县统筹资金资产资源尽全力化债，筑牢防爆雷风险底线</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（4）严格违规举债追责问责。</w:t>
      </w:r>
      <w:r>
        <w:rPr>
          <w:rFonts w:hint="eastAsia" w:ascii="Times New Roman" w:hAnsi="Times New Roman" w:eastAsia="仿宋_GB2312" w:cs="Times New Roman"/>
          <w:b w:val="0"/>
          <w:bCs w:val="0"/>
          <w:color w:val="auto"/>
          <w:sz w:val="32"/>
          <w:szCs w:val="32"/>
          <w:highlight w:val="none"/>
          <w:lang w:eastAsia="zh-CN"/>
        </w:rPr>
        <w:t>保持遏制新增隐性债务“零容忍”高压态势，</w:t>
      </w:r>
      <w:r>
        <w:rPr>
          <w:rFonts w:hint="default" w:ascii="Times New Roman" w:hAnsi="Times New Roman" w:eastAsia="仿宋_GB2312" w:cs="Times New Roman"/>
          <w:b w:val="0"/>
          <w:bCs w:val="0"/>
          <w:color w:val="auto"/>
          <w:sz w:val="32"/>
          <w:szCs w:val="32"/>
          <w:highlight w:val="none"/>
          <w:lang w:eastAsia="zh-CN"/>
        </w:rPr>
        <w:t>严格落实</w:t>
      </w:r>
      <w:r>
        <w:rPr>
          <w:rFonts w:hint="eastAsia" w:ascii="Times New Roman" w:hAnsi="Times New Roman" w:eastAsia="仿宋_GB2312" w:cs="Times New Roman"/>
          <w:b w:val="0"/>
          <w:bCs w:val="0"/>
          <w:color w:val="auto"/>
          <w:sz w:val="32"/>
          <w:szCs w:val="32"/>
          <w:highlight w:val="none"/>
          <w:lang w:eastAsia="zh-CN"/>
        </w:rPr>
        <w:t>违规</w:t>
      </w:r>
      <w:r>
        <w:rPr>
          <w:rFonts w:hint="default" w:ascii="Times New Roman" w:hAnsi="Times New Roman" w:eastAsia="仿宋_GB2312" w:cs="Times New Roman"/>
          <w:b w:val="0"/>
          <w:bCs w:val="0"/>
          <w:color w:val="auto"/>
          <w:sz w:val="32"/>
          <w:szCs w:val="32"/>
          <w:highlight w:val="none"/>
          <w:lang w:eastAsia="zh-CN"/>
        </w:rPr>
        <w:t>举债终身问责制和债务问题倒查机制，实施隐性债务问责闭环管理</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将不新增隐性债务作为铁的纪律，对违规举债严肃追责问责</w:t>
      </w:r>
      <w:r>
        <w:rPr>
          <w:rFonts w:hint="default" w:ascii="Times New Roman" w:hAnsi="Times New Roman" w:eastAsia="仿宋_GB2312" w:cs="Times New Roman"/>
          <w:b w:val="0"/>
          <w:bCs w:val="0"/>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eastAsia="仿宋_GB2312" w:cs="Times New Roman"/>
          <w:sz w:val="32"/>
          <w:szCs w:val="24"/>
        </w:rPr>
      </w:pPr>
      <w:r>
        <w:rPr>
          <w:rFonts w:hint="default" w:ascii="Times New Roman" w:hAnsi="Times New Roman" w:cs="Times New Roman"/>
          <w:kern w:val="0"/>
          <w:sz w:val="32"/>
          <w:szCs w:val="32"/>
          <w:lang w:val="zh-CN"/>
        </w:rPr>
        <w:t>附件：</w:t>
      </w:r>
      <w:r>
        <w:rPr>
          <w:rFonts w:hint="eastAsia" w:cs="Times New Roman"/>
          <w:kern w:val="0"/>
          <w:sz w:val="32"/>
          <w:szCs w:val="32"/>
          <w:lang w:val="en-US" w:eastAsia="zh-CN"/>
        </w:rPr>
        <w:t>1.</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eastAsia" w:cs="Times New Roman"/>
          <w:sz w:val="32"/>
          <w:szCs w:val="24"/>
          <w:lang w:eastAsia="zh-CN"/>
        </w:rPr>
        <w:t>十二至十七期</w:t>
      </w:r>
      <w:r>
        <w:rPr>
          <w:rFonts w:hint="default" w:ascii="Times New Roman" w:hAnsi="Times New Roman" w:eastAsia="仿宋_GB2312" w:cs="Times New Roman"/>
          <w:sz w:val="32"/>
          <w:szCs w:val="24"/>
        </w:rPr>
        <w:t>）各期</w:t>
      </w:r>
    </w:p>
    <w:p>
      <w:pPr>
        <w:keepNext w:val="0"/>
        <w:keepLines w:val="0"/>
        <w:pageBreakBefore w:val="0"/>
        <w:kinsoku/>
        <w:wordWrap/>
        <w:overflowPunct/>
        <w:topLinePunct w:val="0"/>
        <w:autoSpaceDE/>
        <w:autoSpaceDN/>
        <w:bidi w:val="0"/>
        <w:adjustRightInd/>
        <w:snapToGrid/>
        <w:spacing w:line="530" w:lineRule="exact"/>
        <w:ind w:left="2070" w:leftChars="530" w:hanging="480" w:hangingChars="150"/>
        <w:jc w:val="left"/>
        <w:textAlignment w:val="auto"/>
        <w:rPr>
          <w:rFonts w:hint="default" w:ascii="Times New Roman" w:hAnsi="Times New Roman" w:cs="Times New Roman"/>
          <w:kern w:val="0"/>
          <w:sz w:val="32"/>
          <w:szCs w:val="32"/>
          <w:lang w:val="zh-CN"/>
        </w:rPr>
      </w:pPr>
      <w:r>
        <w:rPr>
          <w:rFonts w:hint="default" w:ascii="Times New Roman" w:hAnsi="Times New Roman" w:eastAsia="仿宋_GB2312" w:cs="Times New Roman"/>
          <w:sz w:val="32"/>
          <w:szCs w:val="24"/>
        </w:rPr>
        <w:t>债券项目清单</w:t>
      </w:r>
    </w:p>
    <w:p>
      <w:pPr>
        <w:keepNext w:val="0"/>
        <w:keepLines w:val="0"/>
        <w:pageBreakBefore w:val="0"/>
        <w:kinsoku/>
        <w:wordWrap/>
        <w:overflowPunct/>
        <w:topLinePunct w:val="0"/>
        <w:autoSpaceDE/>
        <w:autoSpaceDN/>
        <w:bidi w:val="0"/>
        <w:adjustRightInd/>
        <w:snapToGrid/>
        <w:spacing w:line="530" w:lineRule="exact"/>
        <w:ind w:left="2070" w:leftChars="530" w:hanging="480" w:hangingChars="1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2.</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default" w:ascii="Times New Roman" w:hAnsi="Times New Roman" w:eastAsia="仿宋_GB2312" w:cs="Times New Roman"/>
          <w:sz w:val="32"/>
          <w:szCs w:val="32"/>
          <w:lang w:eastAsia="zh-CN"/>
        </w:rPr>
        <w:t>（</w:t>
      </w:r>
      <w:r>
        <w:rPr>
          <w:rFonts w:hint="eastAsia" w:cs="Times New Roman"/>
          <w:sz w:val="32"/>
          <w:szCs w:val="32"/>
          <w:lang w:eastAsia="zh-CN"/>
        </w:rPr>
        <w:t>十二至十七期</w:t>
      </w:r>
      <w:r>
        <w:rPr>
          <w:rFonts w:hint="default" w:ascii="Times New Roman" w:hAnsi="Times New Roman" w:eastAsia="仿宋_GB2312" w:cs="Times New Roman"/>
          <w:sz w:val="32"/>
          <w:szCs w:val="32"/>
          <w:lang w:eastAsia="zh-CN"/>
        </w:rPr>
        <w:t>）</w:t>
      </w:r>
      <w:r>
        <w:rPr>
          <w:rFonts w:hint="default" w:ascii="Times New Roman" w:hAnsi="Times New Roman" w:cs="Times New Roman"/>
          <w:kern w:val="0"/>
          <w:sz w:val="32"/>
          <w:szCs w:val="32"/>
          <w:lang w:val="zh-CN"/>
        </w:rPr>
        <w:t>各期</w:t>
      </w:r>
    </w:p>
    <w:p>
      <w:pPr>
        <w:keepNext w:val="0"/>
        <w:keepLines w:val="0"/>
        <w:pageBreakBefore w:val="0"/>
        <w:kinsoku/>
        <w:wordWrap/>
        <w:overflowPunct/>
        <w:topLinePunct w:val="0"/>
        <w:autoSpaceDE/>
        <w:autoSpaceDN/>
        <w:bidi w:val="0"/>
        <w:adjustRightInd/>
        <w:snapToGrid/>
        <w:spacing w:line="530" w:lineRule="exact"/>
        <w:ind w:left="2070" w:leftChars="530" w:hanging="480" w:hangingChars="1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债券法律意见书</w:t>
      </w:r>
    </w:p>
    <w:p>
      <w:pPr>
        <w:keepNext w:val="0"/>
        <w:keepLines w:val="0"/>
        <w:pageBreakBefore w:val="0"/>
        <w:kinsoku/>
        <w:wordWrap/>
        <w:overflowPunct/>
        <w:topLinePunct w:val="0"/>
        <w:autoSpaceDE/>
        <w:autoSpaceDN/>
        <w:bidi w:val="0"/>
        <w:adjustRightInd/>
        <w:snapToGrid/>
        <w:spacing w:line="530" w:lineRule="exact"/>
        <w:ind w:left="2076" w:leftChars="212" w:hanging="1440" w:hangingChars="4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 xml:space="preserve">      3.</w:t>
      </w:r>
      <w:r>
        <w:rPr>
          <w:rFonts w:hint="default" w:ascii="Times New Roman" w:hAnsi="Times New Roman" w:eastAsia="仿宋_GB2312" w:cs="Times New Roman"/>
          <w:sz w:val="32"/>
          <w:szCs w:val="24"/>
        </w:rPr>
        <w:t>202</w:t>
      </w:r>
      <w:r>
        <w:rPr>
          <w:rFonts w:hint="eastAsia" w:cs="Times New Roman"/>
          <w:sz w:val="32"/>
          <w:szCs w:val="24"/>
          <w:lang w:val="en-US" w:eastAsia="zh-CN"/>
        </w:rPr>
        <w:t>6</w:t>
      </w:r>
      <w:r>
        <w:rPr>
          <w:rFonts w:hint="default" w:ascii="Times New Roman" w:hAnsi="Times New Roman" w:eastAsia="仿宋_GB2312" w:cs="Times New Roman"/>
          <w:sz w:val="32"/>
          <w:szCs w:val="24"/>
        </w:rPr>
        <w:t>年四川省政府专项债券</w:t>
      </w:r>
      <w:r>
        <w:rPr>
          <w:rFonts w:hint="default" w:ascii="Times New Roman" w:hAnsi="Times New Roman" w:eastAsia="仿宋_GB2312" w:cs="Times New Roman"/>
          <w:sz w:val="32"/>
          <w:szCs w:val="32"/>
          <w:lang w:eastAsia="zh-CN"/>
        </w:rPr>
        <w:t>（</w:t>
      </w:r>
      <w:r>
        <w:rPr>
          <w:rFonts w:hint="eastAsia" w:cs="Times New Roman"/>
          <w:sz w:val="32"/>
          <w:szCs w:val="32"/>
          <w:lang w:eastAsia="zh-CN"/>
        </w:rPr>
        <w:t>十二至十七期</w:t>
      </w:r>
      <w:r>
        <w:rPr>
          <w:rFonts w:hint="default" w:ascii="Times New Roman" w:hAnsi="Times New Roman" w:eastAsia="仿宋_GB2312" w:cs="Times New Roman"/>
          <w:sz w:val="32"/>
          <w:szCs w:val="32"/>
          <w:lang w:eastAsia="zh-CN"/>
        </w:rPr>
        <w:t>）</w:t>
      </w:r>
      <w:r>
        <w:rPr>
          <w:rFonts w:hint="default" w:ascii="Times New Roman" w:hAnsi="Times New Roman" w:cs="Times New Roman"/>
          <w:kern w:val="0"/>
          <w:sz w:val="32"/>
          <w:szCs w:val="32"/>
          <w:lang w:val="zh-CN"/>
        </w:rPr>
        <w:t>各期</w:t>
      </w:r>
    </w:p>
    <w:p>
      <w:pPr>
        <w:keepNext w:val="0"/>
        <w:keepLines w:val="0"/>
        <w:pageBreakBefore w:val="0"/>
        <w:kinsoku/>
        <w:wordWrap/>
        <w:overflowPunct/>
        <w:topLinePunct w:val="0"/>
        <w:autoSpaceDE/>
        <w:autoSpaceDN/>
        <w:bidi w:val="0"/>
        <w:adjustRightInd/>
        <w:snapToGrid/>
        <w:spacing w:line="530" w:lineRule="exact"/>
        <w:ind w:left="2070" w:leftChars="530" w:hanging="480" w:hangingChars="150"/>
        <w:jc w:val="left"/>
        <w:textAlignment w:val="auto"/>
        <w:rPr>
          <w:rFonts w:hint="default" w:ascii="Times New Roman" w:hAnsi="Times New Roman" w:cs="Times New Roman"/>
          <w:kern w:val="0"/>
          <w:sz w:val="32"/>
          <w:szCs w:val="32"/>
          <w:lang w:val="zh-CN"/>
        </w:rPr>
      </w:pPr>
      <w:r>
        <w:rPr>
          <w:rFonts w:hint="default" w:ascii="Times New Roman" w:hAnsi="Times New Roman" w:cs="Times New Roman"/>
          <w:kern w:val="0"/>
          <w:sz w:val="32"/>
          <w:szCs w:val="32"/>
          <w:lang w:val="zh-CN"/>
        </w:rPr>
        <w:t>债券财务评估报告</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四川省财政厅</w:t>
      </w:r>
    </w:p>
    <w:p>
      <w:pPr>
        <w:keepNext w:val="0"/>
        <w:keepLines w:val="0"/>
        <w:pageBreakBefore w:val="0"/>
        <w:kinsoku/>
        <w:wordWrap/>
        <w:overflowPunct/>
        <w:topLinePunct w:val="0"/>
        <w:autoSpaceDE/>
        <w:autoSpaceDN/>
        <w:bidi w:val="0"/>
        <w:adjustRightInd/>
        <w:snapToGrid/>
        <w:spacing w:line="580" w:lineRule="exact"/>
        <w:ind w:right="460"/>
        <w:jc w:val="right"/>
        <w:textAlignment w:val="auto"/>
        <w:rPr>
          <w:rFonts w:hint="default" w:ascii="Times New Roman" w:hAnsi="Times New Roman" w:cs="Times New Roman"/>
          <w:color w:val="auto"/>
          <w:sz w:val="32"/>
          <w:szCs w:val="32"/>
          <w:highlight w:val="none"/>
        </w:rPr>
      </w:pPr>
      <w:r>
        <w:rPr>
          <w:rFonts w:hint="eastAsia" w:cs="Times New Roman"/>
          <w:color w:val="auto"/>
          <w:sz w:val="32"/>
          <w:szCs w:val="32"/>
          <w:highlight w:val="none"/>
          <w:lang w:eastAsia="zh-CN"/>
        </w:rPr>
        <w:t>202</w:t>
      </w:r>
      <w:r>
        <w:rPr>
          <w:rFonts w:hint="eastAsia" w:cs="Times New Roman"/>
          <w:color w:val="auto"/>
          <w:sz w:val="32"/>
          <w:szCs w:val="32"/>
          <w:highlight w:val="none"/>
          <w:lang w:val="en-US" w:eastAsia="zh-CN"/>
        </w:rPr>
        <w:t>6</w:t>
      </w:r>
      <w:r>
        <w:rPr>
          <w:rFonts w:hint="eastAsia" w:cs="Times New Roman"/>
          <w:color w:val="auto"/>
          <w:sz w:val="32"/>
          <w:szCs w:val="32"/>
          <w:highlight w:val="none"/>
          <w:lang w:eastAsia="zh-CN"/>
        </w:rPr>
        <w:t>年</w:t>
      </w:r>
      <w:r>
        <w:rPr>
          <w:rFonts w:hint="eastAsia"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24</w:t>
      </w:r>
      <w:r>
        <w:rPr>
          <w:rFonts w:hint="default" w:ascii="Times New Roman" w:hAnsi="Times New Roman" w:cs="Times New Roman"/>
          <w:color w:val="auto"/>
          <w:sz w:val="32"/>
          <w:szCs w:val="32"/>
          <w:highlight w:val="none"/>
        </w:rPr>
        <w:t>日</w:t>
      </w:r>
    </w:p>
    <w:sectPr>
      <w:footerReference r:id="rId3" w:type="default"/>
      <w:footerReference r:id="rId4" w:type="even"/>
      <w:pgSz w:w="11906" w:h="16838"/>
      <w:pgMar w:top="1757" w:right="1474" w:bottom="1871" w:left="1588" w:header="851" w:footer="992" w:gutter="0"/>
      <w:pgNumType w:fmt="numberInDash"/>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8"/>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9"/>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30BE2"/>
    <w:multiLevelType w:val="singleLevel"/>
    <w:tmpl w:val="EE430BE2"/>
    <w:lvl w:ilvl="0" w:tentative="0">
      <w:start w:val="4"/>
      <w:numFmt w:val="chineseCounting"/>
      <w:suff w:val="nothing"/>
      <w:lvlText w:val="%1、"/>
      <w:lvlJc w:val="left"/>
      <w:pPr>
        <w:ind w:left="640" w:leftChars="0" w:firstLine="0" w:firstLineChars="0"/>
      </w:pPr>
      <w:rPr>
        <w:rFonts w:hint="eastAsia"/>
      </w:rPr>
    </w:lvl>
  </w:abstractNum>
  <w:abstractNum w:abstractNumId="1">
    <w:nsid w:val="F7C65B72"/>
    <w:multiLevelType w:val="singleLevel"/>
    <w:tmpl w:val="F7C65B7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evenAndOddHeaders w:val="true"/>
  <w:drawingGridHorizontalSpacing w:val="150"/>
  <w:drawingGridVerticalSpacing w:val="20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YzE3YWExNzRhZWE0NjUzYzc4ZjdjNzA2MWRkMjcifQ=="/>
  </w:docVars>
  <w:rsids>
    <w:rsidRoot w:val="00D75D48"/>
    <w:rsid w:val="00003E0D"/>
    <w:rsid w:val="0000494F"/>
    <w:rsid w:val="00006366"/>
    <w:rsid w:val="00011EFF"/>
    <w:rsid w:val="00013565"/>
    <w:rsid w:val="00014F5C"/>
    <w:rsid w:val="00042444"/>
    <w:rsid w:val="000434E1"/>
    <w:rsid w:val="0004465C"/>
    <w:rsid w:val="00050F45"/>
    <w:rsid w:val="0005104D"/>
    <w:rsid w:val="00051067"/>
    <w:rsid w:val="00064B6B"/>
    <w:rsid w:val="00072ECB"/>
    <w:rsid w:val="00076E3A"/>
    <w:rsid w:val="00086525"/>
    <w:rsid w:val="000B5961"/>
    <w:rsid w:val="000B5B7E"/>
    <w:rsid w:val="000B7854"/>
    <w:rsid w:val="000C057D"/>
    <w:rsid w:val="000C06BC"/>
    <w:rsid w:val="000C478F"/>
    <w:rsid w:val="000C61D3"/>
    <w:rsid w:val="000D26F6"/>
    <w:rsid w:val="000D2B72"/>
    <w:rsid w:val="000D6165"/>
    <w:rsid w:val="000E3A19"/>
    <w:rsid w:val="00100DFA"/>
    <w:rsid w:val="00103061"/>
    <w:rsid w:val="00111B35"/>
    <w:rsid w:val="00112550"/>
    <w:rsid w:val="00112C8E"/>
    <w:rsid w:val="00114227"/>
    <w:rsid w:val="00114AAC"/>
    <w:rsid w:val="0011601A"/>
    <w:rsid w:val="00122059"/>
    <w:rsid w:val="001304D1"/>
    <w:rsid w:val="001308F0"/>
    <w:rsid w:val="001313BE"/>
    <w:rsid w:val="0013220C"/>
    <w:rsid w:val="0013365E"/>
    <w:rsid w:val="00145A97"/>
    <w:rsid w:val="0015095B"/>
    <w:rsid w:val="00150AC6"/>
    <w:rsid w:val="001516FD"/>
    <w:rsid w:val="00152AC1"/>
    <w:rsid w:val="001604AA"/>
    <w:rsid w:val="00162AFA"/>
    <w:rsid w:val="00163296"/>
    <w:rsid w:val="00167196"/>
    <w:rsid w:val="00172DB6"/>
    <w:rsid w:val="00174E86"/>
    <w:rsid w:val="001771B7"/>
    <w:rsid w:val="001845A6"/>
    <w:rsid w:val="00191893"/>
    <w:rsid w:val="001967F2"/>
    <w:rsid w:val="001A1B79"/>
    <w:rsid w:val="001B15E9"/>
    <w:rsid w:val="001B2A8F"/>
    <w:rsid w:val="001B33BC"/>
    <w:rsid w:val="001C5458"/>
    <w:rsid w:val="001D0426"/>
    <w:rsid w:val="001E1271"/>
    <w:rsid w:val="001F2BD7"/>
    <w:rsid w:val="001F65CB"/>
    <w:rsid w:val="00201608"/>
    <w:rsid w:val="0021141B"/>
    <w:rsid w:val="002128A8"/>
    <w:rsid w:val="00214C8D"/>
    <w:rsid w:val="00215BF8"/>
    <w:rsid w:val="00224B21"/>
    <w:rsid w:val="00227533"/>
    <w:rsid w:val="00232C05"/>
    <w:rsid w:val="002357DE"/>
    <w:rsid w:val="0023682D"/>
    <w:rsid w:val="00240592"/>
    <w:rsid w:val="00240B03"/>
    <w:rsid w:val="0024109D"/>
    <w:rsid w:val="0025728B"/>
    <w:rsid w:val="002622FC"/>
    <w:rsid w:val="00266CD1"/>
    <w:rsid w:val="00267A87"/>
    <w:rsid w:val="00274608"/>
    <w:rsid w:val="00286EF0"/>
    <w:rsid w:val="00291577"/>
    <w:rsid w:val="002973D9"/>
    <w:rsid w:val="002979A1"/>
    <w:rsid w:val="002A1BF4"/>
    <w:rsid w:val="002A2309"/>
    <w:rsid w:val="002A3BC7"/>
    <w:rsid w:val="002A5445"/>
    <w:rsid w:val="002A5D72"/>
    <w:rsid w:val="002A729F"/>
    <w:rsid w:val="002B14F3"/>
    <w:rsid w:val="002B7582"/>
    <w:rsid w:val="002B7F17"/>
    <w:rsid w:val="002C08AD"/>
    <w:rsid w:val="002C0B80"/>
    <w:rsid w:val="002C2F9A"/>
    <w:rsid w:val="002D09F3"/>
    <w:rsid w:val="002D34DE"/>
    <w:rsid w:val="002D3E97"/>
    <w:rsid w:val="002D7B82"/>
    <w:rsid w:val="002E3BF3"/>
    <w:rsid w:val="002E3CAF"/>
    <w:rsid w:val="002E7F88"/>
    <w:rsid w:val="002F02C0"/>
    <w:rsid w:val="002F51FB"/>
    <w:rsid w:val="002F6DDA"/>
    <w:rsid w:val="00300299"/>
    <w:rsid w:val="003142FA"/>
    <w:rsid w:val="003201E1"/>
    <w:rsid w:val="00323F8A"/>
    <w:rsid w:val="00330ADC"/>
    <w:rsid w:val="0033296F"/>
    <w:rsid w:val="00334122"/>
    <w:rsid w:val="00334C10"/>
    <w:rsid w:val="00334EBB"/>
    <w:rsid w:val="00337972"/>
    <w:rsid w:val="00340EAF"/>
    <w:rsid w:val="00345D80"/>
    <w:rsid w:val="00345E5A"/>
    <w:rsid w:val="00347B91"/>
    <w:rsid w:val="0035563B"/>
    <w:rsid w:val="0037122D"/>
    <w:rsid w:val="00372C4C"/>
    <w:rsid w:val="00377FC2"/>
    <w:rsid w:val="00381216"/>
    <w:rsid w:val="003823B9"/>
    <w:rsid w:val="0038792C"/>
    <w:rsid w:val="00387BB4"/>
    <w:rsid w:val="003949A1"/>
    <w:rsid w:val="003968AB"/>
    <w:rsid w:val="003A2602"/>
    <w:rsid w:val="003A336F"/>
    <w:rsid w:val="003A376D"/>
    <w:rsid w:val="003A7080"/>
    <w:rsid w:val="003C1A8A"/>
    <w:rsid w:val="003C509D"/>
    <w:rsid w:val="003D16F1"/>
    <w:rsid w:val="003D2881"/>
    <w:rsid w:val="003D5824"/>
    <w:rsid w:val="003E5B33"/>
    <w:rsid w:val="003E7CBF"/>
    <w:rsid w:val="003F7949"/>
    <w:rsid w:val="004025DD"/>
    <w:rsid w:val="00405B5D"/>
    <w:rsid w:val="004244C3"/>
    <w:rsid w:val="00427BCA"/>
    <w:rsid w:val="00430B0B"/>
    <w:rsid w:val="00435BA4"/>
    <w:rsid w:val="0045340E"/>
    <w:rsid w:val="00464202"/>
    <w:rsid w:val="004665B7"/>
    <w:rsid w:val="00482921"/>
    <w:rsid w:val="00484B65"/>
    <w:rsid w:val="00493BA0"/>
    <w:rsid w:val="0049492E"/>
    <w:rsid w:val="00495E42"/>
    <w:rsid w:val="004C0034"/>
    <w:rsid w:val="004C4227"/>
    <w:rsid w:val="004C4C68"/>
    <w:rsid w:val="004C52D6"/>
    <w:rsid w:val="004C5559"/>
    <w:rsid w:val="004C68A8"/>
    <w:rsid w:val="004C6AB9"/>
    <w:rsid w:val="004D711D"/>
    <w:rsid w:val="004E4A3D"/>
    <w:rsid w:val="004E758F"/>
    <w:rsid w:val="004F3907"/>
    <w:rsid w:val="004F4EDC"/>
    <w:rsid w:val="005066EB"/>
    <w:rsid w:val="0051060A"/>
    <w:rsid w:val="00514186"/>
    <w:rsid w:val="005164E3"/>
    <w:rsid w:val="005266A3"/>
    <w:rsid w:val="00530BCF"/>
    <w:rsid w:val="0054212C"/>
    <w:rsid w:val="00547F50"/>
    <w:rsid w:val="00550728"/>
    <w:rsid w:val="00551339"/>
    <w:rsid w:val="00553278"/>
    <w:rsid w:val="005564ED"/>
    <w:rsid w:val="00560934"/>
    <w:rsid w:val="00562DBE"/>
    <w:rsid w:val="0057119A"/>
    <w:rsid w:val="00575715"/>
    <w:rsid w:val="00582986"/>
    <w:rsid w:val="00585D39"/>
    <w:rsid w:val="005939A3"/>
    <w:rsid w:val="00596800"/>
    <w:rsid w:val="005B7EF1"/>
    <w:rsid w:val="005C3F98"/>
    <w:rsid w:val="005C4897"/>
    <w:rsid w:val="005C5FE3"/>
    <w:rsid w:val="005D7486"/>
    <w:rsid w:val="005D77D3"/>
    <w:rsid w:val="005E428F"/>
    <w:rsid w:val="005F3BAA"/>
    <w:rsid w:val="00600229"/>
    <w:rsid w:val="00600D0F"/>
    <w:rsid w:val="00602DC6"/>
    <w:rsid w:val="00604732"/>
    <w:rsid w:val="00610FF1"/>
    <w:rsid w:val="0061500F"/>
    <w:rsid w:val="00626C40"/>
    <w:rsid w:val="00633023"/>
    <w:rsid w:val="00640201"/>
    <w:rsid w:val="00642D24"/>
    <w:rsid w:val="0064355D"/>
    <w:rsid w:val="00650C3F"/>
    <w:rsid w:val="00665F72"/>
    <w:rsid w:val="006740B9"/>
    <w:rsid w:val="00676073"/>
    <w:rsid w:val="00680AB5"/>
    <w:rsid w:val="0068465F"/>
    <w:rsid w:val="0068663E"/>
    <w:rsid w:val="00692FD2"/>
    <w:rsid w:val="00694C5B"/>
    <w:rsid w:val="00695408"/>
    <w:rsid w:val="006B060D"/>
    <w:rsid w:val="006B0DF3"/>
    <w:rsid w:val="006B2B7B"/>
    <w:rsid w:val="006C2963"/>
    <w:rsid w:val="006C5601"/>
    <w:rsid w:val="006C6E5C"/>
    <w:rsid w:val="006E36A4"/>
    <w:rsid w:val="006F1D06"/>
    <w:rsid w:val="006F3245"/>
    <w:rsid w:val="006F61C3"/>
    <w:rsid w:val="006F741D"/>
    <w:rsid w:val="00720087"/>
    <w:rsid w:val="0073154D"/>
    <w:rsid w:val="00735355"/>
    <w:rsid w:val="00736241"/>
    <w:rsid w:val="007439DF"/>
    <w:rsid w:val="00744D83"/>
    <w:rsid w:val="0074763B"/>
    <w:rsid w:val="00751DC4"/>
    <w:rsid w:val="00752172"/>
    <w:rsid w:val="0075416B"/>
    <w:rsid w:val="00755C05"/>
    <w:rsid w:val="00761AB3"/>
    <w:rsid w:val="0076444B"/>
    <w:rsid w:val="007649E4"/>
    <w:rsid w:val="00780DBC"/>
    <w:rsid w:val="00782D0A"/>
    <w:rsid w:val="0078416A"/>
    <w:rsid w:val="007923F9"/>
    <w:rsid w:val="007932C3"/>
    <w:rsid w:val="007A058B"/>
    <w:rsid w:val="007A06F5"/>
    <w:rsid w:val="007A14E8"/>
    <w:rsid w:val="007B35D3"/>
    <w:rsid w:val="007B6043"/>
    <w:rsid w:val="007C317A"/>
    <w:rsid w:val="007C69F9"/>
    <w:rsid w:val="007E1599"/>
    <w:rsid w:val="007E6026"/>
    <w:rsid w:val="007F1013"/>
    <w:rsid w:val="007F4D11"/>
    <w:rsid w:val="00805FEC"/>
    <w:rsid w:val="00823002"/>
    <w:rsid w:val="008277DF"/>
    <w:rsid w:val="008329C9"/>
    <w:rsid w:val="00842479"/>
    <w:rsid w:val="0085799F"/>
    <w:rsid w:val="00860197"/>
    <w:rsid w:val="008604DB"/>
    <w:rsid w:val="00875865"/>
    <w:rsid w:val="00882426"/>
    <w:rsid w:val="008A3224"/>
    <w:rsid w:val="008A34A3"/>
    <w:rsid w:val="008B05D3"/>
    <w:rsid w:val="008B315F"/>
    <w:rsid w:val="008C35ED"/>
    <w:rsid w:val="008C4FD4"/>
    <w:rsid w:val="008C6AE1"/>
    <w:rsid w:val="008D25AF"/>
    <w:rsid w:val="008D45E6"/>
    <w:rsid w:val="008E05EB"/>
    <w:rsid w:val="008E1B60"/>
    <w:rsid w:val="008E7510"/>
    <w:rsid w:val="008F5C66"/>
    <w:rsid w:val="008F6CA8"/>
    <w:rsid w:val="008F72BE"/>
    <w:rsid w:val="00903207"/>
    <w:rsid w:val="0090767E"/>
    <w:rsid w:val="009130BC"/>
    <w:rsid w:val="00914DD3"/>
    <w:rsid w:val="009206E8"/>
    <w:rsid w:val="0093170E"/>
    <w:rsid w:val="0093596A"/>
    <w:rsid w:val="0093659F"/>
    <w:rsid w:val="00937A19"/>
    <w:rsid w:val="0094120E"/>
    <w:rsid w:val="00941341"/>
    <w:rsid w:val="009453ED"/>
    <w:rsid w:val="00945FE3"/>
    <w:rsid w:val="00946E22"/>
    <w:rsid w:val="009476E0"/>
    <w:rsid w:val="00950A16"/>
    <w:rsid w:val="009522E0"/>
    <w:rsid w:val="0096257C"/>
    <w:rsid w:val="00962A38"/>
    <w:rsid w:val="009804C9"/>
    <w:rsid w:val="00983021"/>
    <w:rsid w:val="0098705B"/>
    <w:rsid w:val="009A0FE4"/>
    <w:rsid w:val="009A25EC"/>
    <w:rsid w:val="009A4DDB"/>
    <w:rsid w:val="009C34ED"/>
    <w:rsid w:val="009C3C74"/>
    <w:rsid w:val="009F1EEC"/>
    <w:rsid w:val="009F34D2"/>
    <w:rsid w:val="00A011C8"/>
    <w:rsid w:val="00A02AE3"/>
    <w:rsid w:val="00A07ACF"/>
    <w:rsid w:val="00A324CA"/>
    <w:rsid w:val="00A33145"/>
    <w:rsid w:val="00A3391E"/>
    <w:rsid w:val="00A35BC8"/>
    <w:rsid w:val="00A35D46"/>
    <w:rsid w:val="00A43D8B"/>
    <w:rsid w:val="00A47A81"/>
    <w:rsid w:val="00A561E2"/>
    <w:rsid w:val="00A56E82"/>
    <w:rsid w:val="00A719B0"/>
    <w:rsid w:val="00A7244E"/>
    <w:rsid w:val="00A82813"/>
    <w:rsid w:val="00A830EF"/>
    <w:rsid w:val="00AA43CF"/>
    <w:rsid w:val="00AA4A2D"/>
    <w:rsid w:val="00AB2401"/>
    <w:rsid w:val="00AB6350"/>
    <w:rsid w:val="00AC3112"/>
    <w:rsid w:val="00AC3A34"/>
    <w:rsid w:val="00AC419C"/>
    <w:rsid w:val="00AC624B"/>
    <w:rsid w:val="00AD05D7"/>
    <w:rsid w:val="00AD61CC"/>
    <w:rsid w:val="00AE6F6C"/>
    <w:rsid w:val="00AE714A"/>
    <w:rsid w:val="00AF40BE"/>
    <w:rsid w:val="00AF5CDA"/>
    <w:rsid w:val="00B06264"/>
    <w:rsid w:val="00B102AA"/>
    <w:rsid w:val="00B10D79"/>
    <w:rsid w:val="00B2135E"/>
    <w:rsid w:val="00B226F7"/>
    <w:rsid w:val="00B327F3"/>
    <w:rsid w:val="00B4000D"/>
    <w:rsid w:val="00B41E90"/>
    <w:rsid w:val="00B44C31"/>
    <w:rsid w:val="00B47F9D"/>
    <w:rsid w:val="00B53FB4"/>
    <w:rsid w:val="00B56F46"/>
    <w:rsid w:val="00B72F85"/>
    <w:rsid w:val="00B82AF9"/>
    <w:rsid w:val="00B87910"/>
    <w:rsid w:val="00B92CEE"/>
    <w:rsid w:val="00B93A57"/>
    <w:rsid w:val="00B95310"/>
    <w:rsid w:val="00BA167C"/>
    <w:rsid w:val="00BA6B94"/>
    <w:rsid w:val="00BA6E45"/>
    <w:rsid w:val="00BB2163"/>
    <w:rsid w:val="00BC2577"/>
    <w:rsid w:val="00BC3464"/>
    <w:rsid w:val="00BC51B9"/>
    <w:rsid w:val="00BD245A"/>
    <w:rsid w:val="00BE4337"/>
    <w:rsid w:val="00BE68E5"/>
    <w:rsid w:val="00BF4D15"/>
    <w:rsid w:val="00BF71C9"/>
    <w:rsid w:val="00C038DF"/>
    <w:rsid w:val="00C06861"/>
    <w:rsid w:val="00C20263"/>
    <w:rsid w:val="00C40314"/>
    <w:rsid w:val="00C444C7"/>
    <w:rsid w:val="00C47AA5"/>
    <w:rsid w:val="00C50294"/>
    <w:rsid w:val="00C529E7"/>
    <w:rsid w:val="00C6156D"/>
    <w:rsid w:val="00C62064"/>
    <w:rsid w:val="00C7589A"/>
    <w:rsid w:val="00C84294"/>
    <w:rsid w:val="00C852B6"/>
    <w:rsid w:val="00C9214A"/>
    <w:rsid w:val="00CA3232"/>
    <w:rsid w:val="00CA6E89"/>
    <w:rsid w:val="00CA77C9"/>
    <w:rsid w:val="00CB489A"/>
    <w:rsid w:val="00CC0E88"/>
    <w:rsid w:val="00CC2E85"/>
    <w:rsid w:val="00CC799C"/>
    <w:rsid w:val="00CF31CD"/>
    <w:rsid w:val="00CF3D74"/>
    <w:rsid w:val="00CF5696"/>
    <w:rsid w:val="00D00810"/>
    <w:rsid w:val="00D03452"/>
    <w:rsid w:val="00D104EB"/>
    <w:rsid w:val="00D11CB7"/>
    <w:rsid w:val="00D1781A"/>
    <w:rsid w:val="00D32A6E"/>
    <w:rsid w:val="00D504E8"/>
    <w:rsid w:val="00D5233B"/>
    <w:rsid w:val="00D7550D"/>
    <w:rsid w:val="00D7555B"/>
    <w:rsid w:val="00D75D48"/>
    <w:rsid w:val="00D77978"/>
    <w:rsid w:val="00D85504"/>
    <w:rsid w:val="00D8741B"/>
    <w:rsid w:val="00DB5AC3"/>
    <w:rsid w:val="00DC17D9"/>
    <w:rsid w:val="00DD1D62"/>
    <w:rsid w:val="00DD26A2"/>
    <w:rsid w:val="00DD3E1B"/>
    <w:rsid w:val="00DE6433"/>
    <w:rsid w:val="00E10F67"/>
    <w:rsid w:val="00E1148A"/>
    <w:rsid w:val="00E17D51"/>
    <w:rsid w:val="00E22020"/>
    <w:rsid w:val="00E235BC"/>
    <w:rsid w:val="00E32864"/>
    <w:rsid w:val="00E41D77"/>
    <w:rsid w:val="00E42997"/>
    <w:rsid w:val="00E4663D"/>
    <w:rsid w:val="00E47E28"/>
    <w:rsid w:val="00E5234B"/>
    <w:rsid w:val="00E56A3D"/>
    <w:rsid w:val="00E60E8A"/>
    <w:rsid w:val="00E71238"/>
    <w:rsid w:val="00E76861"/>
    <w:rsid w:val="00E772A1"/>
    <w:rsid w:val="00E772BF"/>
    <w:rsid w:val="00E90656"/>
    <w:rsid w:val="00E936E4"/>
    <w:rsid w:val="00EA26F8"/>
    <w:rsid w:val="00EA2AAD"/>
    <w:rsid w:val="00EA40C1"/>
    <w:rsid w:val="00EB5097"/>
    <w:rsid w:val="00EB5454"/>
    <w:rsid w:val="00ED1508"/>
    <w:rsid w:val="00ED6FE6"/>
    <w:rsid w:val="00EE6008"/>
    <w:rsid w:val="00EF1C60"/>
    <w:rsid w:val="00EF1CC2"/>
    <w:rsid w:val="00EF31C6"/>
    <w:rsid w:val="00EF3840"/>
    <w:rsid w:val="00F00E77"/>
    <w:rsid w:val="00F04C63"/>
    <w:rsid w:val="00F27D3E"/>
    <w:rsid w:val="00F42F48"/>
    <w:rsid w:val="00F462D4"/>
    <w:rsid w:val="00F471C3"/>
    <w:rsid w:val="00F51C62"/>
    <w:rsid w:val="00F5604D"/>
    <w:rsid w:val="00F608E6"/>
    <w:rsid w:val="00F63BBE"/>
    <w:rsid w:val="00F75EDA"/>
    <w:rsid w:val="00F77D70"/>
    <w:rsid w:val="00F83D49"/>
    <w:rsid w:val="00F9013C"/>
    <w:rsid w:val="00F95D94"/>
    <w:rsid w:val="00FB39F4"/>
    <w:rsid w:val="00FC695D"/>
    <w:rsid w:val="00FD07FC"/>
    <w:rsid w:val="00FD2A72"/>
    <w:rsid w:val="00FD3028"/>
    <w:rsid w:val="00FE0BEE"/>
    <w:rsid w:val="00FE2422"/>
    <w:rsid w:val="00FE5331"/>
    <w:rsid w:val="00FF1B46"/>
    <w:rsid w:val="00FF53BF"/>
    <w:rsid w:val="00FF57F6"/>
    <w:rsid w:val="00FF6F1F"/>
    <w:rsid w:val="07E50E92"/>
    <w:rsid w:val="0A18711E"/>
    <w:rsid w:val="0A365806"/>
    <w:rsid w:val="0AC319AC"/>
    <w:rsid w:val="0F5E2B9C"/>
    <w:rsid w:val="0FCAD5FD"/>
    <w:rsid w:val="12EB54C2"/>
    <w:rsid w:val="15EFB84A"/>
    <w:rsid w:val="16974C50"/>
    <w:rsid w:val="16BFDA76"/>
    <w:rsid w:val="177D3A52"/>
    <w:rsid w:val="17B6C2A3"/>
    <w:rsid w:val="17CE2129"/>
    <w:rsid w:val="17FFA77D"/>
    <w:rsid w:val="1B672BB3"/>
    <w:rsid w:val="1B67B585"/>
    <w:rsid w:val="1B7FC8E2"/>
    <w:rsid w:val="1BF15E06"/>
    <w:rsid w:val="1BFA4442"/>
    <w:rsid w:val="1BFFC1B4"/>
    <w:rsid w:val="1D3C0843"/>
    <w:rsid w:val="1E584D33"/>
    <w:rsid w:val="1EF3C8EF"/>
    <w:rsid w:val="1F7F37F3"/>
    <w:rsid w:val="1FB95731"/>
    <w:rsid w:val="1FEF0EED"/>
    <w:rsid w:val="1FF86D77"/>
    <w:rsid w:val="23BF8218"/>
    <w:rsid w:val="273A1534"/>
    <w:rsid w:val="27EF5ADE"/>
    <w:rsid w:val="27FB4DFE"/>
    <w:rsid w:val="292BBD26"/>
    <w:rsid w:val="29447E57"/>
    <w:rsid w:val="2C335417"/>
    <w:rsid w:val="2D2F22EB"/>
    <w:rsid w:val="2DBF1862"/>
    <w:rsid w:val="2E7BB22E"/>
    <w:rsid w:val="2ED5C25D"/>
    <w:rsid w:val="2F7949F8"/>
    <w:rsid w:val="2FFB7B0E"/>
    <w:rsid w:val="33BD96C9"/>
    <w:rsid w:val="3478FD3B"/>
    <w:rsid w:val="35FD6B84"/>
    <w:rsid w:val="35FF6C41"/>
    <w:rsid w:val="35FFA103"/>
    <w:rsid w:val="365FE963"/>
    <w:rsid w:val="37D270A9"/>
    <w:rsid w:val="37F7809A"/>
    <w:rsid w:val="399565E0"/>
    <w:rsid w:val="3ADDA097"/>
    <w:rsid w:val="3B7E7D56"/>
    <w:rsid w:val="3BBE0F9A"/>
    <w:rsid w:val="3BCF7730"/>
    <w:rsid w:val="3BF725E0"/>
    <w:rsid w:val="3BFBF273"/>
    <w:rsid w:val="3BFD26E4"/>
    <w:rsid w:val="3BFF0771"/>
    <w:rsid w:val="3CFF72C5"/>
    <w:rsid w:val="3D9DD624"/>
    <w:rsid w:val="3DAB5EBA"/>
    <w:rsid w:val="3DEFA9F2"/>
    <w:rsid w:val="3DF3C86E"/>
    <w:rsid w:val="3ECAC84C"/>
    <w:rsid w:val="3EFB41F2"/>
    <w:rsid w:val="3F5F4240"/>
    <w:rsid w:val="3F7BEE77"/>
    <w:rsid w:val="3FB668E4"/>
    <w:rsid w:val="3FBFF260"/>
    <w:rsid w:val="3FD92A3E"/>
    <w:rsid w:val="3FEF23FA"/>
    <w:rsid w:val="3FF0DCC8"/>
    <w:rsid w:val="3FF57F37"/>
    <w:rsid w:val="3FF7137C"/>
    <w:rsid w:val="3FF71C72"/>
    <w:rsid w:val="3FFB5F92"/>
    <w:rsid w:val="3FFF50AD"/>
    <w:rsid w:val="408E73B5"/>
    <w:rsid w:val="4305631D"/>
    <w:rsid w:val="45F8CE6B"/>
    <w:rsid w:val="47BF50EF"/>
    <w:rsid w:val="47DFF301"/>
    <w:rsid w:val="48BFAD72"/>
    <w:rsid w:val="4D32FB4C"/>
    <w:rsid w:val="4EBF3093"/>
    <w:rsid w:val="4EDFAE00"/>
    <w:rsid w:val="4EFA85D0"/>
    <w:rsid w:val="4FAF7337"/>
    <w:rsid w:val="4FFAE02C"/>
    <w:rsid w:val="4FFF460D"/>
    <w:rsid w:val="507F6372"/>
    <w:rsid w:val="536F073F"/>
    <w:rsid w:val="53731939"/>
    <w:rsid w:val="53E90DC1"/>
    <w:rsid w:val="54680721"/>
    <w:rsid w:val="54F3BD53"/>
    <w:rsid w:val="54FF9442"/>
    <w:rsid w:val="554D5EAC"/>
    <w:rsid w:val="57BAD169"/>
    <w:rsid w:val="57DF3D15"/>
    <w:rsid w:val="57DFDC94"/>
    <w:rsid w:val="57EB7B42"/>
    <w:rsid w:val="57FD754E"/>
    <w:rsid w:val="57FEF054"/>
    <w:rsid w:val="57FF76F9"/>
    <w:rsid w:val="5B27C3AC"/>
    <w:rsid w:val="5BABDEC5"/>
    <w:rsid w:val="5BBB3931"/>
    <w:rsid w:val="5BDFA3DF"/>
    <w:rsid w:val="5BEB01AA"/>
    <w:rsid w:val="5BFD30E1"/>
    <w:rsid w:val="5D5F4A20"/>
    <w:rsid w:val="5D7BF844"/>
    <w:rsid w:val="5DBFCF28"/>
    <w:rsid w:val="5DFB2A50"/>
    <w:rsid w:val="5E7F692A"/>
    <w:rsid w:val="5EDD40C0"/>
    <w:rsid w:val="5EDF67C8"/>
    <w:rsid w:val="5EFF05BA"/>
    <w:rsid w:val="5F1F31B7"/>
    <w:rsid w:val="5F3E4F45"/>
    <w:rsid w:val="5F6F1C9E"/>
    <w:rsid w:val="5F7E92C4"/>
    <w:rsid w:val="5FAB9A0B"/>
    <w:rsid w:val="5FE12A79"/>
    <w:rsid w:val="5FE56F25"/>
    <w:rsid w:val="5FEFBC4C"/>
    <w:rsid w:val="5FF876FE"/>
    <w:rsid w:val="5FFD044C"/>
    <w:rsid w:val="5FFFD7D0"/>
    <w:rsid w:val="5FFFFB39"/>
    <w:rsid w:val="60D82ACC"/>
    <w:rsid w:val="616B1851"/>
    <w:rsid w:val="626D2A76"/>
    <w:rsid w:val="62FEF3EA"/>
    <w:rsid w:val="63F53E4A"/>
    <w:rsid w:val="64112789"/>
    <w:rsid w:val="671013B3"/>
    <w:rsid w:val="69DC461E"/>
    <w:rsid w:val="6AEF0117"/>
    <w:rsid w:val="6BCE4C44"/>
    <w:rsid w:val="6BDE6032"/>
    <w:rsid w:val="6BDF05C4"/>
    <w:rsid w:val="6BDF36B5"/>
    <w:rsid w:val="6BEE630D"/>
    <w:rsid w:val="6BEFA911"/>
    <w:rsid w:val="6BF75424"/>
    <w:rsid w:val="6BFF8BC0"/>
    <w:rsid w:val="6C07ADE2"/>
    <w:rsid w:val="6D3E6A51"/>
    <w:rsid w:val="6D57D810"/>
    <w:rsid w:val="6DB123F6"/>
    <w:rsid w:val="6DE7862E"/>
    <w:rsid w:val="6DFC43BE"/>
    <w:rsid w:val="6DFD60E9"/>
    <w:rsid w:val="6DFE4A2C"/>
    <w:rsid w:val="6DFF793F"/>
    <w:rsid w:val="6E7B86E4"/>
    <w:rsid w:val="6EB788C1"/>
    <w:rsid w:val="6EBB229C"/>
    <w:rsid w:val="6EDE8759"/>
    <w:rsid w:val="6EDEF351"/>
    <w:rsid w:val="6EF9109D"/>
    <w:rsid w:val="6EFA30DF"/>
    <w:rsid w:val="6EFE97D7"/>
    <w:rsid w:val="6F6FC48D"/>
    <w:rsid w:val="6F75BB17"/>
    <w:rsid w:val="6F7D0098"/>
    <w:rsid w:val="6FBF8D8F"/>
    <w:rsid w:val="6FCF9866"/>
    <w:rsid w:val="6FDD6BFC"/>
    <w:rsid w:val="6FDFA035"/>
    <w:rsid w:val="6FF52F76"/>
    <w:rsid w:val="6FFDD9A5"/>
    <w:rsid w:val="6FFF0B70"/>
    <w:rsid w:val="6FFFA9D8"/>
    <w:rsid w:val="71775D74"/>
    <w:rsid w:val="71BA0C33"/>
    <w:rsid w:val="71F33F0B"/>
    <w:rsid w:val="72FF21FE"/>
    <w:rsid w:val="73577D8C"/>
    <w:rsid w:val="73F8844F"/>
    <w:rsid w:val="73FEF53F"/>
    <w:rsid w:val="74BF941C"/>
    <w:rsid w:val="74DEBB8B"/>
    <w:rsid w:val="74EFE397"/>
    <w:rsid w:val="75134281"/>
    <w:rsid w:val="755ABB90"/>
    <w:rsid w:val="7567AB9C"/>
    <w:rsid w:val="757F2BD9"/>
    <w:rsid w:val="757F9695"/>
    <w:rsid w:val="75ED567D"/>
    <w:rsid w:val="75FFBE1C"/>
    <w:rsid w:val="769FD087"/>
    <w:rsid w:val="76BE1A6C"/>
    <w:rsid w:val="76EEFE23"/>
    <w:rsid w:val="76F7792E"/>
    <w:rsid w:val="770F83CD"/>
    <w:rsid w:val="777D983C"/>
    <w:rsid w:val="777F7E95"/>
    <w:rsid w:val="777F8514"/>
    <w:rsid w:val="77BF985E"/>
    <w:rsid w:val="77EB0A30"/>
    <w:rsid w:val="77FD2DD1"/>
    <w:rsid w:val="77FFD227"/>
    <w:rsid w:val="77FFE042"/>
    <w:rsid w:val="786F6BBB"/>
    <w:rsid w:val="789125A4"/>
    <w:rsid w:val="7955109C"/>
    <w:rsid w:val="79A96382"/>
    <w:rsid w:val="79C33213"/>
    <w:rsid w:val="79F72244"/>
    <w:rsid w:val="79F7D4A2"/>
    <w:rsid w:val="79FE0439"/>
    <w:rsid w:val="7AEC944A"/>
    <w:rsid w:val="7B1FA6F6"/>
    <w:rsid w:val="7B2AABAE"/>
    <w:rsid w:val="7B341286"/>
    <w:rsid w:val="7B56316B"/>
    <w:rsid w:val="7B6E1E1B"/>
    <w:rsid w:val="7BBE0771"/>
    <w:rsid w:val="7BD72066"/>
    <w:rsid w:val="7BDDC4A3"/>
    <w:rsid w:val="7BF3C519"/>
    <w:rsid w:val="7BFA144B"/>
    <w:rsid w:val="7BFE9137"/>
    <w:rsid w:val="7BFFA358"/>
    <w:rsid w:val="7C54566E"/>
    <w:rsid w:val="7C5F8FDA"/>
    <w:rsid w:val="7C7D4167"/>
    <w:rsid w:val="7CBDD19A"/>
    <w:rsid w:val="7CFCADF1"/>
    <w:rsid w:val="7CFF8BFD"/>
    <w:rsid w:val="7D397FB7"/>
    <w:rsid w:val="7D7377E8"/>
    <w:rsid w:val="7DBF6886"/>
    <w:rsid w:val="7DBFA8D5"/>
    <w:rsid w:val="7DDDD8B2"/>
    <w:rsid w:val="7DDE0CEE"/>
    <w:rsid w:val="7DFC5C92"/>
    <w:rsid w:val="7DFE5D73"/>
    <w:rsid w:val="7DFF7E4E"/>
    <w:rsid w:val="7DFFDAF8"/>
    <w:rsid w:val="7EB8A718"/>
    <w:rsid w:val="7ED7E27B"/>
    <w:rsid w:val="7EDC4E86"/>
    <w:rsid w:val="7EDE09CB"/>
    <w:rsid w:val="7EF2A455"/>
    <w:rsid w:val="7EF7AF70"/>
    <w:rsid w:val="7EF93DD2"/>
    <w:rsid w:val="7EFF3402"/>
    <w:rsid w:val="7F2BE7C6"/>
    <w:rsid w:val="7F3AB47F"/>
    <w:rsid w:val="7F3F12B6"/>
    <w:rsid w:val="7F57D7C8"/>
    <w:rsid w:val="7F5B6313"/>
    <w:rsid w:val="7F6D60C9"/>
    <w:rsid w:val="7F7EA3C0"/>
    <w:rsid w:val="7FA5CC08"/>
    <w:rsid w:val="7FAB911C"/>
    <w:rsid w:val="7FACE480"/>
    <w:rsid w:val="7FB11C79"/>
    <w:rsid w:val="7FB56435"/>
    <w:rsid w:val="7FBD1E61"/>
    <w:rsid w:val="7FBF1A1B"/>
    <w:rsid w:val="7FCE92E5"/>
    <w:rsid w:val="7FCF1F29"/>
    <w:rsid w:val="7FD2D104"/>
    <w:rsid w:val="7FD75AAE"/>
    <w:rsid w:val="7FDD2C05"/>
    <w:rsid w:val="7FDD85A0"/>
    <w:rsid w:val="7FDD95D2"/>
    <w:rsid w:val="7FE993DB"/>
    <w:rsid w:val="7FEF9FD2"/>
    <w:rsid w:val="7FF3E1C0"/>
    <w:rsid w:val="7FF3F85B"/>
    <w:rsid w:val="7FF566CD"/>
    <w:rsid w:val="7FF75800"/>
    <w:rsid w:val="7FF7B62B"/>
    <w:rsid w:val="7FFA618D"/>
    <w:rsid w:val="7FFAFB55"/>
    <w:rsid w:val="7FFB297B"/>
    <w:rsid w:val="7FFC5838"/>
    <w:rsid w:val="7FFD9899"/>
    <w:rsid w:val="7FFED6BA"/>
    <w:rsid w:val="7FFF1975"/>
    <w:rsid w:val="7FFF391B"/>
    <w:rsid w:val="7FFF633F"/>
    <w:rsid w:val="7FFF8903"/>
    <w:rsid w:val="7FFFAD8B"/>
    <w:rsid w:val="8EBF225C"/>
    <w:rsid w:val="8F5D59A4"/>
    <w:rsid w:val="8F5F6B2D"/>
    <w:rsid w:val="8FFB0B75"/>
    <w:rsid w:val="97BF2327"/>
    <w:rsid w:val="98B74015"/>
    <w:rsid w:val="9B9C1F6C"/>
    <w:rsid w:val="9BDF3334"/>
    <w:rsid w:val="9C7EF351"/>
    <w:rsid w:val="9D7B2324"/>
    <w:rsid w:val="9F8F6FA3"/>
    <w:rsid w:val="9FCE4ACA"/>
    <w:rsid w:val="9FD4B984"/>
    <w:rsid w:val="9FFB9794"/>
    <w:rsid w:val="9FFC9604"/>
    <w:rsid w:val="9FFFDB11"/>
    <w:rsid w:val="A5FE2FD1"/>
    <w:rsid w:val="A67C683F"/>
    <w:rsid w:val="A7DBCE3C"/>
    <w:rsid w:val="ABBBED28"/>
    <w:rsid w:val="AD9F8C9A"/>
    <w:rsid w:val="ADEC83D2"/>
    <w:rsid w:val="ADFF10CC"/>
    <w:rsid w:val="AECFD7CF"/>
    <w:rsid w:val="AEFF80E1"/>
    <w:rsid w:val="AF7EFD40"/>
    <w:rsid w:val="AF9EA3A9"/>
    <w:rsid w:val="AFEDA70A"/>
    <w:rsid w:val="AFFFE447"/>
    <w:rsid w:val="AFFFF3BB"/>
    <w:rsid w:val="B0F7249B"/>
    <w:rsid w:val="B2AB062D"/>
    <w:rsid w:val="B35B6153"/>
    <w:rsid w:val="B37B5FD8"/>
    <w:rsid w:val="B38ED6A9"/>
    <w:rsid w:val="B5BC6AC8"/>
    <w:rsid w:val="B5C629E9"/>
    <w:rsid w:val="B5FFC808"/>
    <w:rsid w:val="B66DE0F3"/>
    <w:rsid w:val="B71F229D"/>
    <w:rsid w:val="B78EF67C"/>
    <w:rsid w:val="B7E93359"/>
    <w:rsid w:val="B7FA287C"/>
    <w:rsid w:val="B7FC8FD4"/>
    <w:rsid w:val="B7FF31FE"/>
    <w:rsid w:val="BA774207"/>
    <w:rsid w:val="BB6F226D"/>
    <w:rsid w:val="BBF73F6B"/>
    <w:rsid w:val="BDFF14D8"/>
    <w:rsid w:val="BE7DF3AB"/>
    <w:rsid w:val="BEEB588E"/>
    <w:rsid w:val="BEFC921C"/>
    <w:rsid w:val="BEFF10AD"/>
    <w:rsid w:val="BF5E20FA"/>
    <w:rsid w:val="BF7D4196"/>
    <w:rsid w:val="BF7F1BD2"/>
    <w:rsid w:val="BFA33CA7"/>
    <w:rsid w:val="BFB5558A"/>
    <w:rsid w:val="BFBDDB71"/>
    <w:rsid w:val="BFEFF3F7"/>
    <w:rsid w:val="BFFDAF01"/>
    <w:rsid w:val="BFFF8EE6"/>
    <w:rsid w:val="BFFFACE1"/>
    <w:rsid w:val="BFFFCC8A"/>
    <w:rsid w:val="BFFFE75D"/>
    <w:rsid w:val="C7BBC6D6"/>
    <w:rsid w:val="C89ED9A7"/>
    <w:rsid w:val="CB26FCAB"/>
    <w:rsid w:val="CBF60B7A"/>
    <w:rsid w:val="CCDD36C3"/>
    <w:rsid w:val="CF7F0D62"/>
    <w:rsid w:val="D1F503FA"/>
    <w:rsid w:val="D3FF088E"/>
    <w:rsid w:val="D59B2C4D"/>
    <w:rsid w:val="D6BD08E7"/>
    <w:rsid w:val="D6EB119C"/>
    <w:rsid w:val="D6FDA787"/>
    <w:rsid w:val="D77A959F"/>
    <w:rsid w:val="D77F9707"/>
    <w:rsid w:val="D7B710EC"/>
    <w:rsid w:val="D97BE255"/>
    <w:rsid w:val="DACF21D7"/>
    <w:rsid w:val="DB5DBF45"/>
    <w:rsid w:val="DB7387A1"/>
    <w:rsid w:val="DBA799E2"/>
    <w:rsid w:val="DC7ABEE3"/>
    <w:rsid w:val="DC7F37B0"/>
    <w:rsid w:val="DC9E4C42"/>
    <w:rsid w:val="DD5FA653"/>
    <w:rsid w:val="DDC3496C"/>
    <w:rsid w:val="DDFB2394"/>
    <w:rsid w:val="DE77926B"/>
    <w:rsid w:val="DE7DE59B"/>
    <w:rsid w:val="DEE262E6"/>
    <w:rsid w:val="DEEFF9CF"/>
    <w:rsid w:val="DF3F2014"/>
    <w:rsid w:val="DF9FAA1C"/>
    <w:rsid w:val="DFBBD75C"/>
    <w:rsid w:val="DFD9770E"/>
    <w:rsid w:val="DFDD016C"/>
    <w:rsid w:val="DFDF029D"/>
    <w:rsid w:val="DFDFBDCD"/>
    <w:rsid w:val="DFE61A72"/>
    <w:rsid w:val="DFF34AD3"/>
    <w:rsid w:val="DFF39B79"/>
    <w:rsid w:val="DFFB60A3"/>
    <w:rsid w:val="DFFD31B0"/>
    <w:rsid w:val="DFFF47CA"/>
    <w:rsid w:val="DFFFAE61"/>
    <w:rsid w:val="E2DB5A87"/>
    <w:rsid w:val="E5FC02D1"/>
    <w:rsid w:val="E6BB69F9"/>
    <w:rsid w:val="E6EF37CC"/>
    <w:rsid w:val="E72F10DC"/>
    <w:rsid w:val="E778A862"/>
    <w:rsid w:val="E7DF50C1"/>
    <w:rsid w:val="E87B70A2"/>
    <w:rsid w:val="E8D76BCE"/>
    <w:rsid w:val="E97F65EC"/>
    <w:rsid w:val="EADC83D7"/>
    <w:rsid w:val="EBDECC2E"/>
    <w:rsid w:val="ECEAAF28"/>
    <w:rsid w:val="EDBFD3AA"/>
    <w:rsid w:val="EDEF4004"/>
    <w:rsid w:val="EDFD232B"/>
    <w:rsid w:val="EDFE5F27"/>
    <w:rsid w:val="EDFFCF00"/>
    <w:rsid w:val="EE8AFE1C"/>
    <w:rsid w:val="EEFA5F6E"/>
    <w:rsid w:val="EF3FE0F5"/>
    <w:rsid w:val="EF5DC768"/>
    <w:rsid w:val="EFABB031"/>
    <w:rsid w:val="EFADAA4C"/>
    <w:rsid w:val="EFD55489"/>
    <w:rsid w:val="EFE31411"/>
    <w:rsid w:val="EFEF0094"/>
    <w:rsid w:val="F1F395D8"/>
    <w:rsid w:val="F1FF3360"/>
    <w:rsid w:val="F2DEA05A"/>
    <w:rsid w:val="F2FF3A7A"/>
    <w:rsid w:val="F3794464"/>
    <w:rsid w:val="F3CF073D"/>
    <w:rsid w:val="F3FA869C"/>
    <w:rsid w:val="F4FF43E7"/>
    <w:rsid w:val="F4FF84A5"/>
    <w:rsid w:val="F57D3FA1"/>
    <w:rsid w:val="F5D77FD0"/>
    <w:rsid w:val="F5FE7683"/>
    <w:rsid w:val="F639FDF8"/>
    <w:rsid w:val="F7798D0D"/>
    <w:rsid w:val="F7BFF8A7"/>
    <w:rsid w:val="F7D76496"/>
    <w:rsid w:val="F7DB7B04"/>
    <w:rsid w:val="F7EDAF2A"/>
    <w:rsid w:val="F7EEC0BA"/>
    <w:rsid w:val="F7F597CB"/>
    <w:rsid w:val="F7F715EE"/>
    <w:rsid w:val="F7FF61F0"/>
    <w:rsid w:val="F7FFD1F6"/>
    <w:rsid w:val="F8D04070"/>
    <w:rsid w:val="F8E8D507"/>
    <w:rsid w:val="F93B35A3"/>
    <w:rsid w:val="F9841BE9"/>
    <w:rsid w:val="F9FA1080"/>
    <w:rsid w:val="FA3D022F"/>
    <w:rsid w:val="FA7F6236"/>
    <w:rsid w:val="FAAD41F7"/>
    <w:rsid w:val="FABC5063"/>
    <w:rsid w:val="FACCC707"/>
    <w:rsid w:val="FB1FB846"/>
    <w:rsid w:val="FB5BD5FB"/>
    <w:rsid w:val="FB770C10"/>
    <w:rsid w:val="FB7FE6B8"/>
    <w:rsid w:val="FB9D71D8"/>
    <w:rsid w:val="FBA94DEF"/>
    <w:rsid w:val="FBDB2C9C"/>
    <w:rsid w:val="FBDFBDCF"/>
    <w:rsid w:val="FBF758AD"/>
    <w:rsid w:val="FBF9AB6F"/>
    <w:rsid w:val="FBFC24EB"/>
    <w:rsid w:val="FBFF6260"/>
    <w:rsid w:val="FBFFB511"/>
    <w:rsid w:val="FBFFD543"/>
    <w:rsid w:val="FC6BECB3"/>
    <w:rsid w:val="FC798D9B"/>
    <w:rsid w:val="FCFF4F1C"/>
    <w:rsid w:val="FD3D36C1"/>
    <w:rsid w:val="FD59D062"/>
    <w:rsid w:val="FD5DE01D"/>
    <w:rsid w:val="FD7579DB"/>
    <w:rsid w:val="FD7AEB45"/>
    <w:rsid w:val="FDD5052B"/>
    <w:rsid w:val="FDDAC906"/>
    <w:rsid w:val="FDDFBC8D"/>
    <w:rsid w:val="FDE92824"/>
    <w:rsid w:val="FDED4FE7"/>
    <w:rsid w:val="FDEF0B21"/>
    <w:rsid w:val="FDEFFB1A"/>
    <w:rsid w:val="FDF5B80F"/>
    <w:rsid w:val="FDFBE4BF"/>
    <w:rsid w:val="FDFD87BE"/>
    <w:rsid w:val="FDFF84B5"/>
    <w:rsid w:val="FDFFDA72"/>
    <w:rsid w:val="FE31A3AF"/>
    <w:rsid w:val="FE5D4482"/>
    <w:rsid w:val="FEB7EB15"/>
    <w:rsid w:val="FEDB0CBA"/>
    <w:rsid w:val="FEEFC20F"/>
    <w:rsid w:val="FEFB3EE1"/>
    <w:rsid w:val="FEFF92FD"/>
    <w:rsid w:val="FEFFF2F2"/>
    <w:rsid w:val="FF1FC617"/>
    <w:rsid w:val="FF4DFF11"/>
    <w:rsid w:val="FF4F0527"/>
    <w:rsid w:val="FF5BCBA9"/>
    <w:rsid w:val="FF5FD35F"/>
    <w:rsid w:val="FF7C733A"/>
    <w:rsid w:val="FF9C3594"/>
    <w:rsid w:val="FFAF580F"/>
    <w:rsid w:val="FFBB58BA"/>
    <w:rsid w:val="FFBBEB92"/>
    <w:rsid w:val="FFBF2268"/>
    <w:rsid w:val="FFCEDCEE"/>
    <w:rsid w:val="FFD7A303"/>
    <w:rsid w:val="FFD7A69E"/>
    <w:rsid w:val="FFDB1E84"/>
    <w:rsid w:val="FFDD06B4"/>
    <w:rsid w:val="FFDE9A2D"/>
    <w:rsid w:val="FFE57E77"/>
    <w:rsid w:val="FFEB7DAB"/>
    <w:rsid w:val="FFEC12BB"/>
    <w:rsid w:val="FFECA782"/>
    <w:rsid w:val="FFED928B"/>
    <w:rsid w:val="FFEF5E18"/>
    <w:rsid w:val="FFF74132"/>
    <w:rsid w:val="FFF99E5D"/>
    <w:rsid w:val="FFFA308C"/>
    <w:rsid w:val="FFFB2AC2"/>
    <w:rsid w:val="FFFBEB14"/>
    <w:rsid w:val="FFFDC175"/>
    <w:rsid w:val="FFFE6FA3"/>
    <w:rsid w:val="FFFEB776"/>
    <w:rsid w:val="FFFF08E6"/>
    <w:rsid w:val="FFFF3D51"/>
    <w:rsid w:val="FFFF533E"/>
    <w:rsid w:val="FFFFC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630"/>
    </w:pPr>
    <w:rPr>
      <w:szCs w:val="20"/>
    </w:rPr>
  </w:style>
  <w:style w:type="paragraph" w:styleId="4">
    <w:name w:val="Plain Text"/>
    <w:basedOn w:val="1"/>
    <w:link w:val="16"/>
    <w:qFormat/>
    <w:uiPriority w:val="0"/>
    <w:rPr>
      <w:rFonts w:ascii="宋体" w:hAnsi="Courier New" w:eastAsia="宋体" w:cs="Courier New"/>
      <w:sz w:val="21"/>
      <w:szCs w:val="21"/>
    </w:rPr>
  </w:style>
  <w:style w:type="paragraph" w:styleId="5">
    <w:name w:val="Date"/>
    <w:basedOn w:val="1"/>
    <w:next w:val="1"/>
    <w:link w:val="18"/>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line="560" w:lineRule="exact"/>
    </w:pPr>
    <w:rPr>
      <w:rFonts w:eastAsia="宋体"/>
      <w:sz w:val="24"/>
    </w:rPr>
  </w:style>
  <w:style w:type="paragraph" w:styleId="10">
    <w:name w:val="Title"/>
    <w:basedOn w:val="1"/>
    <w:next w:val="1"/>
    <w:qFormat/>
    <w:uiPriority w:val="10"/>
    <w:pPr>
      <w:jc w:val="center"/>
      <w:outlineLvl w:val="0"/>
    </w:pPr>
    <w:rPr>
      <w:rFonts w:ascii="Arial" w:hAnsi="Arial"/>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character" w:customStyle="1" w:styleId="16">
    <w:name w:val="纯文本 Char"/>
    <w:basedOn w:val="13"/>
    <w:link w:val="4"/>
    <w:qFormat/>
    <w:uiPriority w:val="0"/>
    <w:rPr>
      <w:rFonts w:ascii="宋体" w:hAnsi="Courier New" w:eastAsia="宋体" w:cs="Courier New"/>
      <w:szCs w:val="21"/>
    </w:rPr>
  </w:style>
  <w:style w:type="paragraph" w:styleId="17">
    <w:name w:val="List Paragraph"/>
    <w:basedOn w:val="1"/>
    <w:qFormat/>
    <w:uiPriority w:val="34"/>
    <w:pPr>
      <w:ind w:firstLine="420" w:firstLineChars="200"/>
    </w:pPr>
  </w:style>
  <w:style w:type="character" w:customStyle="1" w:styleId="18">
    <w:name w:val="日期 Char"/>
    <w:basedOn w:val="13"/>
    <w:link w:val="5"/>
    <w:semiHidden/>
    <w:qFormat/>
    <w:uiPriority w:val="99"/>
    <w:rPr>
      <w:rFonts w:ascii="Times New Roman" w:hAnsi="Times New Roman" w:eastAsia="仿宋_GB2312" w:cs="Times New Roman"/>
      <w:sz w:val="30"/>
      <w:szCs w:val="24"/>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3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3770</Words>
  <Characters>4523</Characters>
  <Lines>38</Lines>
  <Paragraphs>10</Paragraphs>
  <TotalTime>8</TotalTime>
  <ScaleCrop>false</ScaleCrop>
  <LinksUpToDate>false</LinksUpToDate>
  <CharactersWithSpaces>4596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2021-11-28T10:40:00Z</dcterms:created>
  <dc:creator>牟伶俐</dc:creator>
  <cp:lastModifiedBy>牟伶俐</cp:lastModifiedBy>
  <cp:lastPrinted>2026-03-24T18:33:00Z</cp:lastPrinted>
  <dcterms:modified xsi:type="dcterms:W3CDTF">2026-03-24T15:40:33Z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47BB76FA37244270AEEE1B5355229B5D</vt:lpwstr>
  </property>
  <property fmtid="{D5CDD505-2E9C-101B-9397-08002B2CF9AE}" pid="4" name="KSOTemplateDocerSaveRecord">
    <vt:lpwstr>eyJoZGlkIjoiMzYzODM0YWNiMDM0YjQ5MmI5ZmRjZTI1YTExY2MxNWUiLCJ1c2VySWQiOiI1MzkyNTE0OTEifQ==</vt:lpwstr>
  </property>
</Properties>
</file>